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C47278" w:rsidP="00C47278">
      <w:pPr>
        <w:pStyle w:val="Heading1"/>
      </w:pPr>
      <w:r>
        <w:t>STATES COUNTERPLAN</w:t>
      </w:r>
    </w:p>
    <w:p w:rsidR="00B04324" w:rsidRDefault="00B04324" w:rsidP="00B04324">
      <w:pPr>
        <w:pStyle w:val="Heading1"/>
      </w:pPr>
      <w:r>
        <w:t>MULTI-PURPOSE</w:t>
      </w:r>
    </w:p>
    <w:p w:rsidR="002B62E3" w:rsidRDefault="0036615E" w:rsidP="002B62E3">
      <w:pPr>
        <w:pStyle w:val="Heading2"/>
        <w:rPr>
          <w:rFonts w:cs="Times New Roman"/>
        </w:rPr>
      </w:pPr>
      <w:r>
        <w:rPr>
          <w:rFonts w:cs="Times New Roman"/>
        </w:rPr>
        <w:t>OFFENSE</w:t>
      </w:r>
    </w:p>
    <w:p w:rsidR="0036615E" w:rsidRDefault="0036615E" w:rsidP="0036615E">
      <w:pPr>
        <w:pStyle w:val="Heading3"/>
        <w:rPr>
          <w:rFonts w:cs="Times New Roman"/>
        </w:rPr>
      </w:pPr>
      <w:r>
        <w:rPr>
          <w:rFonts w:cs="Times New Roman"/>
        </w:rPr>
        <w:t>NB – politics link turns case</w:t>
      </w:r>
    </w:p>
    <w:p w:rsidR="0036615E" w:rsidRDefault="0036615E" w:rsidP="0036615E">
      <w:pPr>
        <w:pStyle w:val="Heading4"/>
      </w:pPr>
      <w:r>
        <w:t>Politics link turns solvency---even if the initial policy is sound, it won’t achieve lasting change because of entrenched resistance</w:t>
      </w:r>
    </w:p>
    <w:p w:rsidR="0036615E" w:rsidRPr="00A1323A" w:rsidRDefault="0036615E" w:rsidP="0036615E">
      <w:r w:rsidRPr="00F87BD2">
        <w:rPr>
          <w:rStyle w:val="Style13ptBold"/>
        </w:rPr>
        <w:t>Chopin 13</w:t>
      </w:r>
      <w:r>
        <w:t xml:space="preserve"> – JD, associate in the Labor &amp; Employment Law Department and a member of the Employee Benefits &amp; Executive Compensation Group, focusing on complex employee benefits litigation (Lindsey, “COMMENT: UNTANGLING PUBLIC SCHOOL GOVERNANCE: A PROPOSAL TO END MEANINGLESS FEDERAL REFORM AND STREAMLINE CONTROL IN STATE EDUCATION AGENCIES,” </w:t>
      </w:r>
      <w:r w:rsidRPr="00AA6669">
        <w:rPr>
          <w:i/>
        </w:rPr>
        <w:t>59</w:t>
      </w:r>
      <w:r>
        <w:t xml:space="preserve"> </w:t>
      </w:r>
      <w:r w:rsidRPr="00AA6669">
        <w:rPr>
          <w:i/>
        </w:rPr>
        <w:t>Loyola Law Review</w:t>
      </w:r>
      <w:r>
        <w:rPr>
          <w:i/>
        </w:rPr>
        <w:t xml:space="preserve"> 399</w:t>
      </w:r>
      <w:r>
        <w:t>, Lexis)//BB</w:t>
      </w:r>
    </w:p>
    <w:p w:rsidR="0036615E" w:rsidRDefault="0036615E" w:rsidP="0036615E">
      <w:r>
        <w:t>1. The Exoskeleton of Policy</w:t>
      </w:r>
    </w:p>
    <w:p w:rsidR="0036615E" w:rsidRPr="001E1ACD" w:rsidRDefault="0036615E" w:rsidP="0036615E">
      <w:r>
        <w:t xml:space="preserve">On a broad level, one that is much broader than education policy alone, </w:t>
      </w:r>
      <w:r w:rsidRPr="00D146F5">
        <w:rPr>
          <w:rStyle w:val="StyleUnderline"/>
          <w:highlight w:val="yellow"/>
        </w:rPr>
        <w:t>ambitious federal policies are</w:t>
      </w:r>
      <w:r w:rsidRPr="00147F49">
        <w:rPr>
          <w:rStyle w:val="StyleUnderline"/>
        </w:rPr>
        <w:t xml:space="preserve"> </w:t>
      </w:r>
      <w:r>
        <w:t xml:space="preserve">often </w:t>
      </w:r>
      <w:r w:rsidRPr="00D146F5">
        <w:rPr>
          <w:rStyle w:val="StyleUnderline"/>
          <w:highlight w:val="yellow"/>
        </w:rPr>
        <w:t>difficult</w:t>
      </w:r>
      <w:r w:rsidRPr="00D146F5">
        <w:rPr>
          <w:highlight w:val="yellow"/>
        </w:rPr>
        <w:t xml:space="preserve"> </w:t>
      </w:r>
      <w:r w:rsidRPr="00D146F5">
        <w:rPr>
          <w:rStyle w:val="StyleUnderline"/>
          <w:highlight w:val="yellow"/>
        </w:rPr>
        <w:t>to implement because there is a</w:t>
      </w:r>
      <w:r w:rsidRPr="00147F49">
        <w:rPr>
          <w:rStyle w:val="StyleUnderline"/>
        </w:rPr>
        <w:t xml:space="preserve"> large </w:t>
      </w:r>
      <w:r w:rsidRPr="00D146F5">
        <w:rPr>
          <w:rStyle w:val="StyleUnderline"/>
          <w:highlight w:val="yellow"/>
        </w:rPr>
        <w:t>gap between</w:t>
      </w:r>
      <w:r>
        <w:t xml:space="preserve"> the </w:t>
      </w:r>
      <w:r w:rsidRPr="00D146F5">
        <w:rPr>
          <w:rStyle w:val="StyleUnderline"/>
          <w:highlight w:val="yellow"/>
        </w:rPr>
        <w:t>theory</w:t>
      </w:r>
      <w:r w:rsidRPr="00147F49">
        <w:rPr>
          <w:rStyle w:val="StyleUnderline"/>
        </w:rPr>
        <w:t xml:space="preserve"> of the policy </w:t>
      </w:r>
      <w:r w:rsidRPr="00D146F5">
        <w:rPr>
          <w:rStyle w:val="StyleUnderline"/>
          <w:highlight w:val="yellow"/>
        </w:rPr>
        <w:t>and</w:t>
      </w:r>
      <w:r>
        <w:t xml:space="preserve"> the actual </w:t>
      </w:r>
      <w:r w:rsidRPr="00147F49">
        <w:rPr>
          <w:rStyle w:val="StyleUnderline"/>
        </w:rPr>
        <w:t>ability to put the theory</w:t>
      </w:r>
      <w:r>
        <w:rPr>
          <w:rStyle w:val="StyleUnderline"/>
        </w:rPr>
        <w:t xml:space="preserve"> </w:t>
      </w:r>
      <w:r w:rsidRPr="00147F49">
        <w:rPr>
          <w:rStyle w:val="StyleUnderline"/>
        </w:rPr>
        <w:t xml:space="preserve">into </w:t>
      </w:r>
      <w:r w:rsidRPr="00D146F5">
        <w:rPr>
          <w:rStyle w:val="StyleUnderline"/>
          <w:highlight w:val="yellow"/>
        </w:rPr>
        <w:t>practice</w:t>
      </w:r>
      <w:r>
        <w:t xml:space="preserve">. 196 There are many reasons for this gap, one being that the policy put forth by the federal government must pay the "political price of passage." 197 </w:t>
      </w:r>
      <w:r w:rsidRPr="00D146F5">
        <w:rPr>
          <w:rStyle w:val="StyleUnderline"/>
          <w:highlight w:val="yellow"/>
        </w:rPr>
        <w:t>This</w:t>
      </w:r>
      <w:r>
        <w:t xml:space="preserve"> price consists of two components - attractiveness and flexibility - and ultimately </w:t>
      </w:r>
      <w:r w:rsidRPr="00D146F5">
        <w:rPr>
          <w:rStyle w:val="StyleUnderline"/>
          <w:highlight w:val="yellow"/>
        </w:rPr>
        <w:t>weakens the strength of the policy</w:t>
      </w:r>
      <w:r>
        <w:t xml:space="preserve">. Policy may be considered attractive for many reasons, such as the perceived level of impact it will have and the speed at which it is enacted. 198 Therefore, once the public perceives a "crisis," politicians have to react quickly for their actions to have high appeal. The result is that their policy often rests more on rhetoric and hope, than on actual research itself. 199 Moreover, their proposed solution must generally be wide-reaching and hard-hitting, even if common sense indicates that it will be too difficult to enact or that failure is likely. 200 Economic research has shown that </w:t>
      </w:r>
      <w:r w:rsidRPr="00D146F5">
        <w:rPr>
          <w:rStyle w:val="StyleUnderline"/>
          <w:highlight w:val="yellow"/>
        </w:rPr>
        <w:t>the further a policy stretches from standard procedure, the more likely it is to fail</w:t>
      </w:r>
      <w:r w:rsidRPr="003771E4">
        <w:rPr>
          <w:rStyle w:val="StyleUnderline"/>
        </w:rPr>
        <w:t xml:space="preserve"> or have perverse side</w:t>
      </w:r>
      <w:r>
        <w:rPr>
          <w:rStyle w:val="StyleUnderline"/>
        </w:rPr>
        <w:t xml:space="preserve"> </w:t>
      </w:r>
      <w:r w:rsidRPr="003771E4">
        <w:rPr>
          <w:rStyle w:val="StyleUnderline"/>
        </w:rPr>
        <w:t xml:space="preserve">effects; </w:t>
      </w:r>
      <w:r w:rsidRPr="00D146F5">
        <w:rPr>
          <w:rStyle w:val="StyleUnderline"/>
          <w:highlight w:val="yellow"/>
        </w:rPr>
        <w:t>thus</w:t>
      </w:r>
      <w:r w:rsidRPr="003771E4">
        <w:rPr>
          <w:rStyle w:val="StyleUnderline"/>
        </w:rPr>
        <w:t xml:space="preserve">, these types of </w:t>
      </w:r>
      <w:r w:rsidRPr="00D146F5">
        <w:rPr>
          <w:rStyle w:val="StyleUnderline"/>
          <w:highlight w:val="yellow"/>
        </w:rPr>
        <w:t>reforms, although attractive, will likely have a high failure rate</w:t>
      </w:r>
      <w:r>
        <w:t xml:space="preserve">. 201 </w:t>
      </w:r>
      <w:r w:rsidRPr="003771E4">
        <w:rPr>
          <w:rStyle w:val="StyleUnderline"/>
        </w:rPr>
        <w:t>When failure occurs,</w:t>
      </w:r>
      <w:r>
        <w:rPr>
          <w:rStyle w:val="StyleUnderline"/>
        </w:rPr>
        <w:t xml:space="preserve"> </w:t>
      </w:r>
      <w:r w:rsidRPr="003771E4">
        <w:rPr>
          <w:rStyle w:val="StyleUnderline"/>
        </w:rPr>
        <w:t>the policy must be reformed, which creates a vicious cycle of policy after policy</w:t>
      </w:r>
      <w:r>
        <w:t>. 202 Section III(B)(1)(a) explores this method of "</w:t>
      </w:r>
      <w:r w:rsidRPr="003771E4">
        <w:rPr>
          <w:rStyle w:val="StyleUnderline"/>
        </w:rPr>
        <w:t>rapid fire reform"</w:t>
      </w:r>
      <w:r>
        <w:t xml:space="preserve"> and why </w:t>
      </w:r>
      <w:r w:rsidRPr="003771E4">
        <w:rPr>
          <w:rStyle w:val="StyleUnderline"/>
        </w:rPr>
        <w:t>it is not suited to govern educational policy</w:t>
      </w:r>
      <w:r>
        <w:t xml:space="preserve">. Second, </w:t>
      </w:r>
      <w:r w:rsidRPr="00D146F5">
        <w:rPr>
          <w:rStyle w:val="StyleUnderline"/>
          <w:highlight w:val="yellow"/>
        </w:rPr>
        <w:t>because legislation must pass through a Congress composed of members with vastly different viewpoints and agendas</w:t>
      </w:r>
      <w:r w:rsidRPr="003771E4">
        <w:rPr>
          <w:rStyle w:val="StyleUnderline"/>
        </w:rPr>
        <w:t>, policies must be flexible</w:t>
      </w:r>
      <w:r>
        <w:t xml:space="preserve"> enough to please representatives of all fifty states. As seen in the recent [*434] congressional impasses, </w:t>
      </w:r>
      <w:r w:rsidRPr="003771E4">
        <w:rPr>
          <w:rStyle w:val="StyleUnderline"/>
        </w:rPr>
        <w:t xml:space="preserve">this type of </w:t>
      </w:r>
      <w:r w:rsidRPr="00D146F5">
        <w:rPr>
          <w:rStyle w:val="StyleUnderline"/>
          <w:highlight w:val="yellow"/>
        </w:rPr>
        <w:t>agreement is not easily reached, and</w:t>
      </w:r>
      <w:r>
        <w:t xml:space="preserve"> </w:t>
      </w:r>
      <w:r w:rsidRPr="003771E4">
        <w:rPr>
          <w:rStyle w:val="StyleUnderline"/>
        </w:rPr>
        <w:t xml:space="preserve">the </w:t>
      </w:r>
      <w:r w:rsidRPr="00D146F5">
        <w:rPr>
          <w:rStyle w:val="StyleUnderline"/>
          <w:highlight w:val="yellow"/>
        </w:rPr>
        <w:t>policies suffer as a result</w:t>
      </w:r>
      <w:r w:rsidRPr="00D146F5">
        <w:rPr>
          <w:highlight w:val="yellow"/>
        </w:rPr>
        <w:t>.</w:t>
      </w:r>
      <w:r>
        <w:t xml:space="preserve"> 203 </w:t>
      </w:r>
      <w:r w:rsidRPr="003771E4">
        <w:rPr>
          <w:rStyle w:val="StyleUnderline"/>
        </w:rPr>
        <w:t xml:space="preserve">With every concession of flexibility comes a chance for failure, and </w:t>
      </w:r>
      <w:r w:rsidRPr="00D146F5">
        <w:rPr>
          <w:rStyle w:val="StyleUnderline"/>
          <w:highlight w:val="yellow"/>
        </w:rPr>
        <w:t>the result is a set of regulations with no substance or enforcement potential</w:t>
      </w:r>
      <w:r>
        <w:t xml:space="preserve">. 204 </w:t>
      </w:r>
      <w:r w:rsidRPr="00D146F5">
        <w:rPr>
          <w:rStyle w:val="Emphasis"/>
          <w:highlight w:val="yellow"/>
        </w:rPr>
        <w:t>Even if the initial policies or goals were sound</w:t>
      </w:r>
      <w:r w:rsidRPr="00D146F5">
        <w:rPr>
          <w:highlight w:val="yellow"/>
        </w:rPr>
        <w:t xml:space="preserve">, </w:t>
      </w:r>
      <w:r w:rsidRPr="00D146F5">
        <w:rPr>
          <w:rStyle w:val="Emphasis"/>
          <w:highlight w:val="yellow"/>
        </w:rPr>
        <w:t>the policies will likely never make any real, widespread change</w:t>
      </w:r>
      <w:r>
        <w:t>. 205 Section III(B)(1)(b) will explore the difficulty in implementing these innovations.</w:t>
      </w:r>
    </w:p>
    <w:p w:rsidR="0012110D" w:rsidRDefault="0012110D" w:rsidP="002B62E3">
      <w:pPr>
        <w:pStyle w:val="Heading3"/>
      </w:pPr>
      <w:r>
        <w:t>NB – circumvention</w:t>
      </w:r>
      <w:r w:rsidR="00157B45">
        <w:t xml:space="preserve"> – social capital</w:t>
      </w:r>
    </w:p>
    <w:p w:rsidR="0012110D" w:rsidRPr="008D7855" w:rsidRDefault="0012110D" w:rsidP="0012110D">
      <w:pPr>
        <w:pStyle w:val="Heading4"/>
      </w:pPr>
      <w:r>
        <w:t xml:space="preserve">Federalizing education strips </w:t>
      </w:r>
      <w:r w:rsidRPr="008D7855">
        <w:rPr>
          <w:u w:val="single"/>
        </w:rPr>
        <w:t>social capital</w:t>
      </w:r>
      <w:r>
        <w:t xml:space="preserve"> from education enforcers---makes follow-through at the school-level </w:t>
      </w:r>
      <w:r w:rsidRPr="008D7855">
        <w:rPr>
          <w:u w:val="single"/>
        </w:rPr>
        <w:t>less likely</w:t>
      </w:r>
    </w:p>
    <w:p w:rsidR="0012110D" w:rsidRPr="00FA5EDA" w:rsidRDefault="0012110D" w:rsidP="0012110D">
      <w:r w:rsidRPr="00FA5EDA">
        <w:rPr>
          <w:rStyle w:val="Style13ptBold"/>
        </w:rPr>
        <w:t>Mills 12</w:t>
      </w:r>
      <w:r>
        <w:t xml:space="preserve"> – Professor of Law @ NYU (Robert, “EDUCATIONAL INNOVATION AND THE LAW: THE CASE FOR EDUCATIONAL FEDERALISM: PROTECTING EDUCATIONAL POLICY FROM THE NATIONAL GOVERNMENT'S DISECONOMIES OF SCALE,” </w:t>
      </w:r>
      <w:r w:rsidRPr="00FA5EDA">
        <w:rPr>
          <w:i/>
        </w:rPr>
        <w:t>87 Notre Dame L. Rev. 1941</w:t>
      </w:r>
      <w:r>
        <w:t>, Lexis)//BB</w:t>
      </w:r>
    </w:p>
    <w:p w:rsidR="0012110D" w:rsidRDefault="0012110D" w:rsidP="0012110D">
      <w:r>
        <w:t>A. Three Advantages of Subnational Democracy For Mobilizing Support for Education</w:t>
      </w:r>
    </w:p>
    <w:p w:rsidR="0012110D" w:rsidRDefault="0012110D" w:rsidP="0012110D">
      <w:r w:rsidRPr="00F373F8">
        <w:rPr>
          <w:rStyle w:val="StyleUnderline"/>
        </w:rPr>
        <w:t>Consider three advantages of subnational democracy in mobilizing support for education - bonding social capital, home-value capitalization, and ideological sorting. Each of these advantages suggests that subnational government ought to play a lead</w:t>
      </w:r>
      <w:r>
        <w:t xml:space="preserve"> (although not an exclusive) </w:t>
      </w:r>
      <w:r w:rsidRPr="00F373F8">
        <w:rPr>
          <w:rStyle w:val="StyleUnderline"/>
        </w:rPr>
        <w:t>role in raising revenue for, and regulating the content of, education</w:t>
      </w:r>
      <w:r>
        <w:t>.</w:t>
      </w:r>
    </w:p>
    <w:p w:rsidR="0012110D" w:rsidRPr="00F373F8" w:rsidRDefault="0012110D" w:rsidP="0012110D">
      <w:pPr>
        <w:rPr>
          <w:rStyle w:val="Emphasis"/>
        </w:rPr>
      </w:pPr>
      <w:r w:rsidRPr="00F373F8">
        <w:rPr>
          <w:rStyle w:val="Emphasis"/>
        </w:rPr>
        <w:t>1. Bonding Social Capital and Subnational Democracy</w:t>
      </w:r>
    </w:p>
    <w:p w:rsidR="0012110D" w:rsidRDefault="0012110D" w:rsidP="0012110D">
      <w:r w:rsidRPr="00F373F8">
        <w:rPr>
          <w:rStyle w:val="StyleUnderline"/>
        </w:rPr>
        <w:t>Increasing the size of a community tends to increase its</w:t>
      </w:r>
      <w:r>
        <w:t xml:space="preserve"> demographic and ideological </w:t>
      </w:r>
      <w:r w:rsidRPr="00F373F8">
        <w:rPr>
          <w:rStyle w:val="StyleUnderline"/>
        </w:rPr>
        <w:t>heterogeneity, and there are reasons to believe that heterogeneity can impede cooperation by reducing</w:t>
      </w:r>
      <w:r>
        <w:t xml:space="preserve"> what Robert Putnam has termed "</w:t>
      </w:r>
      <w:r w:rsidRPr="00F373F8">
        <w:rPr>
          <w:rStyle w:val="StyleUnderline"/>
        </w:rPr>
        <w:t>bonding social capital</w:t>
      </w:r>
      <w:r>
        <w:t>." 37  "</w:t>
      </w:r>
      <w:r w:rsidRPr="00F373F8">
        <w:rPr>
          <w:rStyle w:val="StyleUnderline"/>
        </w:rPr>
        <w:t>Bonding social capital" refers to the capacity of like-minded persons to cooperate with each other in collective action tasks requiring high degrees of trust and reciprocity</w:t>
      </w:r>
      <w:r>
        <w:t xml:space="preserve">. 38  Putnam has defended the claim that social  [*1957]  heterogeneity decreases the capacity of citizens to cooperate, because people who think alike will tend to trust each other more than people who have ideological, religious, or cultural differences, 39  </w:t>
      </w:r>
      <w:r w:rsidRPr="00F373F8">
        <w:rPr>
          <w:rStyle w:val="StyleUnderline"/>
        </w:rPr>
        <w:t>a contention that</w:t>
      </w:r>
      <w:r>
        <w:t xml:space="preserve">, despite being hotly controverted, </w:t>
      </w:r>
      <w:r w:rsidRPr="00F373F8">
        <w:rPr>
          <w:rStyle w:val="StyleUnderline"/>
        </w:rPr>
        <w:t>has found support from other researchers measuring the capacity of citizens to unite for civic projects or interact with each other in political activities</w:t>
      </w:r>
      <w:r>
        <w:t>. 40  Despite the controversy that Putnam's claim has generated, the claim that ideological diversity impedes political cooperation is hardly novel, dating at least from James Madison's Federalist No. 10.</w:t>
      </w:r>
    </w:p>
    <w:p w:rsidR="0012110D" w:rsidRDefault="0012110D" w:rsidP="0012110D">
      <w:r w:rsidRPr="00F373F8">
        <w:rPr>
          <w:rStyle w:val="StyleUnderline"/>
        </w:rPr>
        <w:t>Regarding education</w:t>
      </w:r>
      <w:r>
        <w:t xml:space="preserve"> in particular, </w:t>
      </w:r>
      <w:r w:rsidRPr="00F373F8">
        <w:rPr>
          <w:rStyle w:val="StyleUnderline"/>
        </w:rPr>
        <w:t>there is</w:t>
      </w:r>
      <w:r>
        <w:t xml:space="preserve"> some </w:t>
      </w:r>
      <w:r w:rsidRPr="00F373F8">
        <w:rPr>
          <w:rStyle w:val="StyleUnderline"/>
        </w:rPr>
        <w:t>historical support for the claim that communities with lower levels of ethnocultural, ideological, and income diversity have found it easier to raise revenue for educational investment</w:t>
      </w:r>
      <w:r>
        <w:t xml:space="preserve">s. Claudia Goldin and Laurence Katz found that </w:t>
      </w:r>
      <w:r w:rsidRPr="00F373F8">
        <w:rPr>
          <w:rStyle w:val="StyleUnderline"/>
        </w:rPr>
        <w:t>school districts' voters were more likely to embrace the massive investment in high schools during the early twentieth century if they were more economically and ethnoculturally homogenous</w:t>
      </w:r>
      <w:r>
        <w:t xml:space="preserve">. 41  Likewise Marion Orr found that inter-racial distrust distracted Baltimore schools from their educational mission. 42 </w:t>
      </w:r>
    </w:p>
    <w:p w:rsidR="0012110D" w:rsidRDefault="0012110D" w:rsidP="0012110D">
      <w:r>
        <w:t xml:space="preserve">Households with children tend to have many opportunities for social and political interaction, simply because children draw parents into social networks of sports leagues, parent-teacher associations, and more informal school activities. As William Fischel notes, these networks can be used to participate in public life, as households with children  [*1958]  come to know and trust each other as a result of their other interactions in school-based networks. 43  But Fischel also notes that the </w:t>
      </w:r>
      <w:r w:rsidRPr="00F373F8">
        <w:rPr>
          <w:rStyle w:val="StyleUnderline"/>
        </w:rPr>
        <w:t>social capital created by these networks is "community-specific": it is most effective within</w:t>
      </w:r>
      <w:r>
        <w:t xml:space="preserve"> the </w:t>
      </w:r>
      <w:r w:rsidRPr="00F373F8">
        <w:rPr>
          <w:rStyle w:val="StyleUnderline"/>
        </w:rPr>
        <w:t>local jurisdictions</w:t>
      </w:r>
      <w:r>
        <w:t xml:space="preserve"> in which the network of "social capitalists" is concentrated. 44  Learning how to divide up time and talking points with one's neighbors helps a lot at the school board's microphone, because the neighbors are all physically concentrated within the jurisdiction of the school board. Those skills will not, however, help a lot with coordinating a campaign to influence a congressional committee chair residing in another state. 45 </w:t>
      </w:r>
    </w:p>
    <w:p w:rsidR="0012110D" w:rsidRDefault="0012110D" w:rsidP="0012110D">
      <w:r w:rsidRPr="00503FF2">
        <w:rPr>
          <w:rStyle w:val="Emphasis"/>
        </w:rPr>
        <w:t>Elevating educational policymaking to the federal level</w:t>
      </w:r>
      <w:r w:rsidRPr="00F373F8">
        <w:rPr>
          <w:rStyle w:val="StyleUnderline"/>
        </w:rPr>
        <w:t xml:space="preserve">, therefore, </w:t>
      </w:r>
      <w:r w:rsidRPr="008D7855">
        <w:rPr>
          <w:rStyle w:val="Emphasis"/>
        </w:rPr>
        <w:t>strips households with children of their most valuable political asset</w:t>
      </w:r>
      <w:r>
        <w:t xml:space="preserve"> - </w:t>
      </w:r>
      <w:r w:rsidRPr="008D7855">
        <w:rPr>
          <w:rStyle w:val="Emphasis"/>
        </w:rPr>
        <w:t>their social capital derived from their local networks</w:t>
      </w:r>
      <w:r w:rsidRPr="008D7855">
        <w:rPr>
          <w:rStyle w:val="StyleUnderline"/>
        </w:rPr>
        <w:t>. As the relevant constituency increases in size</w:t>
      </w:r>
      <w:r>
        <w:t xml:space="preserve">, those </w:t>
      </w:r>
      <w:r w:rsidRPr="008D7855">
        <w:rPr>
          <w:rStyle w:val="StyleUnderline"/>
        </w:rPr>
        <w:t>personal networks become less politically useful: they are replaced by</w:t>
      </w:r>
      <w:r>
        <w:t xml:space="preserve"> media that create connections between strangers - </w:t>
      </w:r>
      <w:r w:rsidRPr="008D7855">
        <w:rPr>
          <w:rStyle w:val="StyleUnderline"/>
        </w:rPr>
        <w:t>mass mail alerts, email blasts, blog posts, newsletters, television advertisements, etc. Because these mass-mobilizing devices cost money and require expertise in mass communication, groups with expertise in fundraising will have a comparative advantage over households with children. In effect, the change in level of government also changes relative to political power, placing households with children on turf where their skills and in-person networks are least relevant and where fundraising skills are most relevant</w:t>
      </w:r>
      <w:r>
        <w:t xml:space="preserve">. 46 </w:t>
      </w:r>
    </w:p>
    <w:p w:rsidR="0012110D" w:rsidRDefault="0012110D" w:rsidP="0012110D">
      <w:r>
        <w:t xml:space="preserve">By suggesting that households with children will do better subnationally rather than nationally, I do not mean to suggest that smaller jurisdictions are always "closer to the people." On issues where the costs of acquiring information are very high, there might be scale economies in communication that outweigh the advantages of cheap access to local political networks. For constituencies that are unaware or uninterested in the relevant policies, the advantages of a large and heterogeneous political ecology - a diverse national media with dozens of websites, high levels of television coverage, nationally competitive political parties, a plethora of competing interest groups, etc. - may promote political participation far more effectively than the ease of showing up at a hearing in person. Because national political  [*1959]  processes tend to be more salient than subnational processes, the former might actually be "closer to the people" than the latter whenever public consciousness of or interest in political issues is low. 47 </w:t>
      </w:r>
    </w:p>
    <w:p w:rsidR="0012110D" w:rsidRDefault="0012110D" w:rsidP="0012110D">
      <w:r>
        <w:t xml:space="preserve">But </w:t>
      </w:r>
      <w:r w:rsidRPr="008D7855">
        <w:rPr>
          <w:rStyle w:val="StyleUnderline"/>
        </w:rPr>
        <w:t>the peculiar characteristic of stably governed households with children is that their high stakes in educational policymaking already tend to make them well-informed about educational policy disputes, without the aid of a dense and heterogeneous interest group and media environment</w:t>
      </w:r>
      <w:r>
        <w:t xml:space="preserve">. </w:t>
      </w:r>
      <w:r w:rsidRPr="008D7855">
        <w:rPr>
          <w:rStyle w:val="Emphasis"/>
        </w:rPr>
        <w:t>The marginal gains in issue-salience from elevating educational issues to the national level will</w:t>
      </w:r>
      <w:r>
        <w:t xml:space="preserve">, therefore, likely </w:t>
      </w:r>
      <w:r w:rsidRPr="008D7855">
        <w:rPr>
          <w:rStyle w:val="Emphasis"/>
        </w:rPr>
        <w:t>be small</w:t>
      </w:r>
      <w:r>
        <w:t xml:space="preserve">, </w:t>
      </w:r>
      <w:r w:rsidRPr="008D7855">
        <w:rPr>
          <w:rStyle w:val="Emphasis"/>
        </w:rPr>
        <w:t>while the loss of access to the relevant decision-makers is large</w:t>
      </w:r>
      <w:r>
        <w:t xml:space="preserve">. If one accepts the argument in Part I that these households deserve special deference on their educational decisions, then it also follows that </w:t>
      </w:r>
      <w:r w:rsidRPr="008D7855">
        <w:rPr>
          <w:rStyle w:val="Emphasis"/>
        </w:rPr>
        <w:t>subnational politics ought to receive special primacy on educational policy-making</w:t>
      </w:r>
      <w:r>
        <w:t>, because subnational politics tend to give more weight to the political strengths of stably governed households.</w:t>
      </w:r>
    </w:p>
    <w:p w:rsidR="00157B45" w:rsidRDefault="00157B45" w:rsidP="00157B45">
      <w:pPr>
        <w:pStyle w:val="Heading4"/>
      </w:pPr>
      <w:r>
        <w:t>Social capital is the key determinant of education policy success</w:t>
      </w:r>
    </w:p>
    <w:p w:rsidR="00157B45" w:rsidRPr="00157B45" w:rsidRDefault="00157B45" w:rsidP="00157B45">
      <w:r w:rsidRPr="00157B45">
        <w:rPr>
          <w:rStyle w:val="Style13ptBold"/>
        </w:rPr>
        <w:t>O’Day and Smith 16</w:t>
      </w:r>
      <w:r>
        <w:t xml:space="preserve"> - * Institute Fellow of American Institutes for Research and is the Founder and Chair of the California Collaborative on District Reform. Her research has focused on system change, improvement in high-poverty districts and schools, and policies affecting English language learners, ** Senior Scholar at the Carnegie Foundation for the Advancement of Teaching, a former Dean and Professor at Stanford, and a former Under Secretary and Acting Deputy Secretary at the U.S. Department of Education in the Clinton administration. He is a Fellow of the American Academy of Arts and Sciences and the National Academy of Education (Jennifer and Marshall, “Equality and Quality in U.S. Education,” </w:t>
      </w:r>
      <w:r w:rsidRPr="00157B45">
        <w:rPr>
          <w:i/>
        </w:rPr>
        <w:t>American Institute for Research</w:t>
      </w:r>
      <w:r>
        <w:t>, http://www.air.org/sites/default/files/downloads/report/Equality-Quality-Education-EPC-September-2016.pdf)//BB</w:t>
      </w:r>
    </w:p>
    <w:p w:rsidR="00157B45" w:rsidRDefault="00157B45" w:rsidP="0012110D">
      <w:r w:rsidRPr="00157B45">
        <w:rPr>
          <w:rStyle w:val="Emphasis"/>
        </w:rPr>
        <w:t>Implementation is a social process</w:t>
      </w:r>
      <w:r>
        <w:t xml:space="preserve">. </w:t>
      </w:r>
      <w:r w:rsidRPr="00157B45">
        <w:rPr>
          <w:rStyle w:val="StyleUnderline"/>
        </w:rPr>
        <w:t xml:space="preserve">Effective implementation requires activating </w:t>
      </w:r>
      <w:r>
        <w:t>relationships among people, groups, and organizations (</w:t>
      </w:r>
      <w:r w:rsidRPr="00157B45">
        <w:rPr>
          <w:rStyle w:val="Emphasis"/>
        </w:rPr>
        <w:t>social capital</w:t>
      </w:r>
      <w:r>
        <w:t>)—</w:t>
      </w:r>
      <w:r w:rsidRPr="00157B45">
        <w:rPr>
          <w:rStyle w:val="Emphasis"/>
        </w:rPr>
        <w:t>not just once but repeatedly and continually</w:t>
      </w:r>
      <w:r>
        <w:t xml:space="preserve">. In high-poverty contexts, staff turnover and a lack of trust often impede the development of the strong relationships needed to make evidence-based practices work and to foster individual and organizational learning. </w:t>
      </w:r>
      <w:r w:rsidRPr="00157B45">
        <w:rPr>
          <w:rStyle w:val="StyleUnderline"/>
        </w:rPr>
        <w:t xml:space="preserve">Attempts to ensure implementation and the spread of effective practices through administrative mandates do </w:t>
      </w:r>
      <w:r w:rsidRPr="00EB074B">
        <w:rPr>
          <w:rStyle w:val="Emphasis"/>
        </w:rPr>
        <w:t>little to solve the problem</w:t>
      </w:r>
      <w:r w:rsidRPr="00157B45">
        <w:rPr>
          <w:rStyle w:val="StyleUnderline"/>
        </w:rPr>
        <w:t xml:space="preserve"> as they too often lead to </w:t>
      </w:r>
      <w:r w:rsidRPr="00EB074B">
        <w:rPr>
          <w:rStyle w:val="Emphasis"/>
        </w:rPr>
        <w:t>superficial compliance without deep understanding or committed action</w:t>
      </w:r>
      <w:r>
        <w:t xml:space="preserve">. Lesson Two: Piecemeal Reforms Leave Systemic Contributors Untouched </w:t>
      </w:r>
      <w:r w:rsidRPr="00157B45">
        <w:rPr>
          <w:rStyle w:val="StyleUnderline"/>
        </w:rPr>
        <w:t>Many</w:t>
      </w:r>
      <w:r>
        <w:t xml:space="preserve"> of these </w:t>
      </w:r>
      <w:r w:rsidRPr="00157B45">
        <w:rPr>
          <w:rStyle w:val="StyleUnderline"/>
        </w:rPr>
        <w:t>implementation challenges persist because isolated and piecemeal reforms seldom address the underlying systemic contributors to the targeted situation or inequity</w:t>
      </w:r>
      <w:r>
        <w:t xml:space="preserve">. Moreover, incoherence and instability in the policy environment make it difficult to identify and change these contributing conditions. </w:t>
      </w:r>
      <w:r w:rsidRPr="00157B45">
        <w:rPr>
          <w:rStyle w:val="StyleUnderline"/>
        </w:rPr>
        <w:t>Superintendents, school boards, and legislators come and go</w:t>
      </w:r>
      <w:r>
        <w:t>—often with great frequency—</w:t>
      </w:r>
      <w:r w:rsidRPr="00157B45">
        <w:rPr>
          <w:rStyle w:val="StyleUnderline"/>
        </w:rPr>
        <w:t>whereas disparities in resources and practices go on, bolstered by institutionalized structures and beliefs. On the ground, schools in high-poverty neighborhoods lack</w:t>
      </w:r>
      <w:r>
        <w:t xml:space="preserve"> the information, trust, and </w:t>
      </w:r>
      <w:r w:rsidRPr="00157B45">
        <w:rPr>
          <w:rStyle w:val="StyleUnderline"/>
        </w:rPr>
        <w:t>capacity they need to examine their practices and results over time and are pulled in multiple and conflicting directions by the mixed messages they receive</w:t>
      </w:r>
      <w:r>
        <w:t>. High-stakes testing and rigid accountability measures can compound these issues and have the effect of drawing attention to avoiding consequences for adults rather than ensuring progress for students.</w:t>
      </w:r>
    </w:p>
    <w:p w:rsidR="0012110D" w:rsidRDefault="0012110D" w:rsidP="0012110D">
      <w:pPr>
        <w:pStyle w:val="Heading4"/>
      </w:pPr>
      <w:r>
        <w:t xml:space="preserve">Federal mandates makes parents </w:t>
      </w:r>
      <w:r w:rsidRPr="00B117AA">
        <w:rPr>
          <w:u w:val="single"/>
        </w:rPr>
        <w:t>believe</w:t>
      </w:r>
      <w:r>
        <w:t xml:space="preserve"> they have less choice--depletes </w:t>
      </w:r>
      <w:r w:rsidRPr="00F403AB">
        <w:rPr>
          <w:u w:val="single"/>
        </w:rPr>
        <w:t>parent buy-in</w:t>
      </w:r>
      <w:r>
        <w:t>---lowers educational outcomes</w:t>
      </w:r>
    </w:p>
    <w:p w:rsidR="0012110D" w:rsidRPr="00196875" w:rsidRDefault="0012110D" w:rsidP="0012110D">
      <w:r w:rsidRPr="00196875">
        <w:rPr>
          <w:rStyle w:val="Style13ptBold"/>
        </w:rPr>
        <w:t>Pinder 10</w:t>
      </w:r>
      <w:r>
        <w:t xml:space="preserve"> - Associate Professor, John Marshall Law School, Atlanta, Georgia; former program attorney, Office of the General Counsel, U.S. Department of Education. B.A., Smith College; J.D., New York University School of Law; LL.M., Georgetown University Law Center (Kamina, “Federal Demand and Local Choice: Safeguarding the Notion of Federalism in Education Law and Policy, </w:t>
      </w:r>
      <w:r w:rsidRPr="005E27CF">
        <w:rPr>
          <w:i/>
        </w:rPr>
        <w:t>39 J.L. &amp; Educ. 1</w:t>
      </w:r>
      <w:r>
        <w:t>, Lexis)//BB</w:t>
      </w:r>
    </w:p>
    <w:p w:rsidR="0012110D" w:rsidRPr="00FA5EDA" w:rsidRDefault="0012110D" w:rsidP="0012110D">
      <w:r>
        <w:t xml:space="preserve">Professor Heise suggests </w:t>
      </w:r>
      <w:r w:rsidRPr="005E27CF">
        <w:rPr>
          <w:rStyle w:val="StyleUnderline"/>
        </w:rPr>
        <w:t>control of educational policy should be given to the level of government that pays the associated costs</w:t>
      </w:r>
      <w:r>
        <w:t xml:space="preserve"> and asserts that by decoupling funding and policy, NCLB dilutes voting citizens' influence. 182  Connecting policy to funding may serve to protect federalist interests in most instances, but as states and the federal government increasingly fund education, they are presented with a danger in connecting funding to control. Although poor districts do not have the fiscal resources necessary to provide basic educational needs, much less innovative educational programs, 183  </w:t>
      </w:r>
      <w:r w:rsidRPr="005E27CF">
        <w:rPr>
          <w:rStyle w:val="StyleUnderline"/>
        </w:rPr>
        <w:t xml:space="preserve">there is value in </w:t>
      </w:r>
      <w:r w:rsidRPr="00F65918">
        <w:t>allowing the local voter to have input in</w:t>
      </w:r>
      <w:r w:rsidRPr="005E27CF">
        <w:rPr>
          <w:rStyle w:val="StyleUnderline"/>
        </w:rPr>
        <w:t xml:space="preserve"> local education policy </w:t>
      </w:r>
      <w:r w:rsidRPr="00A064CD">
        <w:rPr>
          <w:rStyle w:val="Emphasis"/>
        </w:rPr>
        <w:t>rather than imposing it from the federal level</w:t>
      </w:r>
      <w:r w:rsidRPr="005E27CF">
        <w:rPr>
          <w:rStyle w:val="StyleUnderline"/>
        </w:rPr>
        <w:t xml:space="preserve">. Evidence supports the claim that the less input parents have on their children's educational choices, the </w:t>
      </w:r>
      <w:r w:rsidRPr="0012110D">
        <w:rPr>
          <w:rStyle w:val="Emphasis"/>
        </w:rPr>
        <w:t>less successful the educational experience</w:t>
      </w:r>
      <w:r>
        <w:t xml:space="preserve">. 184  Interestingly, at least part of that parental input may be attributable to spending; </w:t>
      </w:r>
      <w:r w:rsidRPr="005E27CF">
        <w:rPr>
          <w:rStyle w:val="StyleUnderline"/>
        </w:rPr>
        <w:t>parents who are disconnected from school spending are less likely to be interested in assessing schools' educational value</w:t>
      </w:r>
      <w:r>
        <w:t xml:space="preserve">. 185 </w:t>
      </w:r>
    </w:p>
    <w:p w:rsidR="0012110D" w:rsidRDefault="0012110D" w:rsidP="0012110D">
      <w:pPr>
        <w:pStyle w:val="Heading4"/>
      </w:pPr>
      <w:r>
        <w:t>Fiat doesn’t solve---feds can’t force compliance at state, local and school level</w:t>
      </w:r>
    </w:p>
    <w:p w:rsidR="0012110D" w:rsidRPr="001F0B87" w:rsidRDefault="0012110D" w:rsidP="0012110D">
      <w:r w:rsidRPr="00E65C81">
        <w:rPr>
          <w:rStyle w:val="Style13ptBold"/>
        </w:rPr>
        <w:t xml:space="preserve">Lips </w:t>
      </w:r>
      <w:r>
        <w:rPr>
          <w:rStyle w:val="Style13ptBold"/>
        </w:rPr>
        <w:t>10</w:t>
      </w:r>
      <w:r>
        <w:t xml:space="preserve"> - senior fellow at the Goldwater Institute and the Maryland Public Policy Institute, former Education Analyst in the Domestic Policy Studies Department at The Heritage Foundation (Dan, “A Smarter Path to a "Race to the Top" in Education Reform,” Heritage Foundation, http://www.heritage.org/education/report/smarter-path-race-the-top-education-reform)//BB</w:t>
      </w:r>
    </w:p>
    <w:p w:rsidR="0012110D" w:rsidRDefault="0012110D" w:rsidP="0012110D">
      <w:r>
        <w:t xml:space="preserve">First, </w:t>
      </w:r>
      <w:r w:rsidRPr="001F0B87">
        <w:rPr>
          <w:rStyle w:val="StyleUnderline"/>
        </w:rPr>
        <w:t xml:space="preserve">the federal government has a </w:t>
      </w:r>
      <w:r w:rsidRPr="001F0B87">
        <w:rPr>
          <w:rStyle w:val="Emphasis"/>
        </w:rPr>
        <w:t>limited ability</w:t>
      </w:r>
      <w:r w:rsidRPr="001F0B87">
        <w:rPr>
          <w:rStyle w:val="StyleUnderline"/>
        </w:rPr>
        <w:t xml:space="preserve"> to force states and school districts to comply with reforms. In reality, the struggle to implement real school reforms at the state and local level is a political one. For school reforms to work, state and local leaders and education officials </w:t>
      </w:r>
      <w:r w:rsidRPr="001F0B87">
        <w:rPr>
          <w:rStyle w:val="Emphasis"/>
        </w:rPr>
        <w:t>must</w:t>
      </w:r>
      <w:r w:rsidRPr="001F0B87">
        <w:rPr>
          <w:rStyle w:val="StyleUnderline"/>
        </w:rPr>
        <w:t xml:space="preserve"> embrace reform strategies and commit to seeing through their implementation</w:t>
      </w:r>
      <w:r>
        <w:t xml:space="preserve">. </w:t>
      </w:r>
      <w:r w:rsidRPr="001F0B87">
        <w:rPr>
          <w:rStyle w:val="StyleUnderline"/>
        </w:rPr>
        <w:t xml:space="preserve">Federal </w:t>
      </w:r>
      <w:r w:rsidRPr="00EB074B">
        <w:t>incentives and</w:t>
      </w:r>
      <w:r w:rsidRPr="001F0B87">
        <w:rPr>
          <w:rStyle w:val="StyleUnderline"/>
        </w:rPr>
        <w:t xml:space="preserve"> punishments </w:t>
      </w:r>
      <w:r w:rsidRPr="001F0B87">
        <w:rPr>
          <w:rStyle w:val="Emphasis"/>
        </w:rPr>
        <w:t>will have a limited ability</w:t>
      </w:r>
      <w:r w:rsidRPr="001F0B87">
        <w:rPr>
          <w:rStyle w:val="StyleUnderline"/>
        </w:rPr>
        <w:t xml:space="preserve"> to convince state and local politicians to take on </w:t>
      </w:r>
      <w:r w:rsidRPr="00EB074B">
        <w:t>the political challenge of</w:t>
      </w:r>
      <w:r w:rsidRPr="001F0B87">
        <w:rPr>
          <w:rStyle w:val="StyleUnderline"/>
        </w:rPr>
        <w:t xml:space="preserve"> education reform</w:t>
      </w:r>
      <w:r>
        <w:t>.</w:t>
      </w:r>
    </w:p>
    <w:p w:rsidR="0012110D" w:rsidRPr="0012110D" w:rsidRDefault="0012110D" w:rsidP="0012110D"/>
    <w:p w:rsidR="002B62E3" w:rsidRDefault="002B62E3" w:rsidP="002B62E3">
      <w:pPr>
        <w:pStyle w:val="Heading3"/>
      </w:pPr>
      <w:r>
        <w:t>NB –</w:t>
      </w:r>
      <w:r w:rsidR="0012110D">
        <w:t xml:space="preserve"> SEAs</w:t>
      </w:r>
    </w:p>
    <w:p w:rsidR="002B62E3" w:rsidRDefault="002B62E3" w:rsidP="002B62E3">
      <w:pPr>
        <w:pStyle w:val="Heading4"/>
      </w:pPr>
      <w:r>
        <w:t xml:space="preserve">The counterplan </w:t>
      </w:r>
      <w:r w:rsidRPr="006928B5">
        <w:rPr>
          <w:u w:val="single"/>
        </w:rPr>
        <w:t>alone</w:t>
      </w:r>
      <w:r>
        <w:t xml:space="preserve"> promotes SEA leadership</w:t>
      </w:r>
      <w:r w:rsidR="00B82638">
        <w:t>—which promotes state innovation</w:t>
      </w:r>
      <w:r>
        <w:t xml:space="preserve">---the plan and perm tradeoff by shifting SEA resources towards </w:t>
      </w:r>
      <w:r w:rsidRPr="006928B5">
        <w:rPr>
          <w:u w:val="single"/>
        </w:rPr>
        <w:t>compliance</w:t>
      </w:r>
      <w:r>
        <w:t xml:space="preserve"> with federal regulations, and undercutting SEA trend-setting</w:t>
      </w:r>
    </w:p>
    <w:p w:rsidR="00B04324" w:rsidRPr="00B04324" w:rsidRDefault="00B04324" w:rsidP="00B04324">
      <w:r>
        <w:t>---the impact is achievement gaps</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Pr="0073550C" w:rsidRDefault="002B62E3" w:rsidP="002B62E3">
      <w:r>
        <w:t>***SEA = State Education Agencies</w:t>
      </w:r>
    </w:p>
    <w:p w:rsidR="002B62E3" w:rsidRDefault="002B62E3" w:rsidP="002B62E3">
      <w:r>
        <w:t xml:space="preserve">Under the Every Student Succeeds Act (ESSA), </w:t>
      </w:r>
      <w:r w:rsidRPr="00692E42">
        <w:rPr>
          <w:rStyle w:val="StyleUnderline"/>
        </w:rPr>
        <w:t>states have considerably more</w:t>
      </w:r>
      <w:r>
        <w:rPr>
          <w:rStyle w:val="StyleUnderline"/>
        </w:rPr>
        <w:t xml:space="preserve"> </w:t>
      </w:r>
      <w:r w:rsidRPr="00692E42">
        <w:rPr>
          <w:rStyle w:val="StyleUnderline"/>
        </w:rPr>
        <w:t>flexibility and authority in K-12 education than they had under the previous federal</w:t>
      </w:r>
      <w:r>
        <w:rPr>
          <w:rStyle w:val="StyleUnderline"/>
        </w:rPr>
        <w:t xml:space="preserve"> </w:t>
      </w:r>
      <w:r w:rsidRPr="00692E42">
        <w:rPr>
          <w:rStyle w:val="StyleUnderline"/>
        </w:rPr>
        <w:t>education law</w:t>
      </w:r>
      <w:r>
        <w:t xml:space="preserve">, No Child Left Behind (NCLB). </w:t>
      </w:r>
      <w:r w:rsidRPr="00692E42">
        <w:rPr>
          <w:rStyle w:val="StyleUnderline"/>
        </w:rPr>
        <w:t>And with this increased power comes the</w:t>
      </w:r>
      <w:r>
        <w:rPr>
          <w:rStyle w:val="StyleUnderline"/>
        </w:rPr>
        <w:t xml:space="preserve"> </w:t>
      </w:r>
      <w:r w:rsidRPr="00692E42">
        <w:rPr>
          <w:rStyle w:val="StyleUnderline"/>
        </w:rPr>
        <w:t>increased responsibility to support the improvement of educational outcomes for every</w:t>
      </w:r>
      <w:r>
        <w:rPr>
          <w:rStyle w:val="StyleUnderline"/>
        </w:rPr>
        <w:t xml:space="preserve"> </w:t>
      </w:r>
      <w:r w:rsidRPr="00692E42">
        <w:rPr>
          <w:rStyle w:val="StyleUnderline"/>
        </w:rPr>
        <w:t>student in the state. Leaders at the helm of state education agencies</w:t>
      </w:r>
      <w:r>
        <w:t xml:space="preserve"> (SEAs) therefore </w:t>
      </w:r>
      <w:r w:rsidRPr="00692E42">
        <w:rPr>
          <w:rStyle w:val="StyleUnderline"/>
        </w:rPr>
        <w:t>find</w:t>
      </w:r>
      <w:r>
        <w:t xml:space="preserve"> </w:t>
      </w:r>
      <w:r w:rsidRPr="00692E42">
        <w:rPr>
          <w:rStyle w:val="StyleUnderline"/>
        </w:rPr>
        <w:t xml:space="preserve">themselves in a moment of both great change and great opportunity, as </w:t>
      </w:r>
      <w:r>
        <w:t xml:space="preserve">many </w:t>
      </w:r>
      <w:r w:rsidRPr="00692E42">
        <w:rPr>
          <w:rStyle w:val="StyleUnderline"/>
        </w:rPr>
        <w:t>agencies</w:t>
      </w:r>
      <w:r>
        <w:t xml:space="preserve"> </w:t>
      </w:r>
      <w:r w:rsidRPr="00692E42">
        <w:rPr>
          <w:rStyle w:val="StyleUnderline"/>
        </w:rPr>
        <w:t xml:space="preserve">move </w:t>
      </w:r>
      <w:r w:rsidRPr="00692E42">
        <w:rPr>
          <w:rStyle w:val="Emphasis"/>
        </w:rPr>
        <w:t>away from a predominant focus on compliance with federal regulations</w:t>
      </w:r>
      <w:r w:rsidRPr="00692E42">
        <w:rPr>
          <w:rStyle w:val="StyleUnderline"/>
        </w:rPr>
        <w:t xml:space="preserve"> and</w:t>
      </w:r>
      <w:r>
        <w:rPr>
          <w:rStyle w:val="StyleUnderline"/>
        </w:rPr>
        <w:t xml:space="preserve"> </w:t>
      </w:r>
      <w:r>
        <w:t xml:space="preserve">programmatically dictated uses of funds, and </w:t>
      </w:r>
      <w:r w:rsidRPr="00692E42">
        <w:rPr>
          <w:rStyle w:val="Emphasis"/>
        </w:rPr>
        <w:t>toward a broader focus on supporting</w:t>
      </w:r>
      <w:r>
        <w:t xml:space="preserve"> districts and </w:t>
      </w:r>
      <w:r w:rsidRPr="00692E42">
        <w:rPr>
          <w:rStyle w:val="Emphasis"/>
        </w:rPr>
        <w:t>schools</w:t>
      </w:r>
      <w:r>
        <w:t xml:space="preserve">. For many advocates of low-performing students, </w:t>
      </w:r>
      <w:r w:rsidRPr="00692E42">
        <w:rPr>
          <w:rStyle w:val="StyleUnderline"/>
        </w:rPr>
        <w:t>it is</w:t>
      </w:r>
      <w:r>
        <w:t xml:space="preserve"> also </w:t>
      </w:r>
      <w:r w:rsidRPr="00692E42">
        <w:rPr>
          <w:rStyle w:val="StyleUnderline"/>
        </w:rPr>
        <w:t>a moment</w:t>
      </w:r>
      <w:r>
        <w:rPr>
          <w:rStyle w:val="StyleUnderline"/>
        </w:rPr>
        <w:t xml:space="preserve"> </w:t>
      </w:r>
      <w:r w:rsidRPr="00692E42">
        <w:rPr>
          <w:rStyle w:val="StyleUnderline"/>
        </w:rPr>
        <w:t>of potential peril if states fail to embrace their new responsibilities and</w:t>
      </w:r>
      <w:r>
        <w:t xml:space="preserve"> work hard to </w:t>
      </w:r>
      <w:r w:rsidRPr="00692E42">
        <w:rPr>
          <w:rStyle w:val="StyleUnderline"/>
        </w:rPr>
        <w:t>improve educational opportunity and outcomes</w:t>
      </w:r>
      <w:r>
        <w:t xml:space="preserve">. As the definition of – and responsibility for – success changes in this new environment, the roles of the SEA [State Education Agencies] deserve reconsideration. There is no “correct” set of roles for the SEA [State Education Agencies], no consistent answer to the question of which activities a state agency should – or should not – engage in. Each SEA [State Education Agencies] is starting from a different place along a change management continuum, and each has different educational strengths and assets to build upon, different needs to address, and a unique set of laws to follow and traditions to respect. ESSA presents </w:t>
      </w:r>
      <w:r w:rsidRPr="00692E42">
        <w:rPr>
          <w:rStyle w:val="Emphasis"/>
        </w:rPr>
        <w:t>fewer federal mandates</w:t>
      </w:r>
      <w:r>
        <w:t xml:space="preserve">, which </w:t>
      </w:r>
      <w:r w:rsidRPr="00692E42">
        <w:rPr>
          <w:rStyle w:val="Emphasis"/>
        </w:rPr>
        <w:t>opens the door to state creativity</w:t>
      </w:r>
      <w:r>
        <w:rPr>
          <w:rStyle w:val="Emphasis"/>
        </w:rPr>
        <w:t xml:space="preserve"> </w:t>
      </w:r>
      <w:r w:rsidRPr="00692E42">
        <w:rPr>
          <w:rStyle w:val="Emphasis"/>
        </w:rPr>
        <w:t>and innovation</w:t>
      </w:r>
      <w:r>
        <w:t xml:space="preserve">. But having fewer mandates also raises questions about state capacity and removes the political cover that was, until recently, provided by federal rules. </w:t>
      </w:r>
      <w:r w:rsidRPr="00692E42">
        <w:rPr>
          <w:rStyle w:val="StyleUnderline"/>
        </w:rPr>
        <w:t>With this</w:t>
      </w:r>
      <w:r>
        <w:rPr>
          <w:rStyle w:val="StyleUnderline"/>
        </w:rPr>
        <w:t xml:space="preserve"> </w:t>
      </w:r>
      <w:r w:rsidRPr="00692E42">
        <w:rPr>
          <w:rStyle w:val="StyleUnderline"/>
        </w:rPr>
        <w:t>reduction in federal direction and oversight, the onus to define and implement a vision for</w:t>
      </w:r>
      <w:r>
        <w:rPr>
          <w:rStyle w:val="StyleUnderline"/>
        </w:rPr>
        <w:t xml:space="preserve"> </w:t>
      </w:r>
      <w:r w:rsidRPr="00692E42">
        <w:rPr>
          <w:rStyle w:val="StyleUnderline"/>
        </w:rPr>
        <w:t>the state’s educational future will rest</w:t>
      </w:r>
      <w:r>
        <w:t xml:space="preserve"> almost </w:t>
      </w:r>
      <w:r w:rsidRPr="00692E42">
        <w:rPr>
          <w:rStyle w:val="StyleUnderline"/>
        </w:rPr>
        <w:t>entirely with the state’s educational</w:t>
      </w:r>
      <w:r>
        <w:rPr>
          <w:rStyle w:val="StyleUnderline"/>
        </w:rPr>
        <w:t xml:space="preserve"> </w:t>
      </w:r>
      <w:r w:rsidRPr="00692E42">
        <w:rPr>
          <w:rStyle w:val="StyleUnderline"/>
        </w:rPr>
        <w:t>leadership</w:t>
      </w:r>
      <w:r>
        <w:t xml:space="preserve">. And while leading change is done by a few, it is work that can be undone by many. </w:t>
      </w:r>
      <w:r w:rsidRPr="00692E42">
        <w:rPr>
          <w:rStyle w:val="StyleUnderline"/>
        </w:rPr>
        <w:t>States therefore should be very deliberate in fostering</w:t>
      </w:r>
      <w:r>
        <w:t xml:space="preserve"> conditions within the state that are conducive to </w:t>
      </w:r>
      <w:r w:rsidRPr="00692E42">
        <w:rPr>
          <w:rStyle w:val="StyleUnderline"/>
        </w:rPr>
        <w:t>educational improvement</w:t>
      </w:r>
      <w:r>
        <w:t xml:space="preserve"> and consistent with the state’s vision — building statewide understanding of the problems, support for the proposed solutions, and pressure to perform at higher levels. </w:t>
      </w:r>
      <w:r w:rsidRPr="00692E42">
        <w:rPr>
          <w:rStyle w:val="StyleUnderline"/>
        </w:rPr>
        <w:t>This will not be easy</w:t>
      </w:r>
      <w:r>
        <w:t xml:space="preserve">. Driving educational change from the state capitol all the way down to the classroom is extraordinarily difficult. For reforms to succeed, state policy changes must change district practice, district practices must change the behavior of principals and teachers, and school-level changes must deliver improved student performance.1 As a result, the </w:t>
      </w:r>
      <w:r w:rsidRPr="00692E42">
        <w:rPr>
          <w:rStyle w:val="StyleUnderline"/>
        </w:rPr>
        <w:t>vigor and effectiveness of</w:t>
      </w:r>
      <w:r>
        <w:t xml:space="preserve"> SEAs [</w:t>
      </w:r>
      <w:r w:rsidRPr="00692E42">
        <w:rPr>
          <w:rStyle w:val="StyleUnderline"/>
        </w:rPr>
        <w:t>State Education Agencies</w:t>
      </w:r>
      <w:r>
        <w:t xml:space="preserve">] — and their ability to support local districts — </w:t>
      </w:r>
      <w:r w:rsidRPr="00692E42">
        <w:rPr>
          <w:rStyle w:val="StyleUnderline"/>
        </w:rPr>
        <w:t>will be critical</w:t>
      </w:r>
      <w:r>
        <w:t xml:space="preserve">, particularly as states now have more discretion over education policy in the wake of ESSA. But state commitment alone may not be sufficient, for, as many scholars have noted, states suffer from a “capacity gap” that undermines their ability to monitor and enforce policy mandates and provide technical guidance to districts. </w:t>
      </w:r>
      <w:r w:rsidRPr="00692E42">
        <w:rPr>
          <w:rStyle w:val="StyleUnderline"/>
        </w:rPr>
        <w:t>States must acknowledge</w:t>
      </w:r>
      <w:r>
        <w:t xml:space="preserve"> the SEA’s [</w:t>
      </w:r>
      <w:r w:rsidRPr="00692E42">
        <w:rPr>
          <w:rStyle w:val="StyleUnderline"/>
        </w:rPr>
        <w:t>State Education Agencies</w:t>
      </w:r>
      <w:r>
        <w:t xml:space="preserve">] </w:t>
      </w:r>
      <w:r w:rsidRPr="00692E42">
        <w:rPr>
          <w:rStyle w:val="StyleUnderline"/>
        </w:rPr>
        <w:t>critical role</w:t>
      </w:r>
      <w:r>
        <w:t xml:space="preserve"> in the ESSA era </w:t>
      </w:r>
      <w:r w:rsidRPr="00692E42">
        <w:rPr>
          <w:rStyle w:val="StyleUnderline"/>
        </w:rPr>
        <w:t>and fund them accordingly so they have adequate</w:t>
      </w:r>
      <w:r>
        <w:rPr>
          <w:rStyle w:val="StyleUnderline"/>
        </w:rPr>
        <w:t xml:space="preserve"> </w:t>
      </w:r>
      <w:r w:rsidRPr="00692E42">
        <w:rPr>
          <w:rStyle w:val="StyleUnderline"/>
        </w:rPr>
        <w:t>resources to do this work</w:t>
      </w:r>
      <w:r>
        <w:t>. For their part, SEAs [</w:t>
      </w:r>
      <w:r w:rsidRPr="00692E42">
        <w:rPr>
          <w:rStyle w:val="StyleUnderline"/>
        </w:rPr>
        <w:t>State Education Agencies</w:t>
      </w:r>
      <w:r>
        <w:t xml:space="preserve">] </w:t>
      </w:r>
      <w:r w:rsidRPr="00692E42">
        <w:rPr>
          <w:rStyle w:val="StyleUnderline"/>
        </w:rPr>
        <w:t>will need to reorganize themselves and</w:t>
      </w:r>
      <w:r>
        <w:rPr>
          <w:rStyle w:val="StyleUnderline"/>
        </w:rPr>
        <w:t xml:space="preserve"> </w:t>
      </w:r>
      <w:r w:rsidRPr="00692E42">
        <w:rPr>
          <w:rStyle w:val="StyleUnderline"/>
        </w:rPr>
        <w:t>prioritize their functions</w:t>
      </w:r>
      <w:r>
        <w:t xml:space="preserve"> to adapt to the new demands being placed on them. As they do so, they will need to identify areas of comparative advantage and economies of scale — where the state can do something better and/or more efficiently than districts. </w:t>
      </w:r>
      <w:r w:rsidRPr="00692E42">
        <w:rPr>
          <w:rStyle w:val="StyleUnderline"/>
        </w:rPr>
        <w:t>If we are to</w:t>
      </w:r>
      <w:r>
        <w:rPr>
          <w:rStyle w:val="StyleUnderline"/>
        </w:rPr>
        <w:t xml:space="preserve"> </w:t>
      </w:r>
      <w:r w:rsidRPr="00692E42">
        <w:rPr>
          <w:rStyle w:val="StyleUnderline"/>
        </w:rPr>
        <w:t xml:space="preserve">close the country’s </w:t>
      </w:r>
      <w:r w:rsidRPr="00B04324">
        <w:rPr>
          <w:rStyle w:val="Emphasis"/>
        </w:rPr>
        <w:t>longstanding racial and socioeconomic achievement gaps</w:t>
      </w:r>
      <w:r w:rsidRPr="00692E42">
        <w:rPr>
          <w:rStyle w:val="StyleUnderline"/>
        </w:rPr>
        <w:t xml:space="preserve"> and address</w:t>
      </w:r>
      <w:r>
        <w:rPr>
          <w:rStyle w:val="StyleUnderline"/>
        </w:rPr>
        <w:t xml:space="preserve"> </w:t>
      </w:r>
      <w:r>
        <w:t xml:space="preserve">concerns about the nation’s </w:t>
      </w:r>
      <w:r w:rsidRPr="00692E42">
        <w:rPr>
          <w:rStyle w:val="StyleUnderline"/>
        </w:rPr>
        <w:t>overall</w:t>
      </w:r>
      <w:r>
        <w:t xml:space="preserve"> educational </w:t>
      </w:r>
      <w:r w:rsidRPr="00692E42">
        <w:rPr>
          <w:rStyle w:val="StyleUnderline"/>
        </w:rPr>
        <w:t>performance</w:t>
      </w:r>
      <w:r>
        <w:t>, states and SEAs [</w:t>
      </w:r>
      <w:r w:rsidRPr="00692E42">
        <w:rPr>
          <w:rStyle w:val="StyleUnderline"/>
        </w:rPr>
        <w:t>State Education Agencies</w:t>
      </w:r>
      <w:r>
        <w:t xml:space="preserve">] </w:t>
      </w:r>
      <w:r w:rsidRPr="00692E42">
        <w:rPr>
          <w:rStyle w:val="StyleUnderline"/>
        </w:rPr>
        <w:t>will</w:t>
      </w:r>
      <w:r>
        <w:t xml:space="preserve"> </w:t>
      </w:r>
      <w:r w:rsidRPr="00692E42">
        <w:rPr>
          <w:rStyle w:val="StyleUnderline"/>
        </w:rPr>
        <w:t xml:space="preserve">increasingly need to </w:t>
      </w:r>
      <w:r w:rsidRPr="00692E42">
        <w:rPr>
          <w:rStyle w:val="Emphasis"/>
        </w:rPr>
        <w:t>lead</w:t>
      </w:r>
      <w:r w:rsidRPr="00692E42">
        <w:rPr>
          <w:rStyle w:val="StyleUnderline"/>
        </w:rPr>
        <w:t xml:space="preserve"> the effort</w:t>
      </w:r>
      <w:r>
        <w:t>.</w:t>
      </w:r>
    </w:p>
    <w:p w:rsidR="0012110D" w:rsidRDefault="0012110D" w:rsidP="0012110D">
      <w:pPr>
        <w:pStyle w:val="Heading3"/>
      </w:pPr>
      <w:r>
        <w:t>NB – SEAs – link</w:t>
      </w:r>
    </w:p>
    <w:p w:rsidR="004A5299" w:rsidRDefault="004A5299" w:rsidP="004A5299">
      <w:pPr>
        <w:pStyle w:val="Heading4"/>
        <w:tabs>
          <w:tab w:val="left" w:pos="5554"/>
        </w:tabs>
      </w:pPr>
      <w:r>
        <w:t>Federal monitoring requirements overstretch SEAs</w:t>
      </w:r>
    </w:p>
    <w:p w:rsidR="004A5299" w:rsidRPr="00BF497A" w:rsidRDefault="004A5299" w:rsidP="004A5299">
      <w:pPr>
        <w:rPr>
          <w:rStyle w:val="Style13ptBold"/>
        </w:rPr>
      </w:pPr>
      <w:r>
        <w:rPr>
          <w:rStyle w:val="Style13ptBold"/>
        </w:rPr>
        <w:t xml:space="preserve">Unger et. al 8 </w:t>
      </w:r>
      <w:r w:rsidRPr="00B140D2">
        <w:t>(Chris Unger, Brett Lane, Elisabeth Cutler, Saeyun Lee, Joye Whitney, Elise Arruda, and Martin Silva, Brown University: The Education Alliance, “How Can State Education Agencies Support District Improvement? A Conversation Amongst Educational Leaders, Researchers, and Policy Actors” https://www.brown.edu/academics/education-alliance/sites/brown.edu.academics.education-alliance/files/publications/Symposium.pdf) GG</w:t>
      </w:r>
    </w:p>
    <w:p w:rsidR="004A5299" w:rsidRPr="004A5299" w:rsidRDefault="004A5299" w:rsidP="004A5299">
      <w:pPr>
        <w:rPr>
          <w:sz w:val="22"/>
          <w:u w:val="single"/>
        </w:rPr>
      </w:pPr>
      <w:r w:rsidRPr="00692A74">
        <w:rPr>
          <w:rStyle w:val="StyleUnderline"/>
        </w:rPr>
        <w:t>There is a growing body of research, confirmed by our own practical experience working with states</w:t>
      </w:r>
      <w:r>
        <w:t xml:space="preserve"> and districts across the eastern seaboard, </w:t>
      </w:r>
      <w:r w:rsidRPr="00692A74">
        <w:rPr>
          <w:rStyle w:val="StyleUnderline"/>
        </w:rPr>
        <w:t xml:space="preserve">that the system of public education </w:t>
      </w:r>
      <w:r>
        <w:t xml:space="preserve">is fragmented and </w:t>
      </w:r>
      <w:r w:rsidRPr="00B140D2">
        <w:rPr>
          <w:rStyle w:val="Emphasis"/>
        </w:rPr>
        <w:t>lacks cohesiveness</w:t>
      </w:r>
      <w:r>
        <w:t xml:space="preserve">. There is no entity to “blame” for this fragmentation. </w:t>
      </w:r>
      <w:r w:rsidRPr="00692A74">
        <w:rPr>
          <w:rStyle w:val="StyleUnderline"/>
        </w:rPr>
        <w:t>The fact that the fragmentation exists suggests that there is an opportunity to dramatically improve the system</w:t>
      </w:r>
      <w:r>
        <w:t xml:space="preserve"> </w:t>
      </w:r>
      <w:r w:rsidRPr="00692A74">
        <w:rPr>
          <w:rStyle w:val="StyleUnderline"/>
        </w:rPr>
        <w:t>of public education</w:t>
      </w:r>
      <w:r>
        <w:t xml:space="preserve"> by fostering coherence and aligning structures and processes within and across levels of the system. What do we mean by and see as evidence of the lack of cohesiveness? With the government’s new expectation that states develop an effective “state system of support” for improved teaching and learning, </w:t>
      </w:r>
      <w:r w:rsidRPr="00692A74">
        <w:rPr>
          <w:rStyle w:val="StyleUnderline"/>
        </w:rPr>
        <w:t xml:space="preserve">we see state education agencies striving to provide support to schools, </w:t>
      </w:r>
      <w:r w:rsidRPr="00B140D2">
        <w:rPr>
          <w:rStyle w:val="Emphasis"/>
        </w:rPr>
        <w:t>yet struggling to balance and negotiate these support efforts with federal requirements to monitor</w:t>
      </w:r>
      <w:r w:rsidRPr="004A5299">
        <w:t xml:space="preserve"> districts </w:t>
      </w:r>
      <w:r w:rsidRPr="00B140D2">
        <w:t>and schools</w:t>
      </w:r>
      <w:r w:rsidRPr="00B140D2">
        <w:rPr>
          <w:rStyle w:val="Emphasis"/>
        </w:rPr>
        <w:t xml:space="preserve"> for complianc</w:t>
      </w:r>
      <w:r w:rsidRPr="00692A74">
        <w:rPr>
          <w:rStyle w:val="StyleUnderline"/>
        </w:rPr>
        <w:t>e</w:t>
      </w:r>
      <w:r>
        <w:t xml:space="preserve">; </w:t>
      </w:r>
      <w:r w:rsidRPr="00692A74">
        <w:rPr>
          <w:rStyle w:val="StyleUnderline"/>
        </w:rPr>
        <w:t>we see state officials struggling to find time to meet and constructively discuss how they can provide support</w:t>
      </w:r>
      <w:r>
        <w:t xml:space="preserve"> to districts; we see districts and schools writing and submitting multiple plans for improvement to different state-level offices; </w:t>
      </w:r>
      <w:r w:rsidRPr="00692A74">
        <w:rPr>
          <w:rStyle w:val="StyleUnderline"/>
        </w:rPr>
        <w:t>we see schools and districts responding to what they perceive as contradictory policies and regulations; we see schools in which teachers continue to teach in isolation</w:t>
      </w:r>
      <w:r>
        <w:t xml:space="preserve">, and in which special education students or the growing numbers of English Language Learners are still spoken of as “others”; and we see communities whose confidence in their local schools and districts has greatly diminished. At the same time, </w:t>
      </w:r>
      <w:r w:rsidRPr="00692A74">
        <w:rPr>
          <w:rStyle w:val="StyleUnderline"/>
        </w:rPr>
        <w:t>we recognize that there are many state, district, and local school leaders, principals and teachers who are, in the midst of this new era of accountability, doing their best to find ways to more effectively support the opportunities</w:t>
      </w:r>
      <w:r>
        <w:t xml:space="preserve"> and achievement of the students under their wing. And </w:t>
      </w:r>
      <w:r w:rsidRPr="00692A74">
        <w:rPr>
          <w:rStyle w:val="StyleUnderline"/>
        </w:rPr>
        <w:t>many of these passionate and expert educational leaders are providing excellent examples of how to build leadership capacity and increase coherence across the education system.</w:t>
      </w:r>
      <w:r>
        <w:t xml:space="preserve"> We are also finding that educational leaders and other members within and across each level of the system—federal, state, district, and school—each bring their own perspective on what ails the system. These differences in perspectives are unfortunately exacerbated due to the lack of opportunities for cross-role groups to collectively: (1) identify the central challenges facing them, and (2) consider and pursue the strategies and resources that will truly effect change for the better. If our system of public education is to flourish and move towards its goal of providing a high quality education for all students, then the knowledge and perspectives of leaders from each level of the system must be heard, valued, and collectively considered</w:t>
      </w:r>
      <w:r w:rsidRPr="00692A74">
        <w:rPr>
          <w:rStyle w:val="StyleUnderline"/>
        </w:rPr>
        <w:t>. In order to develop a meaningful assessment of schools’ and districts’ needs and provide the types and intensity of support required to address those needs, professionals and stakeholders at all levels of the system need to learn from each other</w:t>
      </w:r>
      <w:r>
        <w:t xml:space="preserve">. When forums and “dedicated space” for targeted conversations among individuals within and across the system is provided, there is an opportunity to share assumptions and issues, problem solve around a core issue or outcome, respond to changing circumstances, and reconcile policies and strategies. </w:t>
      </w:r>
      <w:r w:rsidRPr="00692A74">
        <w:rPr>
          <w:rStyle w:val="StyleUnderline"/>
        </w:rPr>
        <w:t>From such conversations could come efforts to work together more synergistically and harmoniously—in a word, coherently—in a way that leads to dramatic inroads into the common and specific challenges that are faced by schools and districts.</w:t>
      </w:r>
    </w:p>
    <w:p w:rsidR="002B62E3" w:rsidRDefault="002B62E3" w:rsidP="002B62E3">
      <w:pPr>
        <w:pStyle w:val="Heading4"/>
      </w:pPr>
      <w:r>
        <w:t>Federal auditing requirements undermine SEA effectiveness</w:t>
      </w:r>
    </w:p>
    <w:p w:rsidR="002B62E3" w:rsidRPr="00912996" w:rsidRDefault="002B62E3" w:rsidP="002B62E3">
      <w:r w:rsidRPr="00912996">
        <w:rPr>
          <w:rStyle w:val="Style13ptBold"/>
        </w:rPr>
        <w:t>Hanna et al. 14</w:t>
      </w:r>
      <w:r>
        <w:t xml:space="preserve"> (Robert, </w:t>
      </w:r>
      <w:r w:rsidRPr="00912996">
        <w:t xml:space="preserve">Senior Policy Analyst </w:t>
      </w:r>
      <w:r>
        <w:t xml:space="preserve">at the </w:t>
      </w:r>
      <w:r w:rsidRPr="00912996">
        <w:t>Center for American Progress</w:t>
      </w:r>
      <w:r>
        <w:t>. | Jeffrey Morrow, A</w:t>
      </w:r>
      <w:r w:rsidRPr="00912996">
        <w:t>ssociate at Sidley Austin, LLP, in the Litigation practice in the Washington, D.C., office. Morrow earned his law degree, cum laude, at Georgetown University, where he was the senior administrative editor for The Georgetown Law Journal.</w:t>
      </w:r>
      <w:r>
        <w:t xml:space="preserve"> | Marci Rozen, A</w:t>
      </w:r>
      <w:r w:rsidRPr="00912996">
        <w:t>ssociate at Sidley Austin, LLP, in the Litigation practice in the Washington, D.C., office. Rozen earned her law degree at The University of Chicago Law School, where she served as the senior comments editor for The University of Chicago Legal Forum.</w:t>
      </w:r>
      <w:r>
        <w:t xml:space="preserve"> || “</w:t>
      </w:r>
      <w:r w:rsidRPr="00912996">
        <w:t>Cutting Red Tape Overcoming State Bureaucracies to Develop High-Performing State Education Agencies</w:t>
      </w:r>
      <w:r>
        <w:t xml:space="preserve">,” </w:t>
      </w:r>
      <w:r>
        <w:rPr>
          <w:i/>
        </w:rPr>
        <w:t>Center for American Progress</w:t>
      </w:r>
      <w:r>
        <w:t>. June 2014.)//tbrooks</w:t>
      </w:r>
    </w:p>
    <w:p w:rsidR="002B62E3" w:rsidRPr="00B82638" w:rsidRDefault="002B62E3" w:rsidP="002B62E3">
      <w:pPr>
        <w:rPr>
          <w:szCs w:val="20"/>
        </w:rPr>
      </w:pPr>
      <w:r w:rsidRPr="00B82638">
        <w:rPr>
          <w:szCs w:val="20"/>
        </w:rPr>
        <w:t xml:space="preserve">1. Federal policymakers should improve, modify, and streamline compliance monitoring and reporting requirements. Federal policymakers should make it a priority to help make SEAs world-class places to work. </w:t>
      </w:r>
      <w:r w:rsidRPr="00B82638">
        <w:rPr>
          <w:sz w:val="20"/>
          <w:szCs w:val="20"/>
          <w:u w:val="single"/>
        </w:rPr>
        <w:t xml:space="preserve">A </w:t>
      </w:r>
      <w:r w:rsidRPr="00B82638">
        <w:rPr>
          <w:rStyle w:val="Emphasis"/>
        </w:rPr>
        <w:t>primary obstacle</w:t>
      </w:r>
      <w:r w:rsidRPr="00B82638">
        <w:rPr>
          <w:sz w:val="20"/>
          <w:szCs w:val="20"/>
          <w:u w:val="single"/>
        </w:rPr>
        <w:t xml:space="preserve"> to state-level organizational reform is federal education requirements and auditing. State leaders acknowledge</w:t>
      </w:r>
      <w:r w:rsidRPr="00B82638">
        <w:rPr>
          <w:szCs w:val="20"/>
        </w:rPr>
        <w:t xml:space="preserve"> that </w:t>
      </w:r>
      <w:r w:rsidRPr="00B82638">
        <w:rPr>
          <w:sz w:val="20"/>
          <w:szCs w:val="20"/>
          <w:u w:val="single"/>
        </w:rPr>
        <w:t>the fear of consequences from a bad audit motivates their approach to agency leadership.</w:t>
      </w:r>
      <w:r w:rsidRPr="00B82638">
        <w:rPr>
          <w:szCs w:val="20"/>
        </w:rPr>
        <w:t xml:space="preserve"> This fear is real, but federal policymakers should improve how they monitor the activities of SEAs. </w:t>
      </w:r>
      <w:r w:rsidRPr="00B82638">
        <w:rPr>
          <w:sz w:val="20"/>
          <w:szCs w:val="20"/>
          <w:u w:val="single"/>
        </w:rPr>
        <w:t>There is</w:t>
      </w:r>
      <w:r w:rsidRPr="00B82638">
        <w:rPr>
          <w:szCs w:val="20"/>
        </w:rPr>
        <w:t xml:space="preserve"> no consensus among analysts about which rules should stay and which should go, but it is clear that some could be improved.72 Consider, for example, a solution proposed by CAP and its partners to the supplement-not-supplant requirement mentioned earlier in this paper. CAP and others have suggested that states and districts should be able to take a more comprehensive approach in order to meet this requirement. Specifically, district leaders should only need to show that they have distributed state and local funds to Title I and non-Title I schools in the same way instead of the current requirement: testing whether individual costs would have been made in the absence of federal funding.73 This could significantly reduce </w:t>
      </w:r>
      <w:r w:rsidRPr="00B82638">
        <w:rPr>
          <w:sz w:val="20"/>
          <w:szCs w:val="20"/>
          <w:u w:val="single"/>
        </w:rPr>
        <w:t>administrative burden for state leaders</w:t>
      </w:r>
      <w:r w:rsidRPr="00B82638">
        <w:rPr>
          <w:szCs w:val="20"/>
        </w:rPr>
        <w:t xml:space="preserve">, as they would not </w:t>
      </w:r>
      <w:r w:rsidRPr="00B82638">
        <w:rPr>
          <w:sz w:val="20"/>
          <w:szCs w:val="20"/>
          <w:u w:val="single"/>
        </w:rPr>
        <w:t>have to monitor compliance at such a minute level</w:t>
      </w:r>
      <w:r w:rsidRPr="00B82638">
        <w:rPr>
          <w:szCs w:val="20"/>
        </w:rPr>
        <w:t>.74</w:t>
      </w:r>
    </w:p>
    <w:p w:rsidR="002B62E3" w:rsidRDefault="0012110D" w:rsidP="0012110D">
      <w:pPr>
        <w:pStyle w:val="Heading3"/>
      </w:pPr>
      <w:r>
        <w:t>NB – SEAs – impact</w:t>
      </w:r>
      <w:r w:rsidR="00B117AA">
        <w:t xml:space="preserve"> – innovation</w:t>
      </w:r>
    </w:p>
    <w:p w:rsidR="00B117AA" w:rsidRDefault="00B117AA" w:rsidP="00B117AA">
      <w:pPr>
        <w:pStyle w:val="Heading4"/>
      </w:pPr>
      <w:r>
        <w:t xml:space="preserve">SEA-led innovation </w:t>
      </w:r>
      <w:r w:rsidRPr="00B82638">
        <w:rPr>
          <w:u w:val="single"/>
        </w:rPr>
        <w:t>successfully</w:t>
      </w:r>
      <w:r>
        <w:t xml:space="preserve"> prepares students for an unpredictable job force</w:t>
      </w:r>
    </w:p>
    <w:p w:rsidR="00B117AA" w:rsidRPr="0073550C" w:rsidRDefault="00B117AA" w:rsidP="00B117AA">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B117AA" w:rsidRPr="00B117AA" w:rsidRDefault="00B117AA" w:rsidP="00B117AA">
      <w:r>
        <w:t>One final non-traditional SEA [</w:t>
      </w:r>
      <w:r w:rsidRPr="00B82638">
        <w:rPr>
          <w:rStyle w:val="StyleUnderline"/>
        </w:rPr>
        <w:t>State Education Agencies</w:t>
      </w:r>
      <w:r>
        <w:t xml:space="preserve">] role is worthy of consideration: </w:t>
      </w:r>
      <w:r w:rsidRPr="00B82638">
        <w:rPr>
          <w:rStyle w:val="StyleUnderline"/>
        </w:rPr>
        <w:t>spur</w:t>
      </w:r>
      <w:r>
        <w:t xml:space="preserve">ring </w:t>
      </w:r>
      <w:r w:rsidRPr="00B82638">
        <w:rPr>
          <w:rStyle w:val="StyleUnderline"/>
        </w:rPr>
        <w:t>innovation. Education is in a period of intense change. The world is rife with ambiguity</w:t>
      </w:r>
      <w:r>
        <w:rPr>
          <w:rStyle w:val="StyleUnderline"/>
        </w:rPr>
        <w:t xml:space="preserve"> </w:t>
      </w:r>
      <w:r w:rsidRPr="00B82638">
        <w:rPr>
          <w:rStyle w:val="StyleUnderline"/>
        </w:rPr>
        <w:t>and teachers are often preparing students for careers that have not yet been invented</w:t>
      </w:r>
      <w:r>
        <w:t>. Schools are equipped with more and newer technologies. Teachers are expected to master new and complex instructional practices. And stu</w:t>
      </w:r>
      <w:r w:rsidRPr="00B82638">
        <w:rPr>
          <w:rStyle w:val="StyleUnderline"/>
        </w:rPr>
        <w:t>dents are challenged to meet higher</w:t>
      </w:r>
      <w:r>
        <w:rPr>
          <w:rStyle w:val="StyleUnderline"/>
        </w:rPr>
        <w:t xml:space="preserve"> </w:t>
      </w:r>
      <w:r w:rsidRPr="00B82638">
        <w:rPr>
          <w:rStyle w:val="StyleUnderline"/>
        </w:rPr>
        <w:t xml:space="preserve">expectations than ever before. States may find that, with the right </w:t>
      </w:r>
      <w:r>
        <w:t xml:space="preserve">incentives, </w:t>
      </w:r>
      <w:r w:rsidRPr="00B82638">
        <w:rPr>
          <w:rStyle w:val="StyleUnderline"/>
        </w:rPr>
        <w:t>flexibilities</w:t>
      </w:r>
      <w:r>
        <w:t xml:space="preserve">, or resources, </w:t>
      </w:r>
      <w:r w:rsidRPr="00B82638">
        <w:rPr>
          <w:rStyle w:val="StyleUnderline"/>
        </w:rPr>
        <w:t>educators can address important challenges</w:t>
      </w:r>
      <w:r>
        <w:t xml:space="preserve"> in novel ways. Against this backdrop, SEAs [</w:t>
      </w:r>
      <w:r w:rsidRPr="00B82638">
        <w:rPr>
          <w:rStyle w:val="StyleUnderline"/>
        </w:rPr>
        <w:t>State Education Agencies</w:t>
      </w:r>
      <w:r>
        <w:t xml:space="preserve">] might decide that it is a priority to design and develop policies that </w:t>
      </w:r>
      <w:r w:rsidRPr="00B82638">
        <w:rPr>
          <w:rStyle w:val="StyleUnderline"/>
        </w:rPr>
        <w:t>not only enable innovation, but encourage and fuel it</w:t>
      </w:r>
      <w:r>
        <w:t xml:space="preserve">. To identify new solutions to challenging problems, new ways of measuring performance, or new pathways for student learning, </w:t>
      </w:r>
      <w:r w:rsidRPr="00B82638">
        <w:rPr>
          <w:rStyle w:val="StyleUnderline"/>
        </w:rPr>
        <w:t>some states</w:t>
      </w:r>
      <w:r>
        <w:t xml:space="preserve">, like New Hampshire, </w:t>
      </w:r>
      <w:r w:rsidRPr="00B82638">
        <w:rPr>
          <w:rStyle w:val="StyleUnderline"/>
        </w:rPr>
        <w:t>are already taking on</w:t>
      </w:r>
      <w:r>
        <w:rPr>
          <w:rStyle w:val="StyleUnderline"/>
        </w:rPr>
        <w:t xml:space="preserve"> </w:t>
      </w:r>
      <w:r w:rsidRPr="00B82638">
        <w:rPr>
          <w:rStyle w:val="StyleUnderline"/>
        </w:rPr>
        <w:t>pilots of competency-based learning and assessment. Other states have developed grant</w:t>
      </w:r>
      <w:r>
        <w:rPr>
          <w:rStyle w:val="StyleUnderline"/>
        </w:rPr>
        <w:t xml:space="preserve"> </w:t>
      </w:r>
      <w:r w:rsidRPr="00B82638">
        <w:rPr>
          <w:rStyle w:val="StyleUnderline"/>
        </w:rPr>
        <w:t>competitions</w:t>
      </w:r>
      <w:r>
        <w:t xml:space="preserve"> modeled loosely on the federal Investing in Innovation or Race to the Top programs. 62 </w:t>
      </w:r>
      <w:r w:rsidRPr="00B82638">
        <w:rPr>
          <w:rStyle w:val="StyleUnderline"/>
        </w:rPr>
        <w:t>The Council of Chief State School Officers leads an Innovation Lab Network</w:t>
      </w:r>
      <w:r>
        <w:t xml:space="preserve"> (ILN) </w:t>
      </w:r>
      <w:r w:rsidRPr="00B82638">
        <w:rPr>
          <w:rStyle w:val="StyleUnderline"/>
        </w:rPr>
        <w:t>that supports states-as-innovators. Directly supporting innovators, carving out</w:t>
      </w:r>
      <w:r>
        <w:rPr>
          <w:rStyle w:val="StyleUnderline"/>
        </w:rPr>
        <w:t xml:space="preserve"> </w:t>
      </w:r>
      <w:r w:rsidRPr="00B82638">
        <w:rPr>
          <w:rStyle w:val="StyleUnderline"/>
        </w:rPr>
        <w:t>funding to incent innovation in schools or districts, and creating the policy “space” to</w:t>
      </w:r>
      <w:r>
        <w:rPr>
          <w:rStyle w:val="StyleUnderline"/>
        </w:rPr>
        <w:t xml:space="preserve"> </w:t>
      </w:r>
      <w:r w:rsidRPr="00B82638">
        <w:rPr>
          <w:rStyle w:val="StyleUnderline"/>
        </w:rPr>
        <w:t>support careful experimentation, could surface as important new</w:t>
      </w:r>
      <w:r>
        <w:t xml:space="preserve"> SEA [</w:t>
      </w:r>
      <w:r w:rsidRPr="00B82638">
        <w:rPr>
          <w:rStyle w:val="StyleUnderline"/>
        </w:rPr>
        <w:t>State Education Agencies</w:t>
      </w:r>
      <w:r>
        <w:t xml:space="preserve">] </w:t>
      </w:r>
      <w:r w:rsidRPr="00B82638">
        <w:rPr>
          <w:rStyle w:val="StyleUnderline"/>
        </w:rPr>
        <w:t>roles</w:t>
      </w:r>
      <w:r>
        <w:t>.</w:t>
      </w:r>
    </w:p>
    <w:p w:rsidR="00B117AA" w:rsidRPr="00B117AA" w:rsidRDefault="00B117AA" w:rsidP="00B117AA">
      <w:pPr>
        <w:pStyle w:val="Heading3"/>
      </w:pPr>
      <w:r w:rsidRPr="00B117AA">
        <w:t>NB – SEAs – AT perm</w:t>
      </w:r>
    </w:p>
    <w:p w:rsidR="002B62E3" w:rsidRDefault="00B117AA" w:rsidP="002B62E3">
      <w:pPr>
        <w:pStyle w:val="Heading4"/>
      </w:pPr>
      <w:r>
        <w:t>Redundant mandates causes SEA siloing, and trades off with valuable resources---prevents innovation</w:t>
      </w:r>
    </w:p>
    <w:p w:rsidR="002B62E3" w:rsidRPr="00B140D2" w:rsidRDefault="002B62E3" w:rsidP="002B62E3">
      <w:pPr>
        <w:rPr>
          <w:b/>
          <w:bCs/>
          <w:sz w:val="26"/>
        </w:rPr>
      </w:pPr>
      <w:r>
        <w:rPr>
          <w:rStyle w:val="Style13ptBold"/>
        </w:rPr>
        <w:t xml:space="preserve">Unger et. al 8 </w:t>
      </w:r>
      <w:r w:rsidRPr="00B140D2">
        <w:t>(Chris Unger, Brett Lane, Elisabeth Cutler, Saeyun Lee, Joye Whitney, Elise Arruda, and Martin Silva, Brown University: The Education Alliance, “How Can State Education Agencies Support District Improvement? A Conversation Amongst Educational Leaders, Researchers, and Policy Actors” https://www.brown.edu/academics/education-alliance/sites/brown.edu.academics.education-alliance/files/publications/Symposium.pdf) GG</w:t>
      </w:r>
    </w:p>
    <w:p w:rsidR="002B62E3" w:rsidRPr="00BF497A" w:rsidRDefault="002B62E3" w:rsidP="002B62E3">
      <w:r>
        <w:t xml:space="preserve">It was clear that </w:t>
      </w:r>
      <w:r w:rsidRPr="00BF497A">
        <w:rPr>
          <w:rStyle w:val="StyleUnderline"/>
        </w:rPr>
        <w:t>state administrators felt that they needed to reconsider the ways that SEAs were organized and “do business” with districts</w:t>
      </w:r>
      <w:r>
        <w:t xml:space="preserve">, as it was clear that </w:t>
      </w:r>
      <w:r w:rsidRPr="00BF497A">
        <w:rPr>
          <w:rStyle w:val="StyleUnderline"/>
        </w:rPr>
        <w:t>SEAs have traditionally been organized as monitoring and compliance bureaucracies</w:t>
      </w:r>
      <w:r>
        <w:t xml:space="preserve">, compartmentalized into various “silos” by department. In the words of one SEA official, “To the idea of lacking systemic focus or optimizing the subparts, we were clearly broken into silos and bunkers that were absolutely, hermetically sealed.” Many mentioned </w:t>
      </w:r>
      <w:r w:rsidRPr="00BF497A">
        <w:rPr>
          <w:rStyle w:val="StyleUnderline"/>
        </w:rPr>
        <w:t>the need to break down the silo structures and create opportunities for SEA personnel to begin to collaborate on shared improvement</w:t>
      </w:r>
      <w:r>
        <w:t xml:space="preserve"> efforts. Some </w:t>
      </w:r>
      <w:r w:rsidRPr="00BF497A">
        <w:rPr>
          <w:rStyle w:val="StyleUnderline"/>
        </w:rPr>
        <w:t>SEA leaders</w:t>
      </w:r>
      <w:r>
        <w:t xml:space="preserve">, researchers, and external educational actors </w:t>
      </w:r>
      <w:r w:rsidRPr="00BF497A">
        <w:rPr>
          <w:rStyle w:val="StyleUnderline"/>
        </w:rPr>
        <w:t>rallied behind the idea of creating a sub-unit (or multiple units) within the SEA that could operate independently and with greater autonomy</w:t>
      </w:r>
      <w:r>
        <w:t xml:space="preserve">. </w:t>
      </w:r>
      <w:r w:rsidRPr="00BF497A">
        <w:rPr>
          <w:rStyle w:val="StyleUnderline"/>
        </w:rPr>
        <w:t>Such</w:t>
      </w:r>
      <w:r>
        <w:t xml:space="preserve"> semi-autonomous </w:t>
      </w:r>
      <w:r w:rsidRPr="00BF497A">
        <w:rPr>
          <w:rStyle w:val="StyleUnderline"/>
        </w:rPr>
        <w:t>units would be better able to respond to districts’ and schools’ needs effectively and quickly through targeted and coordinated support and technical assistance</w:t>
      </w:r>
      <w:r>
        <w:t xml:space="preserve">. In addition to confronting the challenge of operating in silos, </w:t>
      </w:r>
      <w:r w:rsidRPr="00BF497A">
        <w:rPr>
          <w:rStyle w:val="StyleUnderline"/>
        </w:rPr>
        <w:t xml:space="preserve">many participants asserted that the </w:t>
      </w:r>
      <w:r w:rsidRPr="00B140D2">
        <w:rPr>
          <w:rStyle w:val="Emphasis"/>
        </w:rPr>
        <w:t xml:space="preserve">traditional organizational structure of SEAs did not enable SEAs to function as “service” entities that can </w:t>
      </w:r>
      <w:r w:rsidRPr="00B140D2">
        <w:t>effectively</w:t>
      </w:r>
      <w:r w:rsidRPr="00B140D2">
        <w:rPr>
          <w:rStyle w:val="Emphasis"/>
        </w:rPr>
        <w:t xml:space="preserve"> construct long-term and trusting relationships with districts</w:t>
      </w:r>
      <w:r w:rsidRPr="00BF497A">
        <w:rPr>
          <w:rStyle w:val="StyleUnderline"/>
        </w:rPr>
        <w:t xml:space="preserve"> </w:t>
      </w:r>
      <w:r>
        <w:t xml:space="preserve">to collaboratively tackle challenges at both the district and school levels. </w:t>
      </w:r>
      <w:r w:rsidRPr="00BF497A">
        <w:t>There</w:t>
      </w:r>
      <w:r>
        <w:t xml:space="preserve"> is a need for a shared focus, common language, and greater coherence. </w:t>
      </w:r>
      <w:r w:rsidRPr="00BF497A">
        <w:t>Many</w:t>
      </w:r>
      <w:r>
        <w:t xml:space="preserve"> participants across the different role groups voiced the need for greater coherence up and down the layers of the system, such as the federal government and SEAs, SEAs and districts, and districts and schools and individual classrooms. This includes having a shared focus on desired outcomes and a common language regarding the targeted goals of improvement efforts across states, federal and state legislatures, </w:t>
      </w:r>
      <w:r w:rsidRPr="00BF497A">
        <w:t>SEA</w:t>
      </w:r>
      <w:r>
        <w:t xml:space="preserve"> offices, and district efforts. </w:t>
      </w:r>
      <w:r w:rsidRPr="00BF497A">
        <w:rPr>
          <w:rStyle w:val="StyleUnderline"/>
        </w:rPr>
        <w:t xml:space="preserve">In addition, district administrators were </w:t>
      </w:r>
      <w:r w:rsidRPr="00B140D2">
        <w:rPr>
          <w:rStyle w:val="Emphasis"/>
        </w:rPr>
        <w:t xml:space="preserve">displeased with the overabundance of various mandates and compliance monitoring processes </w:t>
      </w:r>
      <w:r w:rsidRPr="00BF497A">
        <w:rPr>
          <w:rStyle w:val="StyleUnderline"/>
        </w:rPr>
        <w:t xml:space="preserve">that, in many cases, </w:t>
      </w:r>
      <w:r w:rsidRPr="00B140D2">
        <w:rPr>
          <w:rStyle w:val="Emphasis"/>
        </w:rPr>
        <w:t>were redundant and therefore stifled improvement efforts</w:t>
      </w:r>
      <w:r>
        <w:t xml:space="preserve">. They also asserted that </w:t>
      </w:r>
      <w:r w:rsidRPr="00BF497A">
        <w:rPr>
          <w:rStyle w:val="StyleUnderline"/>
        </w:rPr>
        <w:t>these bureaucratic mandates and processes often required a great deal of their time, energy, and resources</w:t>
      </w:r>
      <w:r>
        <w:t>. One superintendent, speaking about SEAs, asked the following question: “If you’re not coherent, how can my district be coherent?”</w:t>
      </w:r>
    </w:p>
    <w:p w:rsidR="002B62E3" w:rsidRDefault="00B117AA" w:rsidP="002B62E3">
      <w:pPr>
        <w:pStyle w:val="Heading4"/>
      </w:pPr>
      <w:r>
        <w:t>Resource prioritization is key to SEA success</w:t>
      </w:r>
    </w:p>
    <w:p w:rsidR="002B62E3" w:rsidRPr="004D18BA" w:rsidRDefault="002B62E3" w:rsidP="002B62E3">
      <w:pPr>
        <w:rPr>
          <w:rStyle w:val="Style13ptBold"/>
        </w:rPr>
      </w:pPr>
      <w:r>
        <w:rPr>
          <w:rStyle w:val="Style13ptBold"/>
        </w:rPr>
        <w:t xml:space="preserve">Haglund 16 </w:t>
      </w:r>
      <w:r w:rsidRPr="00692A74">
        <w:t>(Rich Haglund, Real Clear Education, “SEA as Portfolio Manager: Strategic Leadership that Leverages Local-Level Expertise” 3/17/16, Rich Haglund is General Counsel &amp; Chief Operating Officer of Tennessee’s Achievement School District http://www.realcleareducation.com/articles/2016/03/17/sea_as_portfolio_manage_1274.html) GG</w:t>
      </w:r>
    </w:p>
    <w:p w:rsidR="002B62E3" w:rsidRPr="00AA0D15" w:rsidRDefault="002B62E3" w:rsidP="002B62E3">
      <w:r>
        <w:t xml:space="preserve">“Our role as leaders is to set the stage, not perform on it,” Harvard Business School Professor Linda Hill explained in a September 2014 TED talk on leadership for innovation. The innovative leaders Hill studied didn’t try to solve every problem themselves; instead, they began to see the people at the bottom of their organizational pyramids—the people closest to their customers—as the source of innovation. </w:t>
      </w:r>
      <w:r w:rsidRPr="004D18BA">
        <w:rPr>
          <w:rStyle w:val="StyleUnderline"/>
        </w:rPr>
        <w:t>The SEA as Portfolio Manager</w:t>
      </w:r>
      <w:r>
        <w:rPr>
          <w:b/>
          <w:sz w:val="22"/>
          <w:u w:val="single"/>
        </w:rPr>
        <w:t xml:space="preserve"> </w:t>
      </w:r>
      <w:r>
        <w:t xml:space="preserve">This </w:t>
      </w:r>
      <w:r w:rsidRPr="004D18BA">
        <w:rPr>
          <w:rStyle w:val="StyleUnderline"/>
        </w:rPr>
        <w:t>approach can be powerful for state education agencies</w:t>
      </w:r>
      <w:r>
        <w:t xml:space="preserve"> (SEAs). By enabling those “closest to the customers”—in this case, educators who work with students every day—to unleash their insights about what works, </w:t>
      </w:r>
      <w:r w:rsidRPr="004D18BA">
        <w:rPr>
          <w:rStyle w:val="StyleUnderline"/>
        </w:rPr>
        <w:t>SEAs can be more efficient and find more effective, innovative ways to support schools and students.</w:t>
      </w:r>
      <w:r>
        <w:rPr>
          <w:b/>
          <w:sz w:val="22"/>
          <w:u w:val="single"/>
        </w:rPr>
        <w:t xml:space="preserve"> </w:t>
      </w:r>
      <w:r>
        <w:t xml:space="preserve">This is why I encourage state education leaders to think of their SEA as a portfolio manager – a comparison not as radical as it may seem. </w:t>
      </w:r>
      <w:r w:rsidRPr="004D18BA">
        <w:rPr>
          <w:rStyle w:val="StyleUnderline"/>
        </w:rPr>
        <w:t>Financial portfolio managers oversee their clients’ investment options, and SEAs manage families’ education options</w:t>
      </w:r>
      <w:r>
        <w:t xml:space="preserve">. Financial portfolio managers help safeguard their clients’ financial futures, and </w:t>
      </w:r>
      <w:r w:rsidRPr="004D18BA">
        <w:rPr>
          <w:rStyle w:val="StyleUnderline"/>
        </w:rPr>
        <w:t>SEAs help set the vision and provide the resources to prepare all students for life after graduation</w:t>
      </w:r>
      <w:r>
        <w:t xml:space="preserve">. In most cases, both leave the ultimate decisions for how to achieve these ends up to the people they serve. </w:t>
      </w:r>
      <w:r w:rsidRPr="004D18BA">
        <w:rPr>
          <w:rStyle w:val="StyleUnderline"/>
        </w:rPr>
        <w:t>The Center for Reinventing Public Education has adopted this analogy and helped school systems across the country implement what they call a “portfolio strategy” with</w:t>
      </w:r>
      <w:r>
        <w:t xml:space="preserve"> seven </w:t>
      </w:r>
      <w:r w:rsidRPr="004D18BA">
        <w:rPr>
          <w:rStyle w:val="StyleUnderline"/>
        </w:rPr>
        <w:t>components aimed at giving families the educational options and freedom to choose what’s best for their children. It also empowers principals to decide what’s best for their schools</w:t>
      </w:r>
      <w:r>
        <w:t xml:space="preserve">. Schools must still meet performance standards, but in essence, this model relinquishes some decision making power to those who are closest to the students. Tools to Reframe the SEA’s Role </w:t>
      </w:r>
      <w:r w:rsidRPr="004D18BA">
        <w:rPr>
          <w:rStyle w:val="StyleUnderline"/>
        </w:rPr>
        <w:t>The portfolio manager approach underlines the critical importance for SEAs to be thoughtful and strategic about entrusting districts and schools with certain responsibilities</w:t>
      </w:r>
      <w:r>
        <w:t xml:space="preserve">. To help state leaders do this, the Aspen Institute Education &amp; Society Program recently developed a concise discussion guide, Roles and Responsibilities of the State Education Agency. It invites leaders to consider their current legal and political context to determine the essential functions of their SEA, what other activities it may want to be engaged in, and—perhaps most helpfully—which functions SEAs should stop (or never start) doing. Thankfully, </w:t>
      </w:r>
      <w:r w:rsidRPr="004D18BA">
        <w:rPr>
          <w:rStyle w:val="StyleUnderline"/>
        </w:rPr>
        <w:t>many changes to an SEA’s work—</w:t>
      </w:r>
      <w:r>
        <w:t xml:space="preserve">or changes to how responsibilities are distributed among an SEA, LEAs (including districts as well as non-traditional operators, and their schools) </w:t>
      </w:r>
      <w:r w:rsidRPr="004D18BA">
        <w:rPr>
          <w:rStyle w:val="StyleUnderline"/>
        </w:rPr>
        <w:t>won’t require legal modifications</w:t>
      </w:r>
      <w:r>
        <w:t xml:space="preserve">. It’s quite likely, however, that </w:t>
      </w:r>
      <w:r w:rsidRPr="004D18BA">
        <w:rPr>
          <w:rStyle w:val="StyleUnderline"/>
        </w:rPr>
        <w:t xml:space="preserve">policies and procedures must be modified to support the SEA’s role as a “steerer” instead of a “rower,” </w:t>
      </w:r>
      <w:r w:rsidRPr="004D18BA">
        <w:t>as David Osborne and Ted Gaebler have described the role in Reinventing Government: How the Entrepreneurial Spirit is Transforming the Public Sector</w:t>
      </w:r>
      <w:r w:rsidRPr="004D18BA">
        <w:rPr>
          <w:rStyle w:val="StyleUnderline"/>
        </w:rPr>
        <w:t>. The recent passage of the E</w:t>
      </w:r>
      <w:r w:rsidRPr="004D18BA">
        <w:t>very</w:t>
      </w:r>
      <w:r w:rsidRPr="004D18BA">
        <w:rPr>
          <w:rStyle w:val="StyleUnderline"/>
        </w:rPr>
        <w:t xml:space="preserve"> S</w:t>
      </w:r>
      <w:r w:rsidRPr="004D18BA">
        <w:t xml:space="preserve">tudent </w:t>
      </w:r>
      <w:r w:rsidRPr="004D18BA">
        <w:rPr>
          <w:rStyle w:val="StyleUnderline"/>
        </w:rPr>
        <w:t>S</w:t>
      </w:r>
      <w:r w:rsidRPr="004D18BA">
        <w:t>ucceeds</w:t>
      </w:r>
      <w:r w:rsidRPr="004D18BA">
        <w:rPr>
          <w:rStyle w:val="StyleUnderline"/>
        </w:rPr>
        <w:t xml:space="preserve"> A</w:t>
      </w:r>
      <w:r w:rsidRPr="004D18BA">
        <w:t>ct</w:t>
      </w:r>
      <w:r w:rsidRPr="004D18BA">
        <w:rPr>
          <w:rStyle w:val="StyleUnderline"/>
        </w:rPr>
        <w:t xml:space="preserve"> is a perfect opportunity for SEAs to reexamine how they steer education policy as they gain greater flexibility and autonomy; </w:t>
      </w:r>
      <w:r w:rsidRPr="004D18BA">
        <w:t>although it may be tempting continue rowing,</w:t>
      </w:r>
      <w:r w:rsidRPr="004D18BA">
        <w:rPr>
          <w:rStyle w:val="StyleUnderline"/>
        </w:rPr>
        <w:t xml:space="preserve"> SEAs can act as a portfolio manager and empower local leaders to take the oars.</w:t>
      </w:r>
      <w:r>
        <w:rPr>
          <w:b/>
          <w:sz w:val="22"/>
          <w:u w:val="single"/>
        </w:rPr>
        <w:t xml:space="preserve"> </w:t>
      </w:r>
      <w:r>
        <w:t xml:space="preserve">Lessons from Tennessee </w:t>
      </w:r>
      <w:r w:rsidRPr="004D18BA">
        <w:rPr>
          <w:rStyle w:val="StyleUnderline"/>
        </w:rPr>
        <w:t>When Tennessee revised its</w:t>
      </w:r>
      <w:r>
        <w:t xml:space="preserve"> math, language arts, and science </w:t>
      </w:r>
      <w:r w:rsidRPr="004D18BA">
        <w:rPr>
          <w:rStyle w:val="StyleUnderline"/>
        </w:rPr>
        <w:t>curriculum standards</w:t>
      </w:r>
      <w:r>
        <w:t xml:space="preserve"> a few years ago, </w:t>
      </w:r>
      <w:r w:rsidRPr="004D18BA">
        <w:rPr>
          <w:rStyle w:val="StyleUnderline"/>
        </w:rPr>
        <w:t>the SEA used grant money to provide training for all teachers in the state,</w:t>
      </w:r>
      <w:r>
        <w:t xml:space="preserve"> because the new standards affected all teachers. But the SEA didn’t actually conduct the training--teachers did, </w:t>
      </w:r>
      <w:r w:rsidRPr="004D18BA">
        <w:rPr>
          <w:rStyle w:val="StyleUnderline"/>
        </w:rPr>
        <w:t>while the SEA facilitated the training—finding venues, communicating opportunities, and providing materials and help for teachers who led the sessions. Because state leaders resisted the impulse to do everything, and let school operators and educators handle those activities</w:t>
      </w:r>
      <w:r>
        <w:t xml:space="preserve"> they were best equipped to take on, </w:t>
      </w:r>
      <w:r w:rsidRPr="004D18BA">
        <w:rPr>
          <w:rStyle w:val="StyleUnderline"/>
        </w:rPr>
        <w:t>the training was a success</w:t>
      </w:r>
      <w:r>
        <w:t xml:space="preserve">: According to a state evaluation, </w:t>
      </w:r>
      <w:r w:rsidRPr="004D18BA">
        <w:rPr>
          <w:rStyle w:val="StyleUnderline"/>
        </w:rPr>
        <w:t>the trainings had significant positive effects on teachers’ instruction and students’ learning</w:t>
      </w:r>
      <w:r>
        <w:t xml:space="preserve">. It’s also important to note that the SEA strategically staffed and sequenced this initiative without cutting corners on cost or dosage. </w:t>
      </w:r>
      <w:r w:rsidRPr="004D18BA">
        <w:rPr>
          <w:rStyle w:val="StyleUnderline"/>
        </w:rPr>
        <w:t xml:space="preserve">For states considering a similar initiative without additional grant funding like Tennessee had, the SEA </w:t>
      </w:r>
      <w:r w:rsidRPr="0012110D">
        <w:rPr>
          <w:rStyle w:val="Emphasis"/>
        </w:rPr>
        <w:t>must prioritize resources</w:t>
      </w:r>
      <w:r w:rsidRPr="004D18BA">
        <w:rPr>
          <w:rStyle w:val="StyleUnderline"/>
        </w:rPr>
        <w:t>, reallocating funding from other, less effective uses to support this new strand of work.</w:t>
      </w:r>
      <w:r>
        <w:rPr>
          <w:b/>
          <w:sz w:val="22"/>
          <w:u w:val="single"/>
        </w:rPr>
        <w:t xml:space="preserve"> </w:t>
      </w:r>
      <w:r w:rsidRPr="004D18BA">
        <w:rPr>
          <w:rStyle w:val="StyleUnderline"/>
        </w:rPr>
        <w:t>SEAs have a powerful opportunity to reexamine their role and find creative new ways to empower local leadership.</w:t>
      </w:r>
      <w:r>
        <w:t xml:space="preserve"> </w:t>
      </w:r>
      <w:r w:rsidRPr="0012110D">
        <w:rPr>
          <w:rStyle w:val="Emphasis"/>
        </w:rPr>
        <w:t>They should,</w:t>
      </w:r>
      <w:r>
        <w:t xml:space="preserve"> as Hill put it, “</w:t>
      </w:r>
      <w:r w:rsidRPr="0012110D">
        <w:rPr>
          <w:rStyle w:val="Emphasis"/>
        </w:rPr>
        <w:t>create the space where everybody's slices of genius can be unleashed and harnessed, and turned into works of collective genius</w:t>
      </w:r>
      <w:r>
        <w:t>.” Collective genius is exactly what we need to prepare all students for success in college and careers. It’s up to SEAs review their approach, be deliberate and strategic about their roles, and tap into what might be their richest resource of all—educators in the classroom.</w:t>
      </w:r>
    </w:p>
    <w:p w:rsidR="0036615E" w:rsidRDefault="00C81BC7" w:rsidP="00C47278">
      <w:pPr>
        <w:pStyle w:val="Heading2"/>
        <w:rPr>
          <w:rFonts w:cs="Times New Roman"/>
        </w:rPr>
      </w:pPr>
      <w:r>
        <w:rPr>
          <w:rFonts w:cs="Times New Roman"/>
        </w:rPr>
        <w:t xml:space="preserve">AT </w:t>
      </w:r>
      <w:r w:rsidR="00B04324">
        <w:rPr>
          <w:rFonts w:cs="Times New Roman"/>
        </w:rPr>
        <w:t>PERM</w:t>
      </w:r>
    </w:p>
    <w:p w:rsidR="0036615E" w:rsidRDefault="0036615E" w:rsidP="0036615E">
      <w:pPr>
        <w:pStyle w:val="Heading3"/>
      </w:pPr>
      <w:r>
        <w:t xml:space="preserve">AT perm – overlapping </w:t>
      </w:r>
      <w:r w:rsidR="004A5299">
        <w:t>enforcement bad</w:t>
      </w:r>
    </w:p>
    <w:p w:rsidR="0036615E" w:rsidRDefault="0036615E" w:rsidP="0036615E">
      <w:pPr>
        <w:pStyle w:val="Heading4"/>
      </w:pPr>
      <w:r>
        <w:t xml:space="preserve">The perm’s overlapping mandates </w:t>
      </w:r>
      <w:r w:rsidRPr="00C02544">
        <w:rPr>
          <w:u w:val="single"/>
        </w:rPr>
        <w:t>devastate</w:t>
      </w:r>
      <w:r>
        <w:t xml:space="preserve"> enforcement---this is a DA to the plan alone, since education is </w:t>
      </w:r>
      <w:r w:rsidRPr="00754E89">
        <w:rPr>
          <w:u w:val="single"/>
        </w:rPr>
        <w:t>historically</w:t>
      </w:r>
      <w:r>
        <w:t xml:space="preserve"> a state domain</w:t>
      </w:r>
    </w:p>
    <w:p w:rsidR="0036615E" w:rsidRPr="00C86275" w:rsidRDefault="0036615E" w:rsidP="0036615E">
      <w:r w:rsidRPr="00A121FF">
        <w:rPr>
          <w:rStyle w:val="Style13ptBold"/>
        </w:rPr>
        <w:t>Schapiro 9</w:t>
      </w:r>
      <w:r>
        <w:t xml:space="preserve"> – Professor of Law @ Emory U (Robert, “Polyphonic Federalism: Toward the Protection of Fund</w:t>
      </w:r>
      <w:r w:rsidR="00B004C2">
        <w:t>amental Rights,” p. 170-171)</w:t>
      </w:r>
    </w:p>
    <w:p w:rsidR="0036615E" w:rsidRPr="00C86275" w:rsidRDefault="0036615E" w:rsidP="0036615E">
      <w:r w:rsidRPr="00A121FF">
        <w:rPr>
          <w:rStyle w:val="StyleUnderline"/>
        </w:rPr>
        <w:t>When the United States Supreme Court has</w:t>
      </w:r>
      <w:r>
        <w:rPr>
          <w:rStyle w:val="StyleUnderline"/>
        </w:rPr>
        <w:t xml:space="preserve"> </w:t>
      </w:r>
      <w:r w:rsidRPr="00A121FF">
        <w:rPr>
          <w:rStyle w:val="StyleUnderline"/>
        </w:rPr>
        <w:t xml:space="preserve">sought to justify </w:t>
      </w:r>
      <w:r w:rsidRPr="00A121FF">
        <w:rPr>
          <w:rStyle w:val="Emphasis"/>
        </w:rPr>
        <w:t>dividing</w:t>
      </w:r>
      <w:r w:rsidRPr="00A121FF">
        <w:rPr>
          <w:rStyle w:val="StyleUnderline"/>
        </w:rPr>
        <w:t xml:space="preserve"> state and federal realms,</w:t>
      </w:r>
      <w:r>
        <w:rPr>
          <w:rStyle w:val="StyleUnderline"/>
        </w:rPr>
        <w:t xml:space="preserve"> </w:t>
      </w:r>
      <w:r w:rsidRPr="00A121FF">
        <w:rPr>
          <w:rStyle w:val="StyleUnderline"/>
        </w:rPr>
        <w:t>it has concentrated</w:t>
      </w:r>
      <w:r>
        <w:t xml:space="preserve"> less on problems of uniformity and finality and more </w:t>
      </w:r>
      <w:r w:rsidRPr="00A121FF">
        <w:rPr>
          <w:rStyle w:val="StyleUnderline"/>
        </w:rPr>
        <w:t>on</w:t>
      </w:r>
      <w:r>
        <w:t xml:space="preserve"> potential </w:t>
      </w:r>
      <w:r>
        <w:rPr>
          <w:rStyle w:val="StyleUnderline"/>
        </w:rPr>
        <w:t>issues of account</w:t>
      </w:r>
      <w:r w:rsidRPr="00A121FF">
        <w:rPr>
          <w:rStyle w:val="StyleUnderline"/>
        </w:rPr>
        <w:t>ability</w:t>
      </w:r>
      <w:r>
        <w:t xml:space="preserve">. Indeed, concerns for accountability appear in both the Commerce Clause and the anti-commandeering branches of the Court's federalism jurisprudence. Members of the Court have asserted that </w:t>
      </w:r>
      <w:r w:rsidRPr="00A121FF">
        <w:rPr>
          <w:rStyle w:val="StyleUnderline"/>
        </w:rPr>
        <w:t>the failure to protect a realm of state autonomy</w:t>
      </w:r>
      <w:r>
        <w:rPr>
          <w:rStyle w:val="StyleUnderline"/>
        </w:rPr>
        <w:t xml:space="preserve"> </w:t>
      </w:r>
      <w:r w:rsidRPr="00A121FF">
        <w:rPr>
          <w:rStyle w:val="StyleUnderline"/>
        </w:rPr>
        <w:t>creates confusion among the citizenry</w:t>
      </w:r>
      <w:r>
        <w:t xml:space="preserve">. The </w:t>
      </w:r>
      <w:r w:rsidRPr="00A121FF">
        <w:rPr>
          <w:rStyle w:val="Emphasis"/>
        </w:rPr>
        <w:t>overlap</w:t>
      </w:r>
      <w:r>
        <w:t xml:space="preserve"> </w:t>
      </w:r>
      <w:r w:rsidRPr="00A121FF">
        <w:rPr>
          <w:rStyle w:val="StyleUnderline"/>
        </w:rPr>
        <w:t>of state and federal authority prevents citizens from</w:t>
      </w:r>
      <w:r>
        <w:rPr>
          <w:rStyle w:val="StyleUnderline"/>
        </w:rPr>
        <w:t xml:space="preserve"> </w:t>
      </w:r>
      <w:r w:rsidRPr="00A121FF">
        <w:rPr>
          <w:rStyle w:val="StyleUnderline"/>
        </w:rPr>
        <w:t>understanding where ultimate responsibility lies</w:t>
      </w:r>
      <w:r>
        <w:t xml:space="preserve">. </w:t>
      </w:r>
      <w:r w:rsidRPr="00A121FF">
        <w:rPr>
          <w:rStyle w:val="StyleUnderline"/>
        </w:rPr>
        <w:t>When citizens object</w:t>
      </w:r>
      <w:r>
        <w:t xml:space="preserve"> to government policies, </w:t>
      </w:r>
      <w:r w:rsidRPr="00A121FF">
        <w:rPr>
          <w:rStyle w:val="StyleUnderline"/>
        </w:rPr>
        <w:t>should</w:t>
      </w:r>
      <w:r>
        <w:rPr>
          <w:rStyle w:val="StyleUnderline"/>
        </w:rPr>
        <w:t xml:space="preserve"> </w:t>
      </w:r>
      <w:r w:rsidRPr="00A121FF">
        <w:rPr>
          <w:rStyle w:val="StyleUnderline"/>
        </w:rPr>
        <w:t>they direct their ire at their state capital or at</w:t>
      </w:r>
      <w:r>
        <w:rPr>
          <w:rStyle w:val="StyleUnderline"/>
        </w:rPr>
        <w:t xml:space="preserve"> </w:t>
      </w:r>
      <w:r w:rsidRPr="00A121FF">
        <w:rPr>
          <w:rStyle w:val="StyleUnderline"/>
        </w:rPr>
        <w:t>Washington, D.C.?</w:t>
      </w:r>
      <w:r>
        <w:t xml:space="preserve"> Justices have asserted that this </w:t>
      </w:r>
      <w:r w:rsidRPr="00A121FF">
        <w:rPr>
          <w:rStyle w:val="Emphasis"/>
        </w:rPr>
        <w:t>blurring of lines of accountability</w:t>
      </w:r>
      <w:r w:rsidRPr="00A121FF">
        <w:rPr>
          <w:rStyle w:val="StyleUnderline"/>
        </w:rPr>
        <w:t xml:space="preserve"> becomes particularly</w:t>
      </w:r>
      <w:r>
        <w:rPr>
          <w:rStyle w:val="StyleUnderline"/>
        </w:rPr>
        <w:t xml:space="preserve"> </w:t>
      </w:r>
      <w:r w:rsidRPr="00A121FF">
        <w:rPr>
          <w:rStyle w:val="StyleUnderline"/>
        </w:rPr>
        <w:t>acute with regard to areas that traditionally have</w:t>
      </w:r>
      <w:r>
        <w:rPr>
          <w:rStyle w:val="StyleUnderline"/>
        </w:rPr>
        <w:t xml:space="preserve"> </w:t>
      </w:r>
      <w:r w:rsidRPr="00A121FF">
        <w:rPr>
          <w:rStyle w:val="StyleUnderline"/>
        </w:rPr>
        <w:t>been subject primarily to state</w:t>
      </w:r>
      <w:r>
        <w:t xml:space="preserve"> rather than federal </w:t>
      </w:r>
      <w:r w:rsidRPr="00A121FF">
        <w:rPr>
          <w:rStyle w:val="StyleUnderline"/>
        </w:rPr>
        <w:t>regulation, such as</w:t>
      </w:r>
      <w:r>
        <w:t xml:space="preserve"> family law, </w:t>
      </w:r>
      <w:r w:rsidRPr="00A121FF">
        <w:rPr>
          <w:rStyle w:val="StyleUnderline"/>
        </w:rPr>
        <w:t>education</w:t>
      </w:r>
      <w:r>
        <w:t xml:space="preserve">, and crime. </w:t>
      </w:r>
      <w:r w:rsidRPr="00A121FF">
        <w:rPr>
          <w:rStyle w:val="StyleUnderline"/>
        </w:rPr>
        <w:t>In these fields, citizens expect that states</w:t>
      </w:r>
      <w:r>
        <w:rPr>
          <w:rStyle w:val="StyleUnderline"/>
        </w:rPr>
        <w:t xml:space="preserve"> </w:t>
      </w:r>
      <w:r w:rsidRPr="00A121FF">
        <w:rPr>
          <w:rStyle w:val="StyleUnderline"/>
        </w:rPr>
        <w:t>will retain ultimate control. Federal regulation in</w:t>
      </w:r>
      <w:r>
        <w:rPr>
          <w:rStyle w:val="StyleUnderline"/>
        </w:rPr>
        <w:t xml:space="preserve"> </w:t>
      </w:r>
      <w:r w:rsidRPr="00A121FF">
        <w:rPr>
          <w:rStyle w:val="StyleUnderline"/>
        </w:rPr>
        <w:t xml:space="preserve">these areas presents a substantial danger of </w:t>
      </w:r>
      <w:r>
        <w:rPr>
          <w:rStyle w:val="Emphasis"/>
        </w:rPr>
        <w:t>confus</w:t>
      </w:r>
      <w:r w:rsidRPr="00A121FF">
        <w:rPr>
          <w:rStyle w:val="Emphasis"/>
        </w:rPr>
        <w:t>ing citizens</w:t>
      </w:r>
      <w:r w:rsidRPr="00A121FF">
        <w:rPr>
          <w:rStyle w:val="StyleUnderline"/>
        </w:rPr>
        <w:t xml:space="preserve"> and </w:t>
      </w:r>
      <w:r w:rsidRPr="00A121FF">
        <w:rPr>
          <w:rStyle w:val="Emphasis"/>
        </w:rPr>
        <w:t xml:space="preserve">undermining </w:t>
      </w:r>
      <w:r>
        <w:rPr>
          <w:rStyle w:val="Emphasis"/>
        </w:rPr>
        <w:t>governmental account</w:t>
      </w:r>
      <w:r w:rsidRPr="00A121FF">
        <w:rPr>
          <w:rStyle w:val="Emphasis"/>
        </w:rPr>
        <w:t>ability</w:t>
      </w:r>
      <w:r>
        <w:t xml:space="preserve">. </w:t>
      </w:r>
    </w:p>
    <w:p w:rsidR="0036615E" w:rsidRDefault="0036615E" w:rsidP="0036615E">
      <w:pPr>
        <w:pStyle w:val="Heading4"/>
      </w:pPr>
      <w:r w:rsidRPr="001E1ACD">
        <w:rPr>
          <w:u w:val="single"/>
        </w:rPr>
        <w:t>Rule-layering</w:t>
      </w:r>
      <w:r>
        <w:t xml:space="preserve"> makes compliance </w:t>
      </w:r>
      <w:r w:rsidR="00157B45">
        <w:rPr>
          <w:u w:val="single"/>
        </w:rPr>
        <w:t>confusing and indeterminate</w:t>
      </w:r>
    </w:p>
    <w:p w:rsidR="0036615E" w:rsidRDefault="0036615E" w:rsidP="0036615E">
      <w:r w:rsidRPr="006B62DB">
        <w:rPr>
          <w:rStyle w:val="Style13ptBold"/>
        </w:rPr>
        <w:t>Junge and Krvaric 2011</w:t>
      </w:r>
      <w:r>
        <w:t xml:space="preserve"> --- Lawyers and Cofounders at Federal Education Group firm. (Melissa Junge, Sheara Krvaric, “Federal compliance works against education policy goals”, July 28, 2011, </w:t>
      </w:r>
      <w:hyperlink r:id="rId6" w:history="1">
        <w:r w:rsidRPr="00ED3E1D">
          <w:rPr>
            <w:rStyle w:val="Hyperlink"/>
          </w:rPr>
          <w:t>https://www.aei.org/publication/federal-compliance-works-against-education-policy-goals/)//ET</w:t>
        </w:r>
      </w:hyperlink>
    </w:p>
    <w:p w:rsidR="004A5299" w:rsidRDefault="0036615E" w:rsidP="0036615E">
      <w:r w:rsidRPr="00F65918">
        <w:t>Under this structure, the state has wide-reaching authority and responsibility over how federal education programs are implemented[1] and is legally responsible for ensuring that school districts comply with all federal requirements.[2] This grants states the authority to impose additional rules on districts on top of what federal law requires–including the authority to restrict how districts use federal funds, even for things otherwise permissible under federal law. In other words, federal law sets the “floor” of what can be done with program funds, but states have the authority to be more restrictive. This</w:t>
      </w:r>
      <w:r w:rsidRPr="00F65918">
        <w:rPr>
          <w:rStyle w:val="StyleUnderline"/>
        </w:rPr>
        <w:t xml:space="preserve"> </w:t>
      </w:r>
      <w:r w:rsidRPr="00F65918">
        <w:rPr>
          <w:rStyle w:val="Emphasis"/>
        </w:rPr>
        <w:t>multilayered</w:t>
      </w:r>
      <w:r w:rsidRPr="00F65918">
        <w:rPr>
          <w:rStyle w:val="StyleUnderline"/>
        </w:rPr>
        <w:t xml:space="preserve"> </w:t>
      </w:r>
      <w:r w:rsidRPr="00F65918">
        <w:t xml:space="preserve">approach to </w:t>
      </w:r>
      <w:r w:rsidRPr="00F65918">
        <w:rPr>
          <w:rStyle w:val="Emphasis"/>
        </w:rPr>
        <w:t>compliance</w:t>
      </w:r>
      <w:r w:rsidRPr="00F65918">
        <w:rPr>
          <w:rStyle w:val="StyleUnderline"/>
        </w:rPr>
        <w:t xml:space="preserve"> makes it challenging for state and local leaders to determine how</w:t>
      </w:r>
      <w:r w:rsidRPr="00F65918">
        <w:t xml:space="preserve"> federal </w:t>
      </w:r>
      <w:r w:rsidRPr="00F65918">
        <w:rPr>
          <w:rStyle w:val="StyleUnderline"/>
        </w:rPr>
        <w:t>funds can be spent in their state</w:t>
      </w:r>
      <w:r w:rsidRPr="00F65918">
        <w:t xml:space="preserve">. For example, ED issues guidance to explain the federal statutes and regulations that govern federal education programs. This helps states, districts, schools, and their auditors understand what generally can and cannot be done with funds in a given federal program, but it is not legally binding like a law or regulation. While federal guidance reflects ED’s current thinking about a program, it is only a starting point for determining how a specific state, district, or school can spend federal money. This is because ED’s guidance does not reflect any additional requirements states may choose to impose on their districts. Legally, once a state imposes a rule on a federal program, even if the rule is more stringent than federal law, school districts are legally bound to follow the rule as a condition of receiving federal funds from the state. Thus, what is permitted under federal law or encouraged by ED’s guidance may not be permitted in a particular state. Similarly, what is permitted in one state may not be in another. This creates substantial variability in the way federal programs are implemented across the country. </w:t>
      </w:r>
      <w:r w:rsidRPr="00F65918">
        <w:rPr>
          <w:rStyle w:val="StyleUnderline"/>
        </w:rPr>
        <w:t xml:space="preserve">Layering </w:t>
      </w:r>
      <w:r w:rsidRPr="00F65918">
        <w:rPr>
          <w:rStyle w:val="Emphasis"/>
        </w:rPr>
        <w:t>multiple levels of rules</w:t>
      </w:r>
      <w:r w:rsidRPr="00F65918">
        <w:t xml:space="preserve"> onto federal programs also </w:t>
      </w:r>
      <w:r w:rsidRPr="00F65918">
        <w:rPr>
          <w:rStyle w:val="StyleUnderline"/>
        </w:rPr>
        <w:t>makes it hard for state, district, and school leaders to tease out</w:t>
      </w:r>
      <w:r w:rsidRPr="00F65918">
        <w:t xml:space="preserve">: </w:t>
      </w:r>
      <w:r w:rsidRPr="00F65918">
        <w:rPr>
          <w:rStyle w:val="Emphasis"/>
        </w:rPr>
        <w:t>What is actually required</w:t>
      </w:r>
      <w:r w:rsidRPr="00F65918">
        <w:t xml:space="preserve"> by federal law; Whether more stringent state-level policies regarding how federal funds can be spent are intentional, or whether they reflect historical administrative practices, or even occasionally a misunderstanding of federal requirements; and </w:t>
      </w:r>
      <w:r w:rsidRPr="00F65918">
        <w:rPr>
          <w:rStyle w:val="StyleUnderline"/>
        </w:rPr>
        <w:t>Whether</w:t>
      </w:r>
      <w:r w:rsidRPr="00F65918">
        <w:t xml:space="preserve"> and how federal </w:t>
      </w:r>
      <w:r w:rsidRPr="00F65918">
        <w:rPr>
          <w:rStyle w:val="StyleUnderline"/>
        </w:rPr>
        <w:t xml:space="preserve">funds could be deployed in a </w:t>
      </w:r>
      <w:r w:rsidRPr="00F65918">
        <w:rPr>
          <w:rStyle w:val="Emphasis"/>
        </w:rPr>
        <w:t>different</w:t>
      </w:r>
      <w:r w:rsidRPr="00F65918">
        <w:t xml:space="preserve"> or more effective </w:t>
      </w:r>
      <w:r w:rsidRPr="00F65918">
        <w:rPr>
          <w:rStyle w:val="Emphasis"/>
        </w:rPr>
        <w:t>way</w:t>
      </w:r>
      <w:r w:rsidRPr="00F65918">
        <w:t xml:space="preserve">. </w:t>
      </w:r>
      <w:r w:rsidRPr="00F65918">
        <w:rPr>
          <w:rStyle w:val="StyleUnderline"/>
        </w:rPr>
        <w:t xml:space="preserve">This presents a </w:t>
      </w:r>
      <w:r w:rsidRPr="00F65918">
        <w:rPr>
          <w:rStyle w:val="Emphasis"/>
        </w:rPr>
        <w:t>variety of challenges</w:t>
      </w:r>
      <w:r w:rsidRPr="00F65918">
        <w:rPr>
          <w:rStyle w:val="StyleUnderline"/>
        </w:rPr>
        <w:t xml:space="preserve"> for those responsible for implementing federal education programs at the state, district, and school levels</w:t>
      </w:r>
      <w:r w:rsidRPr="00F65918">
        <w:t xml:space="preserve">. For example, states face the challenge of unraveling what rules apply when. The parameters of federal legal requirements can be unclear; additionally, ED and states have latitude to interpret the meaning of the statutory requirements in certain circumstances. Thus, states encounter situations where a rule is applied one way in one federal education program but differently in another, or where the same rule is applied differently by different federal oversight entities. In some cases, ED gives different advice on the same compliance rule when providing technical assistance to states. [Districts] often have the least authority in determining how federal funds are spent and the least access to federal and state policymakers. In an environment where standards vary, states may feel compelled to “lock down” federal funds to minimize exposure to noncompliance findings and may inadvertently impose more restrictive rules than federal law requires. This is because states are legally responsible for repaying money in a state-administered program if a district spends funds incorrectly. The </w:t>
      </w:r>
      <w:r w:rsidRPr="00F65918">
        <w:rPr>
          <w:rStyle w:val="StyleUnderline"/>
        </w:rPr>
        <w:t>confusion</w:t>
      </w:r>
      <w:r w:rsidRPr="00F65918">
        <w:t xml:space="preserve"> regarding the baseline federal requirements </w:t>
      </w:r>
      <w:r w:rsidRPr="00F65918">
        <w:rPr>
          <w:rStyle w:val="StyleUnderline"/>
        </w:rPr>
        <w:t>makes it challenging for state education leaders to reduce state-imposed red tape on federal funds, or to use federal funds to implement innovative programs</w:t>
      </w:r>
      <w:r w:rsidRPr="00F65918">
        <w:t>.</w:t>
      </w:r>
    </w:p>
    <w:p w:rsidR="00157B45" w:rsidRDefault="00157B45" w:rsidP="00157B45">
      <w:pPr>
        <w:pStyle w:val="Heading4"/>
      </w:pPr>
      <w:r>
        <w:t xml:space="preserve">Confusing signals undermine </w:t>
      </w:r>
      <w:r w:rsidRPr="00950F35">
        <w:rPr>
          <w:u w:val="single"/>
        </w:rPr>
        <w:t>district-level</w:t>
      </w:r>
      <w:r>
        <w:t xml:space="preserve"> compliance</w:t>
      </w:r>
    </w:p>
    <w:p w:rsidR="00157B45" w:rsidRPr="00157B45" w:rsidRDefault="00157B45" w:rsidP="00157B45">
      <w:r w:rsidRPr="00157B45">
        <w:rPr>
          <w:rStyle w:val="Style13ptBold"/>
        </w:rPr>
        <w:t>O’Day and Smith 16</w:t>
      </w:r>
      <w:r>
        <w:t xml:space="preserve"> - * Institute Fellow of American Institutes for Research and is the Founder and Chair of the California Collaborative on District Reform. Her research has focused on system change, improvement in high-poverty districts and schools, and policies affecting English language learners, ** Senior Scholar at the Carnegie Foundation for the Advancement of Teaching, a former Dean and Professor at Stanford, and a former Under Secretary and Acting Deputy Secretary at the U.S. Department of Education in the Clinton administration. He is a Fellow of the American Academy of Arts and Sciences and the National Academy of Education (Jennifer and Marshall, “Equality and Quality in U.S. Education,” </w:t>
      </w:r>
      <w:r w:rsidRPr="00157B45">
        <w:rPr>
          <w:i/>
        </w:rPr>
        <w:t>American Institute for Research</w:t>
      </w:r>
      <w:r>
        <w:t>, http://www.air.org/sites/default/files/downloads/report/Equality-Quality-Education-EPC-September-2016.pdf)//BB</w:t>
      </w:r>
    </w:p>
    <w:p w:rsidR="00157B45" w:rsidRPr="002B62E3" w:rsidRDefault="00157B45" w:rsidP="0036615E">
      <w:r>
        <w:t xml:space="preserve">The State Role. The states’ constitutionally enabled role in education—embracing everything from governance, finance, and curriculum to supporting, enhancing, and monitoring quality in education—is in practice shared with districts. But </w:t>
      </w:r>
      <w:r w:rsidRPr="00157B45">
        <w:rPr>
          <w:rStyle w:val="StyleUnderline"/>
        </w:rPr>
        <w:t>states typically create the legislative and regulatory framework that guides districts and make decisions about content and performance standards, teacher certification, accountability, assessments, and data collection</w:t>
      </w:r>
      <w:r>
        <w:t xml:space="preserve">. States also oversee both federal and state programs for protected categories of students and create the framework for school finance. This system works to some degree and for some students, but for more than a century, it has perpetuated well-documented discrimination against students from low-income families and students of color. To move resolutely toward the goal of equal opportunity for all, </w:t>
      </w:r>
      <w:r w:rsidRPr="00157B45">
        <w:rPr>
          <w:rStyle w:val="StyleUnderline"/>
        </w:rPr>
        <w:t>states must develop, maintain, and improve well-functioning education systems for all schools and students throughout the state</w:t>
      </w:r>
      <w:r>
        <w:t xml:space="preserve">. If the system is dysfunctional, the least advantaged among us will suffer the most. </w:t>
      </w:r>
      <w:r w:rsidRPr="00157B45">
        <w:rPr>
          <w:rStyle w:val="StyleUnderline"/>
        </w:rPr>
        <w:t>To shore up the documented racial- and poverty-related gaps in finance, teacher preparedness, and other resources, states could take on</w:t>
      </w:r>
      <w:r>
        <w:t xml:space="preserve"> four broad roles or </w:t>
      </w:r>
      <w:r w:rsidRPr="00157B45">
        <w:rPr>
          <w:rStyle w:val="StyleUnderline"/>
        </w:rPr>
        <w:t>tasks</w:t>
      </w:r>
      <w:r>
        <w:t xml:space="preserve">: „ </w:t>
      </w:r>
      <w:r w:rsidRPr="00157B45">
        <w:rPr>
          <w:rStyle w:val="StyleUnderline"/>
        </w:rPr>
        <w:t>Establishing</w:t>
      </w:r>
      <w:r>
        <w:t xml:space="preserve"> a vision, standards, and </w:t>
      </w:r>
      <w:r w:rsidRPr="00157B45">
        <w:rPr>
          <w:rStyle w:val="StyleUnderline"/>
        </w:rPr>
        <w:t>priorities</w:t>
      </w:r>
      <w:r>
        <w:t xml:space="preserve">. </w:t>
      </w:r>
      <w:r w:rsidRPr="00157B45">
        <w:rPr>
          <w:rStyle w:val="StyleUnderline"/>
        </w:rPr>
        <w:t>Adopting</w:t>
      </w:r>
      <w:r>
        <w:t xml:space="preserve"> and supporting implementation </w:t>
      </w:r>
      <w:r w:rsidRPr="00157B45">
        <w:rPr>
          <w:rStyle w:val="StyleUnderline"/>
        </w:rPr>
        <w:t>of a new generation of standards and assessments and aligning them to policies pushing in the same direction</w:t>
      </w:r>
      <w:r>
        <w:t xml:space="preserve"> in curriculum development, educator training, and accountability are vital to successful education reform. </w:t>
      </w:r>
      <w:r w:rsidRPr="00157B45">
        <w:rPr>
          <w:rStyle w:val="StyleUnderline"/>
        </w:rPr>
        <w:t xml:space="preserve">Equally important is ensuring that local districts receive </w:t>
      </w:r>
      <w:r w:rsidRPr="00157B45">
        <w:rPr>
          <w:rStyle w:val="Emphasis"/>
        </w:rPr>
        <w:t>consistent signals</w:t>
      </w:r>
      <w:r w:rsidRPr="00157B45">
        <w:rPr>
          <w:rStyle w:val="StyleUnderline"/>
        </w:rPr>
        <w:t xml:space="preserve"> from </w:t>
      </w:r>
      <w:r w:rsidRPr="00157B45">
        <w:rPr>
          <w:rStyle w:val="Emphasis"/>
        </w:rPr>
        <w:t>system leaders and that state leaders</w:t>
      </w:r>
      <w:r w:rsidRPr="00157B45">
        <w:rPr>
          <w:rStyle w:val="StyleUnderline"/>
        </w:rPr>
        <w:t xml:space="preserve"> exhibit a </w:t>
      </w:r>
      <w:r w:rsidRPr="00157B45">
        <w:rPr>
          <w:rStyle w:val="Emphasis"/>
        </w:rPr>
        <w:t>steadfast commitment to improvement</w:t>
      </w:r>
      <w:r>
        <w:t xml:space="preserve">. </w:t>
      </w:r>
    </w:p>
    <w:p w:rsidR="0036615E" w:rsidRDefault="004A5299" w:rsidP="0036615E">
      <w:pPr>
        <w:pStyle w:val="Heading3"/>
      </w:pPr>
      <w:r>
        <w:t xml:space="preserve">AT perm – compliance duplication </w:t>
      </w:r>
    </w:p>
    <w:p w:rsidR="004A5299" w:rsidRDefault="00F65918" w:rsidP="004A5299">
      <w:pPr>
        <w:pStyle w:val="Heading4"/>
      </w:pPr>
      <w:r w:rsidRPr="00F65918">
        <w:t xml:space="preserve">The perm is the same rule </w:t>
      </w:r>
      <w:r w:rsidRPr="00F65918">
        <w:rPr>
          <w:u w:val="single"/>
        </w:rPr>
        <w:t>twice</w:t>
      </w:r>
      <w:r w:rsidRPr="00F65918">
        <w:t>---</w:t>
      </w:r>
      <w:r>
        <w:rPr>
          <w:u w:val="single"/>
        </w:rPr>
        <w:t>d</w:t>
      </w:r>
      <w:r w:rsidR="004A5299" w:rsidRPr="0036615E">
        <w:rPr>
          <w:u w:val="single"/>
        </w:rPr>
        <w:t>uplicating</w:t>
      </w:r>
      <w:r w:rsidR="004A5299">
        <w:t xml:space="preserve"> compliance costs trades off directly with funding for students</w:t>
      </w:r>
    </w:p>
    <w:p w:rsidR="004A5299" w:rsidRPr="00E24A6B" w:rsidRDefault="004A5299" w:rsidP="004A5299">
      <w:r w:rsidRPr="00E24A6B">
        <w:rPr>
          <w:rStyle w:val="Style13ptBold"/>
        </w:rPr>
        <w:t>Ryan 16</w:t>
      </w:r>
      <w:r>
        <w:t xml:space="preserve"> – Speaker of the House (Paul and Kevin Brady, Chairman of the House Ways and means Committee, “A Better Way,” https://abetterway.speaker.gov/_assets/pdf/ABetterWay-Economy-PolicyPaper.pdf)</w:t>
      </w:r>
    </w:p>
    <w:p w:rsidR="004A5299" w:rsidRDefault="004A5299" w:rsidP="004A5299">
      <w:r>
        <w:t xml:space="preserve">Task Force Solution: Repeal onerous higher education regulations. While federal rules can serve an important role in providing institutional accountability, </w:t>
      </w:r>
      <w:r w:rsidRPr="000E0C2C">
        <w:rPr>
          <w:rStyle w:val="StyleUnderline"/>
        </w:rPr>
        <w:t>each federal rule and reporting requirement levied on schools</w:t>
      </w:r>
      <w:r>
        <w:t xml:space="preserve">, colleges, and universities </w:t>
      </w:r>
      <w:r w:rsidRPr="000E0C2C">
        <w:rPr>
          <w:rStyle w:val="StyleUnderline"/>
        </w:rPr>
        <w:t>carries its own cost that is ultimately passed onto students</w:t>
      </w:r>
      <w:r>
        <w:t xml:space="preserve">. Therefore, Congress must eliminate burdensome higher education regulations, like the gainful employment regulation, that were made outside of statutory changes and are not in line with congressional intent. Issues like this should be thoughtfully vetted and addressed through the normal legislative process. These </w:t>
      </w:r>
      <w:r w:rsidRPr="000E0C2C">
        <w:rPr>
          <w:rStyle w:val="StyleUnderline"/>
        </w:rPr>
        <w:t>regulations are a counterproductive impediment to</w:t>
      </w:r>
      <w:r>
        <w:t xml:space="preserve"> colleges and universities trying to serve their </w:t>
      </w:r>
      <w:r w:rsidRPr="000E0C2C">
        <w:rPr>
          <w:rStyle w:val="StyleUnderline"/>
        </w:rPr>
        <w:t>students</w:t>
      </w:r>
      <w:r>
        <w:t xml:space="preserve">. </w:t>
      </w:r>
      <w:r w:rsidRPr="000E0C2C">
        <w:rPr>
          <w:rStyle w:val="StyleUnderline"/>
        </w:rPr>
        <w:t>Congress can help</w:t>
      </w:r>
      <w:r>
        <w:t xml:space="preserve"> strengthen higher education and </w:t>
      </w:r>
      <w:r w:rsidRPr="000E0C2C">
        <w:rPr>
          <w:rStyle w:val="StyleUnderline"/>
        </w:rPr>
        <w:t>control costs by removing</w:t>
      </w:r>
      <w:r>
        <w:t xml:space="preserve"> burdensome and </w:t>
      </w:r>
      <w:r w:rsidRPr="000E0C2C">
        <w:rPr>
          <w:rStyle w:val="StyleUnderline"/>
        </w:rPr>
        <w:t>duplicative federal</w:t>
      </w:r>
      <w:r>
        <w:rPr>
          <w:rStyle w:val="StyleUnderline"/>
        </w:rPr>
        <w:t xml:space="preserve"> </w:t>
      </w:r>
      <w:r w:rsidRPr="000E0C2C">
        <w:rPr>
          <w:rStyle w:val="StyleUnderline"/>
        </w:rPr>
        <w:t>requirements that prevent institutions from delivering</w:t>
      </w:r>
      <w:r>
        <w:t xml:space="preserve"> higher </w:t>
      </w:r>
      <w:r w:rsidRPr="000E0C2C">
        <w:rPr>
          <w:rStyle w:val="StyleUnderline"/>
        </w:rPr>
        <w:t>education in more creative, cost-effective ways</w:t>
      </w:r>
      <w:r>
        <w:t xml:space="preserve">. </w:t>
      </w:r>
    </w:p>
    <w:p w:rsidR="002A57BE" w:rsidRDefault="002A57BE" w:rsidP="002A57BE">
      <w:pPr>
        <w:pStyle w:val="Heading4"/>
      </w:pPr>
      <w:r>
        <w:t xml:space="preserve">It's a DA to the aff </w:t>
      </w:r>
      <w:r w:rsidRPr="002A57BE">
        <w:rPr>
          <w:u w:val="single"/>
        </w:rPr>
        <w:t>and</w:t>
      </w:r>
      <w:r>
        <w:t xml:space="preserve"> the perm</w:t>
      </w:r>
    </w:p>
    <w:p w:rsidR="002A57BE" w:rsidRPr="00AA0D15" w:rsidRDefault="002A57BE" w:rsidP="002A57BE">
      <w:pPr>
        <w:rPr>
          <w:rStyle w:val="Style13ptBold"/>
        </w:rPr>
      </w:pPr>
      <w:r w:rsidRPr="00AA0D15">
        <w:rPr>
          <w:rStyle w:val="Style13ptBold"/>
        </w:rPr>
        <w:t xml:space="preserve">Marshall 11 </w:t>
      </w:r>
      <w:r w:rsidRPr="00AA0D15">
        <w:t>(Jennifer Marshall, Heritage, “Effects of the Federal Role and Intervention in Education” 3/15/11, Jennifer A. Marshall is Director of Domestic Policy Studies, at The Heritage Foundation. http://www.heritage.org/testimony/effects-the-federal-role-and-intervention-education) GG and tbrooks</w:t>
      </w:r>
    </w:p>
    <w:p w:rsidR="002A57BE" w:rsidRPr="002A57BE" w:rsidRDefault="002A57BE" w:rsidP="002A57BE">
      <w:pPr>
        <w:rPr>
          <w:sz w:val="22"/>
          <w:u w:val="single"/>
        </w:rPr>
      </w:pPr>
      <w:r w:rsidRPr="00083299">
        <w:t xml:space="preserve">This </w:t>
      </w:r>
      <w:r w:rsidRPr="00083299">
        <w:rPr>
          <w:rStyle w:val="Emphasis"/>
        </w:rPr>
        <w:t>multiplication of programs</w:t>
      </w:r>
      <w:r w:rsidRPr="00083299">
        <w:rPr>
          <w:sz w:val="22"/>
          <w:u w:val="single"/>
        </w:rPr>
        <w:t xml:space="preserve"> means multiple applications, monitoring of program notices, and program reporting. This increases administrative overhead and erodes coherent, school-level strategic leadership based on the needs of individual students. </w:t>
      </w:r>
      <w:r w:rsidRPr="00083299">
        <w:t>No Child Left Behind (NCLB) is the most significant of the federal laws affecting K-12 education. Programs funded under NCLB constituted $25 billion in 2010. NCLB includes more than 50 programs under 10 titles, running more than 600 pages. NCLB is the eighth reauthorization of the Elementary and Secondary Education Act of 1965 (ESEA). The original ESEA included just five titles and 32 pages. In 2006, the Office of Management and Budget found that No Child Left Behind cost states an additional 7 million hours in paperwork at a cost of $141 million.</w:t>
      </w:r>
      <w:hyperlink r:id="rId7" w:anchor="_ftn3" w:history="1">
        <w:r w:rsidRPr="00083299">
          <w:rPr>
            <w:rStyle w:val="Hyperlink"/>
          </w:rPr>
          <w:t>[3]</w:t>
        </w:r>
      </w:hyperlink>
      <w:r w:rsidRPr="00083299">
        <w:t xml:space="preserve"> Federal Prescription Increased through “Systemic Reform” Between 1965 and the mid-1990s, the federal role in education focused on compensatory and categorical aid, aiming to supplement resources for specific student populations (e.g., low-income or English language learners) or categorical purposes. </w:t>
      </w:r>
      <w:r w:rsidRPr="00083299">
        <w:rPr>
          <w:sz w:val="22"/>
          <w:u w:val="single"/>
        </w:rPr>
        <w:t>In the mid-1990s, the federal role expanded beyond</w:t>
      </w:r>
      <w:r w:rsidRPr="00083299">
        <w:t xml:space="preserve"> these </w:t>
      </w:r>
      <w:r w:rsidRPr="00083299">
        <w:rPr>
          <w:sz w:val="22"/>
          <w:u w:val="single"/>
        </w:rPr>
        <w:t>specific interventions to leveraging system-wide education reform from Washington. This systemic or comprehensive reform seeks to influence all aspects of the public school system to produce change in all public schools by working top-down from Washington, D.C.</w:t>
      </w:r>
      <w:r w:rsidRPr="00083299">
        <w:t xml:space="preserve"> No area of education policy is off limits from federal oversight and federal regulation in this model, opening the door to ever-deeper encroachments into and ever-wider compliance demands on local schools. For example, No Child Left Behind prescribes in great detail the measurement of student progress on a specified testing regimen for all schools and all students. Each state must complete a “Consolidated State Application Accountability Workbook” to explain in great detail how it will meet the law’s prescriptive requirements for judging student progress.</w:t>
      </w:r>
      <w:hyperlink r:id="rId8" w:anchor="_ftn4" w:history="1">
        <w:r w:rsidRPr="00083299">
          <w:rPr>
            <w:rStyle w:val="Hyperlink"/>
          </w:rPr>
          <w:t>[4]</w:t>
        </w:r>
      </w:hyperlink>
      <w:r w:rsidRPr="00083299">
        <w:t xml:space="preserve"> Most states’ completed “accountability workbooks” run around 50 pages long, though some are much longer. For example, Georgia’s is 95 pages and Florida’s is 128 pages. </w:t>
      </w:r>
      <w:r w:rsidRPr="00083299">
        <w:rPr>
          <w:sz w:val="22"/>
          <w:u w:val="single"/>
        </w:rPr>
        <w:t>Accountability</w:t>
      </w:r>
      <w:r w:rsidRPr="00083299">
        <w:t xml:space="preserve"> is important, but we also need to ask, accountability to whom and for what? The accountability prescribed by No Child Left Behind </w:t>
      </w:r>
      <w:r w:rsidRPr="00083299">
        <w:rPr>
          <w:sz w:val="22"/>
          <w:u w:val="single"/>
        </w:rPr>
        <w:t>focuses on fine-tuned aggregate calculations that are most useful for bureaucrats to chart school-wide, district-wide, or state-wide progress—information that is useful for the application of federal carrots and sticks.</w:t>
      </w:r>
      <w:r w:rsidRPr="00083299">
        <w:t xml:space="preserve"> Calculations like “safe harbor” to account for differences in progress among groups are not the kinds of information that empower parents. </w:t>
      </w:r>
      <w:r w:rsidRPr="00083299">
        <w:rPr>
          <w:sz w:val="22"/>
          <w:u w:val="single"/>
        </w:rPr>
        <w:t xml:space="preserve">On the other hand, that kind of detail does absorb countless hours of bureaucratic explanation and compliance calculations on the part of schools, districts, and states. That’s characteristic of federal intervention as whole: it is </w:t>
      </w:r>
      <w:r w:rsidRPr="00083299">
        <w:rPr>
          <w:rStyle w:val="Emphasis"/>
        </w:rPr>
        <w:t>distracting</w:t>
      </w:r>
      <w:r w:rsidRPr="00083299">
        <w:rPr>
          <w:sz w:val="22"/>
          <w:u w:val="single"/>
        </w:rPr>
        <w:t xml:space="preserve"> because of the </w:t>
      </w:r>
      <w:r w:rsidRPr="00083299">
        <w:rPr>
          <w:rStyle w:val="Emphasis"/>
        </w:rPr>
        <w:t>many compliance burdens it puts on states and localities</w:t>
      </w:r>
      <w:r w:rsidRPr="00083299">
        <w:rPr>
          <w:sz w:val="22"/>
          <w:u w:val="single"/>
        </w:rPr>
        <w:t>, but it is also detracts from proper accountability to those who have the most at stake in education,</w:t>
      </w:r>
      <w:r w:rsidRPr="00083299">
        <w:t xml:space="preserve"> parents and other taxpayers.</w:t>
      </w:r>
    </w:p>
    <w:p w:rsidR="004A5299" w:rsidRDefault="004A5299" w:rsidP="004A5299">
      <w:pPr>
        <w:pStyle w:val="Heading4"/>
      </w:pPr>
      <w:r>
        <w:t xml:space="preserve">Funding shortages </w:t>
      </w:r>
      <w:r w:rsidR="001A3A1D">
        <w:t>wreck solve</w:t>
      </w:r>
      <w:r w:rsidR="002A57BE">
        <w:t>ncy</w:t>
      </w:r>
      <w:r>
        <w:t>---devastates low-income outcomes, and causes larger class sizes</w:t>
      </w:r>
    </w:p>
    <w:p w:rsidR="004A5299" w:rsidRPr="008E53F0" w:rsidRDefault="004A5299" w:rsidP="004A5299">
      <w:r w:rsidRPr="008E53F0">
        <w:rPr>
          <w:rStyle w:val="Style13ptBold"/>
        </w:rPr>
        <w:t>Robinson 16</w:t>
      </w:r>
      <w:r>
        <w:t xml:space="preserve"> - Professor, University of Richmond School of Law (Kimberly, “FEATURE: No Quick Fix for Equity and Excellence: The Virtues of Incremental Shifts in Education Federalism,” </w:t>
      </w:r>
      <w:r w:rsidRPr="008E53F0">
        <w:rPr>
          <w:i/>
        </w:rPr>
        <w:t>27 Stan. L. &amp; Pol'y Rev 201, *202</w:t>
      </w:r>
      <w:r>
        <w:t>, Lexis)//BB</w:t>
      </w:r>
    </w:p>
    <w:p w:rsidR="004A5299" w:rsidRDefault="004A5299" w:rsidP="004A5299">
      <w:r>
        <w:t xml:space="preserve">Before turning to this analysis, it is worth noting that in focusing on the need for reforming school funding systems, I build upon the research that finds that </w:t>
      </w:r>
      <w:r w:rsidRPr="004A5299">
        <w:rPr>
          <w:rStyle w:val="Emphasis"/>
        </w:rPr>
        <w:t>money</w:t>
      </w:r>
      <w:r>
        <w:t xml:space="preserve"> spent well </w:t>
      </w:r>
      <w:r w:rsidRPr="004A5299">
        <w:rPr>
          <w:rStyle w:val="Emphasis"/>
        </w:rPr>
        <w:t>matters for student outcomes</w:t>
      </w:r>
      <w:r>
        <w:t xml:space="preserve">. 40 In my recent book coedited with Professor Charles J. Ogletree, Jr. we note that </w:t>
      </w:r>
      <w:r w:rsidRPr="004A5299">
        <w:rPr>
          <w:rStyle w:val="StyleUnderline"/>
        </w:rPr>
        <w:t>the school finance debate has largely moved beyond</w:t>
      </w:r>
      <w:r>
        <w:rPr>
          <w:rStyle w:val="StyleUnderline"/>
        </w:rPr>
        <w:t xml:space="preserve"> </w:t>
      </w:r>
      <w:r w:rsidRPr="004A5299">
        <w:rPr>
          <w:rStyle w:val="StyleUnderline"/>
        </w:rPr>
        <w:t>questioning whether money matters to a consensus that money spent well does, in fact, matter</w:t>
      </w:r>
      <w:r>
        <w:t xml:space="preserve">. 41 Further evidence that money matters is presented in a 2016 study finding that </w:t>
      </w:r>
      <w:r w:rsidRPr="004A5299">
        <w:rPr>
          <w:rStyle w:val="StyleUnderline"/>
        </w:rPr>
        <w:t>when children from low-income families are</w:t>
      </w:r>
      <w:r>
        <w:rPr>
          <w:rStyle w:val="StyleUnderline"/>
        </w:rPr>
        <w:t xml:space="preserve"> </w:t>
      </w:r>
      <w:r w:rsidRPr="004A5299">
        <w:rPr>
          <w:rStyle w:val="StyleUnderline"/>
        </w:rPr>
        <w:t>provided with lower pupil-to-teacher ratios and a more equitable distribution of staffing, they experience better</w:t>
      </w:r>
      <w:r>
        <w:rPr>
          <w:rStyle w:val="StyleUnderline"/>
        </w:rPr>
        <w:t xml:space="preserve"> </w:t>
      </w:r>
      <w:r w:rsidRPr="004A5299">
        <w:rPr>
          <w:rStyle w:val="StyleUnderline"/>
        </w:rPr>
        <w:t>academic outcomes and exhibit a smaller gap in achievement with their more affluent peers</w:t>
      </w:r>
      <w:r>
        <w:t xml:space="preserve">. 42 This study also found that </w:t>
      </w:r>
      <w:r w:rsidRPr="004A5299">
        <w:rPr>
          <w:rStyle w:val="Emphasis"/>
        </w:rPr>
        <w:t>greater spending leads to smaller class sizes</w:t>
      </w:r>
      <w:r>
        <w:t xml:space="preserve">. 43 Other research indicating that money spent well matters can be found in a study by C. Kirabo Jackson and his associates published by the National Bureau of Economic Research. The study found that although we find small effects for children from affluent families, for low-income children, </w:t>
      </w:r>
      <w:r w:rsidRPr="004A5299">
        <w:rPr>
          <w:rStyle w:val="StyleUnderline"/>
        </w:rPr>
        <w:t>a 10% increase in per</w:t>
      </w:r>
      <w:r>
        <w:rPr>
          <w:rStyle w:val="StyleUnderline"/>
        </w:rPr>
        <w:t xml:space="preserve"> </w:t>
      </w:r>
      <w:r w:rsidRPr="004A5299">
        <w:rPr>
          <w:rStyle w:val="StyleUnderline"/>
        </w:rPr>
        <w:t>pupil spending each year for all 12 years of public school is associated with 0.46 additional years of completed</w:t>
      </w:r>
      <w:r>
        <w:rPr>
          <w:rStyle w:val="StyleUnderline"/>
        </w:rPr>
        <w:t xml:space="preserve"> </w:t>
      </w:r>
      <w:r w:rsidRPr="004A5299">
        <w:rPr>
          <w:rStyle w:val="StyleUnderline"/>
        </w:rPr>
        <w:t>education, 9.6% higher earnings, and a 6.1 percentage point reduction in the annual incidence of adult poverty</w:t>
      </w:r>
      <w:r>
        <w:t xml:space="preserve">. The results imply that </w:t>
      </w:r>
      <w:r w:rsidRPr="004A5299">
        <w:rPr>
          <w:rStyle w:val="StyleUnderline"/>
        </w:rPr>
        <w:t>a 25% increase in per pupil spending throughout one's school years could eliminate the average</w:t>
      </w:r>
      <w:r>
        <w:rPr>
          <w:rStyle w:val="StyleUnderline"/>
        </w:rPr>
        <w:t xml:space="preserve"> </w:t>
      </w:r>
      <w:r w:rsidRPr="004A5299">
        <w:rPr>
          <w:rStyle w:val="StyleUnderline"/>
        </w:rPr>
        <w:t>attainment gaps between children from low-income … and nonpoor families</w:t>
      </w:r>
      <w:r>
        <w:t xml:space="preserve">… 44 [*209] Further research also confirms the positive effect of increased funding for obtaining particular resources and student outcomes. 45 In addition, </w:t>
      </w:r>
      <w:r w:rsidRPr="004A5299">
        <w:rPr>
          <w:rStyle w:val="StyleUnderline"/>
        </w:rPr>
        <w:t>a compelling body of research indicates that states that have implemented</w:t>
      </w:r>
      <w:r>
        <w:rPr>
          <w:rStyle w:val="StyleUnderline"/>
        </w:rPr>
        <w:t xml:space="preserve"> </w:t>
      </w:r>
      <w:r w:rsidRPr="004A5299">
        <w:rPr>
          <w:rStyle w:val="StyleUnderline"/>
        </w:rPr>
        <w:t>substantial changes to the distribution and/or level of education funding typically observe significant improvements</w:t>
      </w:r>
      <w:r>
        <w:rPr>
          <w:rStyle w:val="StyleUnderline"/>
        </w:rPr>
        <w:t xml:space="preserve"> </w:t>
      </w:r>
      <w:r w:rsidRPr="004A5299">
        <w:rPr>
          <w:rStyle w:val="StyleUnderline"/>
        </w:rPr>
        <w:t>in student achievement</w:t>
      </w:r>
      <w:r>
        <w:t>. 46</w:t>
      </w:r>
    </w:p>
    <w:p w:rsidR="002A57BE" w:rsidRPr="004A5299" w:rsidRDefault="002A57BE" w:rsidP="002A57BE">
      <w:pPr>
        <w:pStyle w:val="Heading3"/>
      </w:pPr>
      <w:r>
        <w:t>---xt: compliance duplication</w:t>
      </w:r>
      <w:r w:rsidR="00B8198A">
        <w:t xml:space="preserve"> – link</w:t>
      </w:r>
    </w:p>
    <w:p w:rsidR="0036615E" w:rsidRPr="00AA0D15" w:rsidRDefault="002A57BE" w:rsidP="0036615E">
      <w:pPr>
        <w:pStyle w:val="Heading4"/>
        <w:rPr>
          <w:rFonts w:cs="Times New Roman"/>
        </w:rPr>
      </w:pPr>
      <w:r>
        <w:rPr>
          <w:rFonts w:cs="Times New Roman"/>
        </w:rPr>
        <w:t>Federal duplication siphons</w:t>
      </w:r>
      <w:r w:rsidR="0036615E" w:rsidRPr="00AA0D15">
        <w:rPr>
          <w:rFonts w:cs="Times New Roman"/>
        </w:rPr>
        <w:t xml:space="preserve"> vital resources </w:t>
      </w:r>
      <w:r>
        <w:rPr>
          <w:rFonts w:cs="Times New Roman"/>
        </w:rPr>
        <w:t>from students</w:t>
      </w:r>
    </w:p>
    <w:p w:rsidR="0036615E" w:rsidRPr="00AA0D15" w:rsidRDefault="0036615E" w:rsidP="0036615E">
      <w:pPr>
        <w:rPr>
          <w:b/>
          <w:bCs/>
          <w:sz w:val="26"/>
        </w:rPr>
      </w:pPr>
      <w:r w:rsidRPr="00AA0D15">
        <w:rPr>
          <w:rStyle w:val="Style13ptBold"/>
        </w:rPr>
        <w:t xml:space="preserve">Marshall 11 </w:t>
      </w:r>
      <w:r w:rsidRPr="00AA0D15">
        <w:t>(Jennifer Marshall, Heritage, “Effects of the Federal Role and Intervention in Education” 3/15/11, Jennifer A. Marshall is Director of Domestic Policy Studies, at The Heritage Foundation. http://www.heritage.org/testimony/effects-the-federal-role-and-intervention-education) GG</w:t>
      </w:r>
    </w:p>
    <w:p w:rsidR="0036615E" w:rsidRPr="00AA0D15" w:rsidRDefault="0036615E" w:rsidP="0036615E">
      <w:r w:rsidRPr="00AA0D15">
        <w:rPr>
          <w:rStyle w:val="Emphasis"/>
        </w:rPr>
        <w:t>The administrative set-asides and red tape associated with federal programs diminishes education dollars as they pass through multiple layers of bureaucracy</w:t>
      </w:r>
      <w:r w:rsidRPr="00AA0D15">
        <w:rPr>
          <w:rStyle w:val="StyleUnderline"/>
        </w:rPr>
        <w:t>.</w:t>
      </w:r>
      <w:r w:rsidRPr="00AA0D15">
        <w:t xml:space="preserve"> </w:t>
      </w:r>
      <w:r w:rsidRPr="00AA0D15">
        <w:rPr>
          <w:rStyle w:val="StyleUnderline"/>
        </w:rPr>
        <w:t>The federal</w:t>
      </w:r>
      <w:r w:rsidRPr="00AA0D15">
        <w:t xml:space="preserve"> </w:t>
      </w:r>
      <w:r w:rsidRPr="00AA0D15">
        <w:rPr>
          <w:rStyle w:val="StyleUnderline"/>
        </w:rPr>
        <w:t>D</w:t>
      </w:r>
      <w:r w:rsidRPr="00AA0D15">
        <w:t xml:space="preserve">epartment </w:t>
      </w:r>
      <w:r w:rsidRPr="00AA0D15">
        <w:rPr>
          <w:rStyle w:val="StyleUnderline"/>
        </w:rPr>
        <w:t>o</w:t>
      </w:r>
      <w:r w:rsidRPr="00AA0D15">
        <w:t xml:space="preserve">f </w:t>
      </w:r>
      <w:r w:rsidRPr="00AA0D15">
        <w:rPr>
          <w:rStyle w:val="StyleUnderline"/>
        </w:rPr>
        <w:t>E</w:t>
      </w:r>
      <w:r w:rsidRPr="00AA0D15">
        <w:t xml:space="preserve">ducation </w:t>
      </w:r>
      <w:r w:rsidRPr="00AA0D15">
        <w:rPr>
          <w:rStyle w:val="StyleUnderline"/>
        </w:rPr>
        <w:t>has spent the past three decades taxing states</w:t>
      </w:r>
      <w:r w:rsidRPr="00AA0D15">
        <w:t xml:space="preserve">, </w:t>
      </w:r>
      <w:r w:rsidRPr="00AA0D15">
        <w:rPr>
          <w:rStyle w:val="StyleUnderline"/>
        </w:rPr>
        <w:t>running that money through</w:t>
      </w:r>
      <w:r w:rsidRPr="00AA0D15">
        <w:t xml:space="preserve"> the </w:t>
      </w:r>
      <w:r w:rsidRPr="00AA0D15">
        <w:rPr>
          <w:rStyle w:val="StyleUnderline"/>
        </w:rPr>
        <w:t>Washington</w:t>
      </w:r>
      <w:r w:rsidRPr="00AA0D15">
        <w:t xml:space="preserve"> bureaucracy, </w:t>
      </w:r>
      <w:r w:rsidRPr="00AA0D15">
        <w:rPr>
          <w:rStyle w:val="StyleUnderline"/>
        </w:rPr>
        <w:t>and sending it back</w:t>
      </w:r>
      <w:r w:rsidRPr="00AA0D15">
        <w:t xml:space="preserve"> to states and school districts. But for 30 years, </w:t>
      </w:r>
      <w:r w:rsidRPr="00AA0D15">
        <w:rPr>
          <w:rStyle w:val="StyleUnderline"/>
        </w:rPr>
        <w:t xml:space="preserve">this spending cycle has failed to improve education. </w:t>
      </w:r>
      <w:r w:rsidRPr="00AA0D15">
        <w:t xml:space="preserve">A dollar gleaned from state taxpayers and sent to the federal Department of Education is then sent, through complex funding formulas or grant programs (see the Title I discussion above), back to state education agencies. SEAs in turn send that money to local education agencies, which in turn send that money to individual schools. Each step along the way diminishes the funds available to local schools as a result of administrative set-asides and other spending. </w:t>
      </w:r>
      <w:r w:rsidRPr="00AA0D15">
        <w:rPr>
          <w:rStyle w:val="StyleUnderline"/>
        </w:rPr>
        <w:t>By one 1998 estimate, between just 65 to 70 cents of every dollar makes its way to the classroom</w:t>
      </w:r>
      <w:r w:rsidRPr="00AA0D15">
        <w:t xml:space="preserve">.[19] </w:t>
      </w:r>
      <w:r w:rsidRPr="00AA0D15">
        <w:rPr>
          <w:rStyle w:val="StyleUnderline"/>
        </w:rPr>
        <w:t xml:space="preserve">A 1999 GAO study of 10 specific federal programs found that by the time a “federal” dollar reached a local school district, between 1 to 17 percent of the funding had been drained on administration. </w:t>
      </w:r>
      <w:r w:rsidRPr="00AA0D15">
        <w:t xml:space="preserve">GAO found that “Overall, </w:t>
      </w:r>
      <w:r w:rsidRPr="00AA0D15">
        <w:rPr>
          <w:rStyle w:val="StyleUnderline"/>
        </w:rPr>
        <w:t>94 percent of the federal education funds received by the states for these 10 programs [studied] was distributed to local agencies such as school districts. If the $7.3 billion appropriation for the Title I program is excluded, the overall percentage of funds states allocated to local agencies drops to 86 percent.</w:t>
      </w:r>
      <w:r w:rsidRPr="00AA0D15">
        <w:t>”[20] The same 1999 GAO report found that “</w:t>
      </w:r>
      <w:r w:rsidRPr="00AA0D15">
        <w:rPr>
          <w:rStyle w:val="StyleUnderline"/>
        </w:rPr>
        <w:t>too much federal funding may be spent on administration and that school personnel are incurring ‘hidden’ administrative costs as they spend time fulfilling administrative requirements related to applying for, monitoring, and reporting on federal funds</w:t>
      </w:r>
      <w:r w:rsidRPr="00AA0D15">
        <w:t xml:space="preserve">.”[21] The report noted the difficulty in determining what constitutes administrative activities because “what is considered administration varies from program to program.”[22] </w:t>
      </w:r>
      <w:r w:rsidRPr="00AA0D15">
        <w:rPr>
          <w:rStyle w:val="Emphasis"/>
        </w:rPr>
        <w:t>Even the federal funds that reach school districts are not immune from the administrative compliance burden</w:t>
      </w:r>
      <w:r w:rsidRPr="00AA0D15">
        <w:rPr>
          <w:rStyle w:val="StyleUnderline"/>
        </w:rPr>
        <w:t xml:space="preserve">. </w:t>
      </w:r>
      <w:r w:rsidRPr="00AA0D15">
        <w:rPr>
          <w:rStyle w:val="Emphasis"/>
        </w:rPr>
        <w:t>Reports</w:t>
      </w:r>
      <w:r w:rsidRPr="00AA0D15">
        <w:rPr>
          <w:rStyle w:val="StyleUnderline"/>
        </w:rPr>
        <w:t xml:space="preserve"> </w:t>
      </w:r>
      <w:r w:rsidRPr="00AA0D15">
        <w:t>from school districts</w:t>
      </w:r>
      <w:r w:rsidRPr="00AA0D15">
        <w:rPr>
          <w:rStyle w:val="StyleUnderline"/>
        </w:rPr>
        <w:t xml:space="preserve"> </w:t>
      </w:r>
      <w:r w:rsidRPr="00AA0D15">
        <w:rPr>
          <w:rStyle w:val="Emphasis"/>
        </w:rPr>
        <w:t>provide real-life examples of the administrative burden felt from heavy-handed federal regulations</w:t>
      </w:r>
      <w:r w:rsidRPr="00AA0D15">
        <w:rPr>
          <w:rStyle w:val="StyleUnderline"/>
        </w:rPr>
        <w:t xml:space="preserve">. A Fairfax County, Virginia, school district, for example, noted: </w:t>
      </w:r>
      <w:r w:rsidRPr="00AA0D15">
        <w:t>“</w:t>
      </w:r>
      <w:r w:rsidRPr="00AA0D15">
        <w:rPr>
          <w:rStyle w:val="StyleUnderline"/>
        </w:rPr>
        <w:t>The school division lengthened the standard teacher contract from 194 days to 195 just to allow for extra</w:t>
      </w:r>
      <w:r w:rsidRPr="00AA0D15">
        <w:t xml:space="preserve"> [</w:t>
      </w:r>
      <w:r w:rsidRPr="00AA0D15">
        <w:rPr>
          <w:rStyle w:val="StyleUnderline"/>
        </w:rPr>
        <w:t>NCLB</w:t>
      </w:r>
      <w:r w:rsidRPr="00AA0D15">
        <w:t xml:space="preserve">] </w:t>
      </w:r>
      <w:r w:rsidRPr="00AA0D15">
        <w:rPr>
          <w:rStyle w:val="StyleUnderline"/>
        </w:rPr>
        <w:t>training</w:t>
      </w:r>
      <w:r w:rsidRPr="00AA0D15">
        <w:t xml:space="preserve"> time. </w:t>
      </w:r>
      <w:r w:rsidRPr="00AA0D15">
        <w:rPr>
          <w:rStyle w:val="StyleUnderline"/>
        </w:rPr>
        <w:t xml:space="preserve">The cost of setting aside a single day to train the roughly 14,000 teachers in the division on the law’s complex requirements is equivalent to the cost of hiring </w:t>
      </w:r>
      <w:r w:rsidRPr="00AA0D15">
        <w:rPr>
          <w:rStyle w:val="Emphasis"/>
        </w:rPr>
        <w:t>72 additional teachers.</w:t>
      </w:r>
      <w:r w:rsidRPr="00AA0D15">
        <w:t xml:space="preserve"> The law also affects paraprofessionals: an extra day’s training equates to the cost of hiring about ten additional instructional assistants. There are roughly 1,000 administrators who require training as well. A day’s training represents the cost for four additional assistant principals. </w:t>
      </w:r>
      <w:r w:rsidRPr="00AA0D15">
        <w:rPr>
          <w:rStyle w:val="StyleUnderline"/>
        </w:rPr>
        <w:t>Thus, each day out of the year that is set aside to explain the law results in a missed opportunity to assign 86 instructional personnel year-round to</w:t>
      </w:r>
      <w:r w:rsidRPr="00AA0D15">
        <w:t xml:space="preserve"> interface directly with the community’s children and </w:t>
      </w:r>
      <w:r w:rsidRPr="00AA0D15">
        <w:rPr>
          <w:rStyle w:val="StyleUnderline"/>
        </w:rPr>
        <w:t>work directly to address their academic needs.</w:t>
      </w:r>
      <w:r w:rsidRPr="00AA0D15">
        <w:t xml:space="preserve">”[23] </w:t>
      </w:r>
      <w:r w:rsidRPr="00AA0D15">
        <w:rPr>
          <w:rStyle w:val="Emphasis"/>
        </w:rPr>
        <w:t>The administrative compliance burden siphons resources that should be</w:t>
      </w:r>
      <w:r w:rsidRPr="002A57BE">
        <w:t xml:space="preserve"> </w:t>
      </w:r>
      <w:r w:rsidRPr="00AA0D15">
        <w:t>directed</w:t>
      </w:r>
      <w:r w:rsidRPr="00AA0D15">
        <w:rPr>
          <w:rStyle w:val="Emphasis"/>
        </w:rPr>
        <w:t xml:space="preserve"> to students</w:t>
      </w:r>
      <w:r w:rsidRPr="00AA0D15">
        <w:t>. Moreover, it is unclear whether the reports required of states are always used in a meaningful way by the U.S. Department of Education. During a lecture delivered in April, 2007 at the Heritage Foundation, then Rep. Pete Hoekstra (R-Mich.) recalled his visits to the U.S. Department of Education as chairman of a House subcommittee on oversight and investigations: “We'd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—‘And is anybody here from the Second Congressional District of Michigan?’ No, but they're putting together all these mandates and requirements without knowing the parents, kids, school boards, or the economic conditions of the people that they're writing all these rules and regulations for.”</w:t>
      </w:r>
    </w:p>
    <w:p w:rsidR="0036615E" w:rsidRPr="00AA0D15" w:rsidRDefault="0036615E" w:rsidP="0036615E">
      <w:pPr>
        <w:pStyle w:val="Heading4"/>
        <w:rPr>
          <w:rFonts w:cs="Times New Roman"/>
        </w:rPr>
      </w:pPr>
      <w:r w:rsidRPr="00AA0D15">
        <w:rPr>
          <w:rFonts w:cs="Times New Roman"/>
        </w:rPr>
        <w:t>Overlap---and states lower funding and oversight in response to the plan</w:t>
      </w:r>
    </w:p>
    <w:p w:rsidR="0036615E" w:rsidRPr="00AA0D15" w:rsidRDefault="0036615E" w:rsidP="0036615E">
      <w:r w:rsidRPr="00AA0D15">
        <w:rPr>
          <w:rStyle w:val="Style13ptBold"/>
        </w:rPr>
        <w:t xml:space="preserve">McCluskey 16 </w:t>
      </w:r>
      <w:r w:rsidRPr="00AA0D15">
        <w:t>(Neil McCluskey, Neal McCluskey is a contributor to the Washington Examiner’s Beltway Confidential blog. He is the director of the Cato Institute’s Center for Educational Freedom and maintains Cato’s Public Schooling Battle Map “Cutting Federal Aid for K-12 Education” https://www.downsizinggovernment.org/education/k-12-education-subsidies) GG</w:t>
      </w:r>
    </w:p>
    <w:p w:rsidR="0036615E" w:rsidRPr="00AA0D15" w:rsidRDefault="0036615E" w:rsidP="0036615E">
      <w:r w:rsidRPr="00AA0D15">
        <w:t xml:space="preserve">A basic effect of all federal programs is to redistribute income from taxpayers to the beneficiaries of programs and the bureaucracy that supports them. </w:t>
      </w:r>
      <w:r w:rsidRPr="00AA0D15">
        <w:rPr>
          <w:rStyle w:val="StyleUnderline"/>
        </w:rPr>
        <w:t>The tens of billions of dollars a year spent on federal K-12 programs could have otherwise been retained by families and used for education</w:t>
      </w:r>
      <w:r w:rsidRPr="00AA0D15">
        <w:t xml:space="preserve"> or other private purposes. </w:t>
      </w:r>
      <w:r w:rsidRPr="00AA0D15">
        <w:rPr>
          <w:rStyle w:val="StyleUnderline"/>
        </w:rPr>
        <w:t xml:space="preserve">The higher their taxes, the less income families have to spend on private schools, tutors, saving for college, or other educational expenses. </w:t>
      </w:r>
      <w:r w:rsidRPr="00AA0D15">
        <w:t xml:space="preserve">In addition, without federal involvement, state and local governments-which are much closer to the people the schools are supposed to serve-could decide what they felt was the best use of public education dollars, whether reducing class sizes, paying teachers more, or giving parents more control by implementing choice programs. Federal intervention has long been supported on “equity” grounds, or redistributing funds toward less-advantaged schools. But </w:t>
      </w:r>
      <w:r w:rsidRPr="00AA0D15">
        <w:rPr>
          <w:rStyle w:val="StyleUnderline"/>
        </w:rPr>
        <w:t>studies have found that the federal government is not very successful at such redistribution, even if it were a good idea</w:t>
      </w:r>
      <w:r w:rsidRPr="00AA0D15">
        <w:t>. When you compare per pupil federal K-12 financing per state with state poverty rates, it reveals only a weak correlation, and comparing funding to states’ median household income has an even smaller correlation.49 Perhaps more importantly</w:t>
      </w:r>
      <w:r w:rsidRPr="00AA0D15">
        <w:rPr>
          <w:rStyle w:val="StyleUnderline"/>
        </w:rPr>
        <w:t>, federal funds are often offset at the state and local levels by reduced state and local funding.</w:t>
      </w:r>
      <w:r w:rsidRPr="00AA0D15">
        <w:t xml:space="preserve"> A statistical analysis by Nora Gordon of the University of California, San Diego, found that </w:t>
      </w:r>
      <w:r w:rsidRPr="00AA0D15">
        <w:rPr>
          <w:rStyle w:val="StyleUnderline"/>
        </w:rPr>
        <w:t>while Title I is supposed to steer money to poor school districts, the actual effect is quite different</w:t>
      </w:r>
      <w:r w:rsidRPr="00AA0D15">
        <w:t xml:space="preserve">.50 She found that </w:t>
      </w:r>
      <w:r w:rsidRPr="00AA0D15">
        <w:rPr>
          <w:rStyle w:val="StyleUnderline"/>
        </w:rPr>
        <w:t>within a few years of a grant being given, state and local governments used the federal funds to displace their own funding of poor schools</w:t>
      </w:r>
      <w:r w:rsidRPr="00AA0D15">
        <w:t xml:space="preserve">. Thus, poor schools may be no further ahead despite the federal grant money directed at them. Other studies have concluded that </w:t>
      </w:r>
      <w:r w:rsidRPr="00AA0D15">
        <w:rPr>
          <w:rStyle w:val="StyleUnderline"/>
        </w:rPr>
        <w:t>Title I has not reduced the education funding gap between higher- and lower-income states</w:t>
      </w:r>
      <w:r w:rsidRPr="00AA0D15">
        <w:t xml:space="preserve">.51 And, </w:t>
      </w:r>
      <w:r w:rsidRPr="00AA0D15">
        <w:rPr>
          <w:rStyle w:val="StyleUnderline"/>
        </w:rPr>
        <w:t>ironically, federal “supplement-not-supplant” regulations may backfire. These rules are supposed to</w:t>
      </w:r>
      <w:r w:rsidRPr="00AA0D15">
        <w:t xml:space="preserve"> </w:t>
      </w:r>
      <w:r w:rsidRPr="00AA0D15">
        <w:rPr>
          <w:rStyle w:val="StyleUnderline"/>
        </w:rPr>
        <w:t>ensure than federal money is only used for additional activities on which states would not have otherwise spent</w:t>
      </w:r>
      <w:r w:rsidRPr="00AA0D15">
        <w:t xml:space="preserve">. However, the rules may make it harder for districts, among other things, to try innovative pilot programs, lest they run into trouble if they scale up successful innovations to all students, who must be funded using state and local dollars, not just the Title I funds that may have paid for the pilot program.52 </w:t>
      </w:r>
      <w:r w:rsidRPr="00AA0D15">
        <w:rPr>
          <w:rStyle w:val="StyleUnderline"/>
        </w:rPr>
        <w:t xml:space="preserve">Aside from redistribution, the theory behind educational aid to the states is that federal policymakers can design programs in the national interest </w:t>
      </w:r>
      <w:r w:rsidRPr="00AA0D15">
        <w:t>to efficiently solve local problems.53</w:t>
      </w:r>
      <w:r w:rsidRPr="00AA0D15">
        <w:rPr>
          <w:rStyle w:val="StyleUnderline"/>
        </w:rPr>
        <w:t xml:space="preserve"> But involving the federal government focuses the educational policy discussion on spending </w:t>
      </w:r>
      <w:r w:rsidRPr="00AA0D15">
        <w:t>levels</w:t>
      </w:r>
      <w:r w:rsidRPr="00AA0D15">
        <w:rPr>
          <w:rStyle w:val="StyleUnderline"/>
        </w:rPr>
        <w:t xml:space="preserve"> and regulations, not </w:t>
      </w:r>
      <w:r w:rsidRPr="00AA0D15">
        <w:t>on delivering quality</w:t>
      </w:r>
      <w:r w:rsidRPr="00AA0D15">
        <w:rPr>
          <w:rStyle w:val="StyleUnderline"/>
        </w:rPr>
        <w:t xml:space="preserve"> services. By involving all levels of government</w:t>
      </w:r>
      <w:r w:rsidRPr="00AA0D15">
        <w:t xml:space="preserve"> in a policy area</w:t>
      </w:r>
      <w:r w:rsidRPr="00AA0D15">
        <w:rPr>
          <w:rStyle w:val="StyleUnderline"/>
        </w:rPr>
        <w:t xml:space="preserve">, the aid system creates a lack of accountability-when every government is responsible for education, no government is responsible. </w:t>
      </w:r>
      <w:r w:rsidRPr="00AA0D15">
        <w:t xml:space="preserve">The Department of Education has no teachers and runs no schools. Its purpose is to oversee more than 100 programs, covering pre-K though adult education, which are described in a massive department guidebook that is 328 pages </w:t>
      </w:r>
      <w:r w:rsidRPr="002A57BE">
        <w:t>long.54</w:t>
      </w:r>
      <w:r w:rsidR="002A57BE">
        <w:t xml:space="preserve">  </w:t>
      </w:r>
      <w:r w:rsidRPr="002A57BE">
        <w:rPr>
          <w:rStyle w:val="Emphasis"/>
        </w:rPr>
        <w:t>All these programs create intense bureaucracy at the federal, state, and local levels. If the activities funded by federal grants are useful, then state and local governments should fund them themselves</w:t>
      </w:r>
      <w:r w:rsidRPr="00AA0D15">
        <w:t xml:space="preserve">, and that way the nation’s taxpayers would be saved the costs of hiring well-paid administrators at the federal level. There are also large educational bureaucracies in state and local governments that comply with all the federal paperwork and regulations. For example, in 2008 the Department of Education estimated that 7.8 million hours of work would be needed for state and local education agencies to comply just with regulations governing Title I grants. That figure had increased from 2.9 million hours in 2003, mainly as a result of the No Child Left Behind legislation.55 In many states, a majority of state-level education department workers are those administering federally funded programs.56 </w:t>
      </w:r>
      <w:r w:rsidRPr="00AA0D15">
        <w:rPr>
          <w:rStyle w:val="StyleUnderline"/>
        </w:rPr>
        <w:t xml:space="preserve">Federal education programs have also generated large lobbying and litigation activities, which </w:t>
      </w:r>
      <w:r w:rsidRPr="00AA0D15">
        <w:t xml:space="preserve">are a </w:t>
      </w:r>
      <w:r w:rsidRPr="00AA0D15">
        <w:rPr>
          <w:rStyle w:val="StyleUnderline"/>
        </w:rPr>
        <w:t>drag</w:t>
      </w:r>
      <w:r w:rsidRPr="00AA0D15">
        <w:t xml:space="preserve"> on </w:t>
      </w:r>
      <w:r w:rsidRPr="00AA0D15">
        <w:rPr>
          <w:rStyle w:val="StyleUnderline"/>
        </w:rPr>
        <w:t>the U.S. economy</w:t>
      </w:r>
      <w:r w:rsidRPr="00AA0D15">
        <w:t xml:space="preserve">. Consider, for example, that the National Education Association-the nation’s largest teachers union-has a staff of about 500 and in 2015 received more than $360 million in dues and agency fees, the latter being forced payments from non-members who fall under collective bargaining agreements.57 </w:t>
      </w:r>
      <w:r w:rsidRPr="00AA0D15">
        <w:rPr>
          <w:rStyle w:val="StyleUnderline"/>
        </w:rPr>
        <w:t>The NEA influences federal policy through publications</w:t>
      </w:r>
      <w:r w:rsidRPr="00AA0D15">
        <w:t xml:space="preserve">, conferences, meetings with legislators, and contributions to candidates. </w:t>
      </w:r>
      <w:r w:rsidRPr="00AA0D15">
        <w:rPr>
          <w:rStyle w:val="StyleUnderline"/>
        </w:rPr>
        <w:t>The NEA and American Federation of Teachers are some of the largest lobbyists and political spenders</w:t>
      </w:r>
      <w:r w:rsidRPr="00AA0D15">
        <w:t xml:space="preserve"> in Washington.58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 Many lobby groups focus on particular education programs in the federal budget,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 </w:t>
      </w:r>
    </w:p>
    <w:p w:rsidR="0036615E" w:rsidRPr="00AA0D15" w:rsidRDefault="0036615E" w:rsidP="0036615E">
      <w:pPr>
        <w:pStyle w:val="Heading4"/>
        <w:rPr>
          <w:rFonts w:cs="Times New Roman"/>
        </w:rPr>
      </w:pPr>
      <w:r w:rsidRPr="00AA0D15">
        <w:rPr>
          <w:rFonts w:cs="Times New Roman"/>
        </w:rPr>
        <w:t>Detracts from state’s ability to control their schools</w:t>
      </w:r>
    </w:p>
    <w:p w:rsidR="0036615E" w:rsidRPr="00AA0D15" w:rsidRDefault="0036615E" w:rsidP="0036615E">
      <w:pPr>
        <w:rPr>
          <w:b/>
          <w:bCs/>
          <w:sz w:val="26"/>
        </w:rPr>
      </w:pPr>
      <w:r w:rsidRPr="00AA0D15">
        <w:rPr>
          <w:rStyle w:val="Style13ptBold"/>
        </w:rPr>
        <w:t xml:space="preserve">Marshall 11 </w:t>
      </w:r>
      <w:r w:rsidRPr="00AA0D15">
        <w:t>(Jennifer Marshall, Heritage, “Effects of the Federal Role and Intervention in Education” 3/15/11, Jennifer A. Marshall is Director of Domestic Policy Studies, at The Heritage Foundation. http://www.heritage.org/testimony/effects-the-federal-role-and-intervention-education) GG</w:t>
      </w:r>
    </w:p>
    <w:p w:rsidR="0036615E" w:rsidRPr="00AA0D15" w:rsidRDefault="0036615E" w:rsidP="0036615E">
      <w:r w:rsidRPr="00AA0D15">
        <w:rPr>
          <w:rStyle w:val="StyleUnderline"/>
        </w:rPr>
        <w:t>The growth of state bureaucracies to administer and comply with federal programs</w:t>
      </w:r>
      <w:r w:rsidRPr="00AA0D15">
        <w:t xml:space="preserve"> </w:t>
      </w:r>
      <w:r w:rsidRPr="00AA0D15">
        <w:rPr>
          <w:rStyle w:val="StyleUnderline"/>
        </w:rPr>
        <w:t>has given rise to a “client mentality” that undermines effective educational governance</w:t>
      </w:r>
      <w:r w:rsidRPr="00AA0D15">
        <w:t xml:space="preserve"> and accountability that ought to be directed toward parents and other taxpayers.</w:t>
      </w:r>
    </w:p>
    <w:p w:rsidR="0036615E" w:rsidRPr="00AA0D15" w:rsidRDefault="0036615E" w:rsidP="0036615E">
      <w:r w:rsidRPr="00AA0D15">
        <w:rPr>
          <w:rStyle w:val="StyleUnderline"/>
        </w:rPr>
        <w:t>Federal intervention</w:t>
      </w:r>
      <w:r w:rsidRPr="00AA0D15">
        <w:t xml:space="preserve"> beginning in the mid-1960s </w:t>
      </w:r>
      <w:r w:rsidRPr="00AA0D15">
        <w:rPr>
          <w:rStyle w:val="StyleUnderline"/>
        </w:rPr>
        <w:t>has shifted state education systems’ orientation toward this new funding source</w:t>
      </w:r>
      <w:r w:rsidRPr="00AA0D15">
        <w:t xml:space="preserve"> </w:t>
      </w:r>
      <w:r w:rsidRPr="00AA0D15">
        <w:rPr>
          <w:rStyle w:val="StyleUnderline"/>
        </w:rPr>
        <w:t>and led to</w:t>
      </w:r>
      <w:r w:rsidRPr="00AA0D15">
        <w:t xml:space="preserve"> increased state education </w:t>
      </w:r>
      <w:r w:rsidRPr="00AA0D15">
        <w:rPr>
          <w:rStyle w:val="StyleUnderline"/>
        </w:rPr>
        <w:t>bureaucracy</w:t>
      </w:r>
      <w:r w:rsidRPr="00AA0D15">
        <w:t>.</w:t>
      </w:r>
    </w:p>
    <w:p w:rsidR="0036615E" w:rsidRPr="00AA0D15" w:rsidRDefault="0036615E" w:rsidP="0036615E">
      <w:r w:rsidRPr="00AA0D15">
        <w:t xml:space="preserve">Before the 1965 passage of ESEA, the role of state departments of education varied according to each state’s need. </w:t>
      </w:r>
      <w:r w:rsidRPr="00AA0D15">
        <w:rPr>
          <w:rStyle w:val="StyleUnderline"/>
        </w:rPr>
        <w:t>ESEA converted</w:t>
      </w:r>
      <w:r w:rsidRPr="00AA0D15">
        <w:t xml:space="preserve"> them into </w:t>
      </w:r>
      <w:r w:rsidRPr="00AA0D15">
        <w:rPr>
          <w:rStyle w:val="StyleUnderline"/>
        </w:rPr>
        <w:t>a network of state education agencies</w:t>
      </w:r>
      <w:r w:rsidRPr="00AA0D15">
        <w:t xml:space="preserve"> (SEAs) </w:t>
      </w:r>
      <w:r w:rsidRPr="00AA0D15">
        <w:rPr>
          <w:rStyle w:val="StyleUnderline"/>
        </w:rPr>
        <w:t>charged with disseminating federal grants to local districts and implementing federal education policy</w:t>
      </w:r>
      <w:r w:rsidRPr="00AA0D15">
        <w:t xml:space="preserve">. A massive growth in state education bureaucracy followed: between 1966 and 1970, Congress appropriated $128 million for SEAs, and their staff doubled during that period.[14] </w:t>
      </w:r>
      <w:r w:rsidRPr="00AA0D15">
        <w:rPr>
          <w:rStyle w:val="StyleUnderline"/>
        </w:rPr>
        <w:t>Growth in the last half-century has been dramatic</w:t>
      </w:r>
      <w:r w:rsidRPr="00AA0D15">
        <w:t xml:space="preserve">: in the early 1960s, just 10 state education agencies had more than 100 employees. By 2002, five state education agencies had more than 1,000 employees.[15] </w:t>
      </w:r>
      <w:r w:rsidRPr="00AA0D15">
        <w:rPr>
          <w:rStyle w:val="Emphasis"/>
        </w:rPr>
        <w:t>Federal funding significantly underwrites state-level education bureaucracy</w:t>
      </w:r>
      <w:r w:rsidRPr="00AA0D15">
        <w:rPr>
          <w:rStyle w:val="StyleUnderline"/>
        </w:rPr>
        <w:t>. In fiscal year 1993, 41 percent of SEA funding came from the federal government</w:t>
      </w:r>
      <w:r w:rsidRPr="00AA0D15">
        <w:t>.[16]</w:t>
      </w:r>
      <w:r w:rsidRPr="00AA0D15">
        <w:tab/>
      </w:r>
    </w:p>
    <w:p w:rsidR="0036615E" w:rsidRPr="00AA0D15" w:rsidRDefault="0036615E" w:rsidP="0036615E">
      <w:r w:rsidRPr="00AA0D15">
        <w:rPr>
          <w:rStyle w:val="StyleUnderline"/>
        </w:rPr>
        <w:t>Administrative bloat</w:t>
      </w:r>
      <w:r w:rsidRPr="00AA0D15">
        <w:t xml:space="preserve"> resulting from federal regulations does not stop at the SEA level; it </w:t>
      </w:r>
      <w:r w:rsidRPr="00AA0D15">
        <w:rPr>
          <w:rStyle w:val="StyleUnderline"/>
        </w:rPr>
        <w:t>trickles down to the school level</w:t>
      </w:r>
      <w:r w:rsidRPr="00AA0D15">
        <w:t xml:space="preserve">. Trends since the 1950s indicate </w:t>
      </w:r>
      <w:r w:rsidRPr="00AA0D15">
        <w:rPr>
          <w:rStyle w:val="StyleUnderline"/>
        </w:rPr>
        <w:t>that the number of teachers as a percentage of school staff has declined significantly</w:t>
      </w:r>
      <w:r w:rsidRPr="00AA0D15">
        <w:t xml:space="preserve">. In 1950, more than 70 percent of elementary and secondary instructional staff was composed of teachers; by 2006, </w:t>
      </w:r>
      <w:r w:rsidRPr="00AA0D15">
        <w:rPr>
          <w:rStyle w:val="StyleUnderline"/>
        </w:rPr>
        <w:t>teachers made up just slightly more than 51 percent of public school staff.</w:t>
      </w:r>
      <w:r w:rsidRPr="00AA0D15">
        <w:t xml:space="preserve"> Administrative support staff increased from 23.8 percent to 29.9 percent during that same time period.[17]</w:t>
      </w:r>
    </w:p>
    <w:p w:rsidR="0036615E" w:rsidRPr="00AA0D15" w:rsidRDefault="0036615E" w:rsidP="0036615E">
      <w:r w:rsidRPr="00AA0D15">
        <w:t xml:space="preserve">Another problem with this bureaucratic bloat is the fact that the proliferation of federal programs seems to be reflected in a lack of integration within the program-oriented divisions of state education agencies. Similarly, </w:t>
      </w:r>
      <w:r w:rsidRPr="00AA0D15">
        <w:rPr>
          <w:rStyle w:val="StyleUnderline"/>
        </w:rPr>
        <w:t>local administrative staff seem to operate in silos when it comes to federal programs</w:t>
      </w:r>
      <w:r w:rsidRPr="00AA0D15">
        <w:t>. As a 2010 GAO report noted, “</w:t>
      </w:r>
      <w:r w:rsidRPr="00AA0D15">
        <w:rPr>
          <w:rStyle w:val="StyleUnderline"/>
        </w:rPr>
        <w:t>Of the district staff who had administrative responsibilities, two-thirds reported administrative responsibilities for only 1 [program</w:t>
      </w:r>
      <w:r w:rsidRPr="00AA0D15">
        <w:t>]; few staff had responsibility for more than 3 programs.”[18]</w:t>
      </w:r>
    </w:p>
    <w:p w:rsidR="0036615E" w:rsidRDefault="0036615E" w:rsidP="0036615E">
      <w:pPr>
        <w:rPr>
          <w:rStyle w:val="Emphasis"/>
        </w:rPr>
      </w:pPr>
      <w:r w:rsidRPr="00AA0D15">
        <w:rPr>
          <w:rStyle w:val="StyleUnderline"/>
        </w:rPr>
        <w:t xml:space="preserve">In this way, </w:t>
      </w:r>
      <w:r w:rsidRPr="00AA0D15">
        <w:rPr>
          <w:rStyle w:val="Emphasis"/>
        </w:rPr>
        <w:t>federal programs detract from integrated, strategic education leadership at the state, local and building level.</w:t>
      </w:r>
    </w:p>
    <w:p w:rsidR="00B8198A" w:rsidRPr="00B8198A" w:rsidRDefault="00B8198A" w:rsidP="00B8198A">
      <w:pPr>
        <w:pStyle w:val="Heading3"/>
      </w:pPr>
      <w:r w:rsidRPr="00B8198A">
        <w:t>---xt: compliance duplication – impact – class sizes</w:t>
      </w:r>
    </w:p>
    <w:p w:rsidR="00B8198A" w:rsidRPr="009D5F04" w:rsidRDefault="00B8198A" w:rsidP="00B8198A">
      <w:pPr>
        <w:pStyle w:val="Heading4"/>
      </w:pPr>
      <w:r>
        <w:t>Large class size means higher racial discrepancy in education and higher rates of criminal behavior, teen pregnancy, and school dropout.</w:t>
      </w:r>
    </w:p>
    <w:p w:rsidR="00B8198A" w:rsidRPr="009D5F04" w:rsidRDefault="00B8198A" w:rsidP="00B8198A">
      <w:r w:rsidRPr="009D5F04">
        <w:rPr>
          <w:rStyle w:val="Style13ptBold"/>
        </w:rPr>
        <w:t xml:space="preserve">Jerkins 15 </w:t>
      </w:r>
      <w:r>
        <w:t xml:space="preserve">(Morgan, </w:t>
      </w:r>
      <w:r>
        <w:rPr>
          <w:shd w:val="clear" w:color="auto" w:fill="FFFFFF"/>
        </w:rPr>
        <w:t xml:space="preserve">Graduated from Princeton University with an AB in Comparative Literature. | “Too Many Kids: </w:t>
      </w:r>
      <w:r w:rsidRPr="009D5F04">
        <w:rPr>
          <w:shd w:val="clear" w:color="auto" w:fill="FFFFFF"/>
        </w:rPr>
        <w:t>School districts are packing more and more students into classrooms—and that’s pushing teachers out</w:t>
      </w:r>
      <w:r>
        <w:rPr>
          <w:shd w:val="clear" w:color="auto" w:fill="FFFFFF"/>
        </w:rPr>
        <w:t xml:space="preserve">” in </w:t>
      </w:r>
      <w:r>
        <w:rPr>
          <w:i/>
          <w:shd w:val="clear" w:color="auto" w:fill="FFFFFF"/>
        </w:rPr>
        <w:t>The Atlantic</w:t>
      </w:r>
      <w:r>
        <w:rPr>
          <w:shd w:val="clear" w:color="auto" w:fill="FFFFFF"/>
        </w:rPr>
        <w:t xml:space="preserve">, 1 July 2015. </w:t>
      </w:r>
      <w:hyperlink r:id="rId9" w:history="1">
        <w:r w:rsidRPr="006773C7">
          <w:rPr>
            <w:rStyle w:val="Hyperlink"/>
            <w:shd w:val="clear" w:color="auto" w:fill="FFFFFF"/>
          </w:rPr>
          <w:t>https://www.theatlantic.com/education/archive/2015/07/too-many-kids/397451/</w:t>
        </w:r>
      </w:hyperlink>
      <w:r>
        <w:rPr>
          <w:shd w:val="clear" w:color="auto" w:fill="FFFFFF"/>
        </w:rPr>
        <w:t xml:space="preserve"> )//tbrooks</w:t>
      </w:r>
    </w:p>
    <w:p w:rsidR="00B8198A" w:rsidRPr="00CB4C8B" w:rsidRDefault="00B8198A" w:rsidP="00B8198A">
      <w:r w:rsidRPr="00CB4C8B">
        <w:t xml:space="preserve">Research shows how much of an impact small class sizes can have on kids’ achievement. In the </w:t>
      </w:r>
      <w:hyperlink r:id="rId10" w:history="1">
        <w:r w:rsidRPr="00CB4C8B">
          <w:rPr>
            <w:rStyle w:val="Hyperlink"/>
          </w:rPr>
          <w:t>mid-1980s</w:t>
        </w:r>
      </w:hyperlink>
      <w:r w:rsidRPr="00CB4C8B">
        <w:t xml:space="preserve">, the </w:t>
      </w:r>
      <w:r w:rsidRPr="00CB4C8B">
        <w:rPr>
          <w:sz w:val="22"/>
          <w:u w:val="single"/>
        </w:rPr>
        <w:t>Tennessee</w:t>
      </w:r>
      <w:r w:rsidRPr="00CB4C8B">
        <w:t xml:space="preserve"> government </w:t>
      </w:r>
      <w:r w:rsidRPr="00CB4C8B">
        <w:rPr>
          <w:sz w:val="22"/>
          <w:u w:val="single"/>
        </w:rPr>
        <w:t>commissioned Project STAR (Student-Teacher Achievement Ratio) to gauge the effect of class size on individual student progress</w:t>
      </w:r>
      <w:r w:rsidRPr="00CB4C8B">
        <w:t xml:space="preserve"> statewide. It found that for grades kindergarten through three, </w:t>
      </w:r>
      <w:r w:rsidRPr="00CB4C8B">
        <w:rPr>
          <w:sz w:val="22"/>
          <w:u w:val="single"/>
        </w:rPr>
        <w:t>class sizes of 18 students per teacher or fewer produced the greatest benefits, especially for minority and low-income students.</w:t>
      </w:r>
      <w:r w:rsidRPr="00CB4C8B">
        <w:t xml:space="preserve"> Because </w:t>
      </w:r>
      <w:hyperlink r:id="rId11" w:history="1">
        <w:r w:rsidRPr="00CB4C8B">
          <w:rPr>
            <w:rStyle w:val="Hyperlink"/>
            <w:sz w:val="22"/>
            <w:u w:val="single"/>
          </w:rPr>
          <w:t>teachers</w:t>
        </w:r>
      </w:hyperlink>
      <w:r w:rsidRPr="00CB4C8B">
        <w:rPr>
          <w:sz w:val="22"/>
          <w:u w:val="single"/>
        </w:rPr>
        <w:t xml:space="preserve"> could spend less time on classroom management and more time on instruction</w:t>
      </w:r>
      <w:r w:rsidRPr="00CB4C8B">
        <w:t xml:space="preserve">, the project concluded, they were able to engage more with the students, which in turn boosted their engagement in the learning material. Furthermore, </w:t>
      </w:r>
      <w:r w:rsidRPr="00CB4C8B">
        <w:rPr>
          <w:sz w:val="22"/>
          <w:u w:val="single"/>
        </w:rPr>
        <w:t>a study</w:t>
      </w:r>
      <w:r w:rsidRPr="00CB4C8B">
        <w:t xml:space="preserve"> last year </w:t>
      </w:r>
      <w:r w:rsidRPr="00CB4C8B">
        <w:rPr>
          <w:sz w:val="22"/>
          <w:u w:val="single"/>
        </w:rPr>
        <w:t xml:space="preserve">out of the National Education Policy Center found that small class-size ratios are linked with positive life </w:t>
      </w:r>
      <w:hyperlink r:id="rId12" w:history="1">
        <w:r w:rsidRPr="00CB4C8B">
          <w:rPr>
            <w:rStyle w:val="Hyperlink"/>
            <w:sz w:val="22"/>
            <w:u w:val="single"/>
          </w:rPr>
          <w:t>outcomes</w:t>
        </w:r>
      </w:hyperlink>
      <w:r w:rsidRPr="00CB4C8B">
        <w:rPr>
          <w:sz w:val="22"/>
          <w:u w:val="single"/>
        </w:rPr>
        <w:t>, such as less “juvenile criminal behavior,” lower teenage pregnancy rates, and higher high-school graduation and college-enrollment rates</w:t>
      </w:r>
      <w:r w:rsidRPr="00CB4C8B">
        <w:t xml:space="preserve">. A paper published in </w:t>
      </w:r>
      <w:r w:rsidRPr="00CB4C8B">
        <w:rPr>
          <w:sz w:val="22"/>
          <w:u w:val="single"/>
        </w:rPr>
        <w:t xml:space="preserve">the American Journal of Public Health </w:t>
      </w:r>
      <w:hyperlink r:id="rId13" w:history="1">
        <w:r w:rsidRPr="00CB4C8B">
          <w:rPr>
            <w:rStyle w:val="Hyperlink"/>
            <w:sz w:val="22"/>
            <w:u w:val="single"/>
          </w:rPr>
          <w:t>concluded that</w:t>
        </w:r>
      </w:hyperlink>
      <w:r w:rsidRPr="00CB4C8B">
        <w:rPr>
          <w:sz w:val="22"/>
          <w:u w:val="single"/>
        </w:rPr>
        <w:t xml:space="preserve"> reduced class sizes,</w:t>
      </w:r>
      <w:r w:rsidRPr="00CB4C8B">
        <w:t xml:space="preserve"> particularly in earlier grades, </w:t>
      </w:r>
      <w:r w:rsidRPr="00CB4C8B">
        <w:rPr>
          <w:sz w:val="22"/>
          <w:u w:val="single"/>
        </w:rPr>
        <w:t>correlate with health-care savings and an additional two years of life. Reduced class sizes can also play a key role in shrinking the academic differences between students of color and their white peers.</w:t>
      </w:r>
      <w:r w:rsidRPr="00CB4C8B">
        <w:t xml:space="preserve"> </w:t>
      </w:r>
      <w:hyperlink r:id="rId14" w:history="1">
        <w:r w:rsidRPr="00CB4C8B">
          <w:rPr>
            <w:rStyle w:val="Hyperlink"/>
          </w:rPr>
          <w:t>According</w:t>
        </w:r>
      </w:hyperlink>
      <w:r w:rsidRPr="00CB4C8B">
        <w:t xml:space="preserve"> to the Princeton University researchers Alan B. Krueger and Diane M. Whitmore, </w:t>
      </w:r>
      <w:r w:rsidRPr="00CB4C8B">
        <w:rPr>
          <w:sz w:val="22"/>
          <w:u w:val="single"/>
        </w:rPr>
        <w:t>average test scores for black students in small classes increased by as many as 10 percentile points, versus about 4 percentile points for white students. In</w:t>
      </w:r>
      <w:r w:rsidRPr="00CB4C8B">
        <w:t xml:space="preserve"> 1996, the Public Policy Institute of </w:t>
      </w:r>
      <w:r w:rsidRPr="00CB4C8B">
        <w:rPr>
          <w:sz w:val="22"/>
          <w:u w:val="single"/>
        </w:rPr>
        <w:t>California</w:t>
      </w:r>
      <w:r w:rsidRPr="00CB4C8B">
        <w:t xml:space="preserve"> </w:t>
      </w:r>
      <w:hyperlink r:id="rId15" w:history="1">
        <w:r w:rsidRPr="00CB4C8B">
          <w:rPr>
            <w:rStyle w:val="Hyperlink"/>
          </w:rPr>
          <w:t>released</w:t>
        </w:r>
      </w:hyperlink>
      <w:r w:rsidRPr="00CB4C8B">
        <w:t xml:space="preserve"> a report on schools in a handful of large districts in the state, which stated that </w:t>
      </w:r>
      <w:r w:rsidRPr="00CB4C8B">
        <w:rPr>
          <w:sz w:val="22"/>
          <w:u w:val="single"/>
        </w:rPr>
        <w:t>an additional 15 percent of students exceeded the national median in math, while another 18 percent exceeded the median for reading, when class sizes were reduced by a third.</w:t>
      </w:r>
      <w:r w:rsidRPr="00CB4C8B">
        <w:t xml:space="preserve"> The National Assessment of Educational Progress has </w:t>
      </w:r>
      <w:hyperlink r:id="rId16" w:history="1">
        <w:r w:rsidRPr="00CB4C8B">
          <w:rPr>
            <w:rStyle w:val="Hyperlink"/>
          </w:rPr>
          <w:t>found</w:t>
        </w:r>
      </w:hyperlink>
      <w:r w:rsidRPr="00CB4C8B">
        <w:t xml:space="preserve"> similar evidence of the pronounced impact small classes can have on disadvantaged children, particularly those with less-educated parents.</w:t>
      </w:r>
    </w:p>
    <w:p w:rsidR="00B8198A" w:rsidRDefault="00B8198A" w:rsidP="00B8198A">
      <w:pPr>
        <w:pStyle w:val="Heading4"/>
      </w:pPr>
      <w:r>
        <w:t>Larger classrooms weaken student-teacher relationships and exacerbate problems for students already having trouble.</w:t>
      </w:r>
    </w:p>
    <w:p w:rsidR="00B8198A" w:rsidRDefault="00B8198A" w:rsidP="00B8198A">
      <w:r w:rsidRPr="00DE438D">
        <w:rPr>
          <w:rStyle w:val="Style13ptBold"/>
        </w:rPr>
        <w:t>Cooke 2/13</w:t>
      </w:r>
      <w:r w:rsidRPr="00DE438D">
        <w:t>/17 (Ryan. | “Weak punishments, big classes breed bad habits, teachers say: Teachers forced to take late assignments and pass students, panel says</w:t>
      </w:r>
      <w:r>
        <w:t xml:space="preserve">” in </w:t>
      </w:r>
      <w:r>
        <w:rPr>
          <w:i/>
        </w:rPr>
        <w:t>CBC News</w:t>
      </w:r>
      <w:r>
        <w:t xml:space="preserve">, 13 February 2017. </w:t>
      </w:r>
      <w:hyperlink r:id="rId17" w:history="1">
        <w:r w:rsidRPr="006773C7">
          <w:rPr>
            <w:rStyle w:val="Hyperlink"/>
          </w:rPr>
          <w:t>http://www.cbc.ca/news/canada/newfoundland-labrador/inside-the-classroom-class-sizes-weak-punishment-1.3944584</w:t>
        </w:r>
      </w:hyperlink>
      <w:r>
        <w:t xml:space="preserve"> )//tbrooks</w:t>
      </w:r>
    </w:p>
    <w:p w:rsidR="00B8198A" w:rsidRPr="00CB4C8B" w:rsidRDefault="00B8198A" w:rsidP="00B8198A">
      <w:r w:rsidRPr="00CB4C8B">
        <w:rPr>
          <w:sz w:val="22"/>
          <w:u w:val="single"/>
        </w:rPr>
        <w:t>The more crammed the classroom is, the more behavioural problems exist</w:t>
      </w:r>
      <w:r w:rsidRPr="00CB4C8B">
        <w:t xml:space="preserve">, said Angela Dawe, a junior high school music and art teacher. She said her </w:t>
      </w:r>
      <w:r w:rsidRPr="00CB4C8B">
        <w:rPr>
          <w:sz w:val="22"/>
          <w:u w:val="single"/>
        </w:rPr>
        <w:t>classes routinely hold 30 students or more. With that many students</w:t>
      </w:r>
      <w:r w:rsidRPr="00CB4C8B">
        <w:t xml:space="preserve"> in a class, </w:t>
      </w:r>
      <w:r w:rsidRPr="00CB4C8B">
        <w:rPr>
          <w:sz w:val="22"/>
          <w:u w:val="single"/>
        </w:rPr>
        <w:t>Dawe</w:t>
      </w:r>
      <w:r w:rsidRPr="00CB4C8B">
        <w:t xml:space="preserve"> said she </w:t>
      </w:r>
      <w:r w:rsidRPr="00CB4C8B">
        <w:rPr>
          <w:sz w:val="22"/>
          <w:u w:val="single"/>
        </w:rPr>
        <w:t>finds it difficult to form bonds with the kids and build trust. "If I had a smaller class size, you could build relationships with students</w:t>
      </w:r>
      <w:r w:rsidRPr="00CB4C8B">
        <w:t xml:space="preserve">," she said. "I firmly believe </w:t>
      </w:r>
      <w:r w:rsidRPr="00CB4C8B">
        <w:rPr>
          <w:sz w:val="22"/>
          <w:u w:val="single"/>
        </w:rPr>
        <w:t>if you can build relationships, you can have a positive influence on that child."</w:t>
      </w:r>
      <w:r w:rsidRPr="00CB4C8B">
        <w:t xml:space="preserve"> Joe Santos, a high school teacher on the northeast Avalon, said the </w:t>
      </w:r>
      <w:r w:rsidRPr="00CB4C8B">
        <w:rPr>
          <w:sz w:val="22"/>
          <w:u w:val="single"/>
        </w:rPr>
        <w:t>large class sizes create a void between teachers and students. With less time to give, it's not easy to pick out students who need extra help. Many students won't ask for help when they need it, and with more students to pay attention to, it's harder to notice the ones who are quietly struggling. "We often refer to the child that falls between the cracks,</w:t>
      </w:r>
      <w:r w:rsidRPr="00CB4C8B">
        <w:t>" Santos said. "</w:t>
      </w:r>
      <w:r w:rsidRPr="00CB4C8B">
        <w:rPr>
          <w:sz w:val="22"/>
          <w:u w:val="single"/>
        </w:rPr>
        <w:t>The bigger the class size, the bigger the crack."</w:t>
      </w:r>
      <w:r w:rsidRPr="00CB4C8B">
        <w:tab/>
      </w:r>
    </w:p>
    <w:p w:rsidR="00B8198A" w:rsidRDefault="00B8198A" w:rsidP="00B8198A">
      <w:pPr>
        <w:pStyle w:val="Heading4"/>
      </w:pPr>
      <w:r>
        <w:t>Large classes cause high teacher turnover.</w:t>
      </w:r>
    </w:p>
    <w:p w:rsidR="00B8198A" w:rsidRPr="0008596A" w:rsidRDefault="00B8198A" w:rsidP="00B8198A">
      <w:r w:rsidRPr="0008596A">
        <w:rPr>
          <w:rStyle w:val="Style13ptBold"/>
        </w:rPr>
        <w:t>Regan 5/11</w:t>
      </w:r>
      <w:r>
        <w:t>/17 (Mollie, Class Size Counts advocate. | “</w:t>
      </w:r>
      <w:r w:rsidRPr="0008596A">
        <w:t>FCPS to propose increases in class sizes</w:t>
      </w:r>
      <w:r>
        <w:t xml:space="preserve">” in </w:t>
      </w:r>
      <w:r>
        <w:rPr>
          <w:i/>
        </w:rPr>
        <w:t>The Fairfax County Times</w:t>
      </w:r>
      <w:r>
        <w:t xml:space="preserve">, 11 May 2017. </w:t>
      </w:r>
      <w:hyperlink r:id="rId18" w:history="1">
        <w:r w:rsidRPr="006773C7">
          <w:rPr>
            <w:rStyle w:val="Hyperlink"/>
          </w:rPr>
          <w:t>http://www.fairfaxtimes.com/articles/opinions/fcps-to-propose-increases-in-class-sizes/article_28ebdfac-369a-11e7-9a2d-032461c1a1a5.html</w:t>
        </w:r>
      </w:hyperlink>
      <w:r>
        <w:t xml:space="preserve"> )//tbrooks</w:t>
      </w:r>
    </w:p>
    <w:p w:rsidR="00B8198A" w:rsidRPr="00CB4C8B" w:rsidRDefault="00B8198A" w:rsidP="00B8198A">
      <w:pPr>
        <w:rPr>
          <w:sz w:val="22"/>
          <w:u w:val="single"/>
        </w:rPr>
      </w:pPr>
      <w:r w:rsidRPr="00CB4C8B">
        <w:rPr>
          <w:sz w:val="22"/>
          <w:u w:val="single"/>
        </w:rPr>
        <w:t>Large class sizes have a negative impact on students’ ability to learn and succeed, and on teachers’ ability to teach. Large classes burn out good teachers and affect teacher decisions about whether to continue working at a school.</w:t>
      </w:r>
      <w:r w:rsidRPr="00CB4C8B">
        <w:t xml:space="preserve"> Every time a good teacher leaves the employ of FCPS, we forfeit our investment in hiring and training that person. In many recent meetings about teacher compensation, the school board has expressed concerns about teacher attrition. </w:t>
      </w:r>
      <w:r w:rsidRPr="00CB4C8B">
        <w:rPr>
          <w:sz w:val="22"/>
          <w:u w:val="single"/>
        </w:rPr>
        <w:t>In FCPS, we lose about 40 percent of our teachers in their first five years of employment, and we lose many more teachers after their fifth year. Class size is cited—both in FCPS and in a national study-- as a top factor in teachers’ decisions to leave the school district.</w:t>
      </w:r>
    </w:p>
    <w:p w:rsidR="00B8198A" w:rsidRPr="00B8198A" w:rsidRDefault="00B8198A" w:rsidP="00B8198A"/>
    <w:p w:rsidR="0036615E" w:rsidRPr="00AA0D15" w:rsidRDefault="0036615E" w:rsidP="0036615E">
      <w:pPr>
        <w:pStyle w:val="Heading3"/>
        <w:rPr>
          <w:rFonts w:cs="Times New Roman"/>
        </w:rPr>
      </w:pPr>
      <w:r>
        <w:rPr>
          <w:rFonts w:cs="Times New Roman"/>
        </w:rPr>
        <w:t>AT perm – innovation</w:t>
      </w:r>
    </w:p>
    <w:p w:rsidR="0036615E" w:rsidRPr="00AA0D15" w:rsidRDefault="0036615E" w:rsidP="0036615E">
      <w:pPr>
        <w:pStyle w:val="Heading4"/>
        <w:rPr>
          <w:rFonts w:cs="Times New Roman"/>
        </w:rPr>
      </w:pPr>
      <w:r w:rsidRPr="00AA0D15">
        <w:rPr>
          <w:rFonts w:cs="Times New Roman"/>
        </w:rPr>
        <w:t>State control is comparatively better than the federal government – responds to local needs, better recourses, and accountability standards</w:t>
      </w:r>
    </w:p>
    <w:p w:rsidR="0036615E" w:rsidRPr="00AA0D15" w:rsidRDefault="0036615E" w:rsidP="0036615E">
      <w:pPr>
        <w:rPr>
          <w:rStyle w:val="Style13ptBold"/>
        </w:rPr>
      </w:pPr>
      <w:r w:rsidRPr="00AA0D15">
        <w:rPr>
          <w:rStyle w:val="Style13ptBold"/>
        </w:rPr>
        <w:t xml:space="preserve">Gregory and Kauffman 10 </w:t>
      </w:r>
      <w:r w:rsidRPr="00AA0D15">
        <w:t>(Erin R. Gregory Dean Kaufman, "EDUCATION AND FEDERALISM: THE ROLE FOR THE FEDERAL GOVERNMENT IN EDUCATION REFORM." Education (2010).) GG</w:t>
      </w:r>
    </w:p>
    <w:p w:rsidR="0036615E" w:rsidRDefault="0036615E" w:rsidP="0036615E">
      <w:pPr>
        <w:tabs>
          <w:tab w:val="left" w:pos="496"/>
        </w:tabs>
      </w:pPr>
      <w:r w:rsidRPr="00AA0D15">
        <w:rPr>
          <w:rStyle w:val="StyleUnderline"/>
        </w:rPr>
        <w:t>States provide ideal laboratories for devising solutions to waning educational achievements</w:t>
      </w:r>
      <w:r w:rsidRPr="00AA0D15">
        <w:t xml:space="preserve">. </w:t>
      </w:r>
      <w:r w:rsidRPr="00AA0D15">
        <w:rPr>
          <w:rStyle w:val="StyleUnderline"/>
        </w:rPr>
        <w:t>Even</w:t>
      </w:r>
      <w:r w:rsidRPr="00AA0D15">
        <w:t xml:space="preserve"> </w:t>
      </w:r>
      <w:r w:rsidRPr="00AA0D15">
        <w:rPr>
          <w:rStyle w:val="StyleUnderline"/>
        </w:rPr>
        <w:t>strong proponents of national control over education recognize that individual states are in the best position to determine what incentives or disincentives will most effectively accomplish academic improvement</w:t>
      </w:r>
      <w:r w:rsidRPr="00AA0D15">
        <w:t xml:space="preserve"> within that district.21 On several occasions, the Supreme Court has also noted that </w:t>
      </w:r>
      <w:r w:rsidRPr="00AA0D15">
        <w:rPr>
          <w:rStyle w:val="StyleUnderline"/>
        </w:rPr>
        <w:t>states are in a unique position to deal with the challenges presented by undertaking to provide education to its citizens</w:t>
      </w:r>
      <w:r w:rsidRPr="00AA0D15">
        <w:t xml:space="preserve">.22 Now, perhaps more than ever, </w:t>
      </w:r>
      <w:r w:rsidRPr="00AA0D15">
        <w:rPr>
          <w:rStyle w:val="StyleUnderline"/>
        </w:rPr>
        <w:t>the United States must take advantage of its unique political structure and tap into local resources to respond to this growing and significant problem</w:t>
      </w:r>
      <w:r w:rsidRPr="00AA0D15">
        <w:t xml:space="preserve">. </w:t>
      </w:r>
      <w:r w:rsidRPr="00AA0D15">
        <w:rPr>
          <w:rStyle w:val="StyleUnderline"/>
        </w:rPr>
        <w:t>The strongest advantage of permitting states</w:t>
      </w:r>
      <w:r w:rsidRPr="00AA0D15">
        <w:t xml:space="preserve"> and especially local governments </w:t>
      </w:r>
      <w:r w:rsidRPr="00AA0D15">
        <w:rPr>
          <w:rStyle w:val="StyleUnderline"/>
        </w:rPr>
        <w:t xml:space="preserve">to control education is that each entity will be able to develop programs that are </w:t>
      </w:r>
      <w:r w:rsidRPr="0036615E">
        <w:rPr>
          <w:rStyle w:val="Emphasis"/>
        </w:rPr>
        <w:t>responsive to individual needs</w:t>
      </w:r>
      <w:r w:rsidRPr="00AA0D15">
        <w:t xml:space="preserve">.23 As Justice Powell remarked, “No area of social concern stand stop profit more from a multiplicity of viewpoints and from a diversity of approaches than does public education.”24 </w:t>
      </w:r>
      <w:r w:rsidRPr="00AA0D15">
        <w:rPr>
          <w:rStyle w:val="StyleUnderline"/>
        </w:rPr>
        <w:t xml:space="preserve">The problems affecting educational achievement </w:t>
      </w:r>
      <w:r w:rsidRPr="0036615E">
        <w:rPr>
          <w:rStyle w:val="Emphasis"/>
        </w:rPr>
        <w:t>vary from state to state</w:t>
      </w:r>
      <w:r w:rsidRPr="00AA0D15">
        <w:rPr>
          <w:rStyle w:val="StyleUnderline"/>
        </w:rPr>
        <w:t xml:space="preserve"> </w:t>
      </w:r>
      <w:r w:rsidRPr="00AA0D15">
        <w:t xml:space="preserve">and from district to district. </w:t>
      </w:r>
      <w:r w:rsidRPr="00AA0D15">
        <w:rPr>
          <w:rStyle w:val="StyleUnderline"/>
        </w:rPr>
        <w:t>Not only are local school districts in the best position to assess and respond to these</w:t>
      </w:r>
      <w:r w:rsidRPr="00AA0D15">
        <w:t xml:space="preserve"> problems, </w:t>
      </w:r>
      <w:r w:rsidRPr="00AA0D15">
        <w:rPr>
          <w:rStyle w:val="StyleUnderline"/>
        </w:rPr>
        <w:t>they are also in the best position to develop a curriculum tailored to the unique needs of their community</w:t>
      </w:r>
      <w:r w:rsidRPr="00AA0D15">
        <w:t xml:space="preserve">. </w:t>
      </w:r>
      <w:r w:rsidRPr="00AA0D15">
        <w:rPr>
          <w:rStyle w:val="StyleUnderline"/>
        </w:rPr>
        <w:t>Because the</w:t>
      </w:r>
      <w:r w:rsidRPr="00AA0D15">
        <w:t xml:space="preserve"> </w:t>
      </w:r>
      <w:r w:rsidRPr="00AA0D15">
        <w:rPr>
          <w:rStyle w:val="StyleUnderline"/>
        </w:rPr>
        <w:t xml:space="preserve">problems are </w:t>
      </w:r>
      <w:r w:rsidRPr="00AA0D15">
        <w:t xml:space="preserve">often </w:t>
      </w:r>
      <w:r w:rsidRPr="00AA0D15">
        <w:rPr>
          <w:rStyle w:val="StyleUnderline"/>
        </w:rPr>
        <w:t>individualized</w:t>
      </w:r>
      <w:r w:rsidRPr="00AA0D15">
        <w:t xml:space="preserve">, </w:t>
      </w:r>
      <w:r w:rsidRPr="0036615E">
        <w:rPr>
          <w:rStyle w:val="Emphasis"/>
        </w:rPr>
        <w:t>the solution must be as wel</w:t>
      </w:r>
      <w:r w:rsidRPr="00AA0D15">
        <w:rPr>
          <w:rStyle w:val="StyleUnderline"/>
        </w:rPr>
        <w:t>l</w:t>
      </w:r>
      <w:r w:rsidRPr="00AA0D15">
        <w:t xml:space="preserve">. Similarly, the majority of funding for education comes from state and local sources.25 Although the federal role in funding education has increased in recent years, schools are still primarily funded by the communities in which they are located. </w:t>
      </w:r>
      <w:r w:rsidRPr="00AA0D15">
        <w:rPr>
          <w:rStyle w:val="StyleUnderline"/>
        </w:rPr>
        <w:t xml:space="preserve">Community members are much more likely to be invested in the success of their schools if they are also directly invested in the schools through tax </w:t>
      </w:r>
      <w:r w:rsidRPr="00AA0D15">
        <w:t xml:space="preserve">dollars. </w:t>
      </w:r>
      <w:r w:rsidRPr="00AA0D15">
        <w:rPr>
          <w:rStyle w:val="StyleUnderline"/>
        </w:rPr>
        <w:t>Shifting</w:t>
      </w:r>
      <w:r w:rsidRPr="00AA0D15">
        <w:t xml:space="preserve"> more </w:t>
      </w:r>
      <w:r w:rsidRPr="00AA0D15">
        <w:rPr>
          <w:rStyle w:val="StyleUnderline"/>
        </w:rPr>
        <w:t>control</w:t>
      </w:r>
      <w:r w:rsidRPr="00AA0D15">
        <w:t xml:space="preserve"> over schools </w:t>
      </w:r>
      <w:r w:rsidRPr="00AA0D15">
        <w:rPr>
          <w:rStyle w:val="StyleUnderline"/>
        </w:rPr>
        <w:t>to the federal government</w:t>
      </w:r>
      <w:r w:rsidRPr="00AA0D15">
        <w:t xml:space="preserve"> while still leaving state and local governments with the responsibility to fund schools </w:t>
      </w:r>
      <w:r w:rsidRPr="00AA0D15">
        <w:rPr>
          <w:rStyle w:val="StyleUnderline"/>
        </w:rPr>
        <w:t xml:space="preserve">will only produce </w:t>
      </w:r>
      <w:r w:rsidRPr="0036615E">
        <w:rPr>
          <w:rStyle w:val="Emphasis"/>
        </w:rPr>
        <w:t>frustration and hinder innovation</w:t>
      </w:r>
      <w:r w:rsidRPr="00AA0D15">
        <w:rPr>
          <w:rStyle w:val="StyleUnderline"/>
        </w:rPr>
        <w:t>.</w:t>
      </w:r>
      <w:r w:rsidRPr="00AA0D15">
        <w:t xml:space="preserve"> On a different level, parents should be able to control the education of their children through participation in local school programs and boards without federal officials dictating curriculum requirements.As the federal government’s role in controlling education increases, the opportunity for parents to have input into and participate meaningfully in their children’s education decreases. As Justice Stevens pointed out in Mergens, from an ethical standpoint the wishes of parents regarding their children’s education should be respected</w:t>
      </w:r>
      <w:r w:rsidRPr="00AA0D15">
        <w:rPr>
          <w:rStyle w:val="StyleUnderline"/>
        </w:rPr>
        <w:t>. Officials responsible for the school system can better be held accountable at the local Level</w:t>
      </w:r>
      <w:r w:rsidRPr="00AA0D15">
        <w:t xml:space="preserve"> as well. </w:t>
      </w:r>
      <w:r w:rsidRPr="00AA0D15">
        <w:rPr>
          <w:rStyle w:val="StyleUnderline"/>
        </w:rPr>
        <w:t>When the responsibility for education’s success is delegated to a group of local community members, not only are they in the best position to determine the needs of their specific community but the community is also able to remove or replace officials whom they feel have been unresponsive</w:t>
      </w:r>
      <w:r w:rsidRPr="00AA0D15">
        <w:t xml:space="preserve"> to their needs. </w:t>
      </w:r>
      <w:r w:rsidRPr="00AA0D15">
        <w:rPr>
          <w:rStyle w:val="StyleUnderline"/>
        </w:rPr>
        <w:t>While members of Congress are also subject to political accountability, it is much more difficult to hold Congress accountable for the failure of individual, local schools</w:t>
      </w:r>
      <w:r w:rsidRPr="00AA0D15">
        <w:t>. Parents and communities must have recourse to change directions when their school system has failed their students. As the federal government has taken on a more active role in regulating education, the power struggle between state or local governments and the federal government has grown. For example, prior to the passage of NCLB, Connecticut developed a system of assessment which included multiple choice questions as well as short answer and essay questions in the areas of reading, writing and mathematics.26 Connecticut’s program also made significant accommodations for special education students and students for whom English was not their primary language.27 Although the state’s education system is not without its short comings specifically the District Court referenced an NAACP report indicating that Connecticut had not successfullyremedieda“poortonon-poorachievementgap,”Connecticutstudentsareamong the highest achieving students in the country.28 Following the passage of NCLB, Connecticut requested a waiver of the NCLB requirement to administer a yearly assessment test, arguing that their current form of assessment was superior.29 The waiver was denied and Connecticut filed suit challenging several provisions of NCLB.30 While Connecticut v. Spellings provides an interesting look into the shortcomings of NCLB and the judicial response to these challenges, this case importantly highlights the problems with the current federal stance toward education.31 Connecticut has developed a system by which to measure student achievement but its efforts to improve an already successful school system are hindered by the imposition of federal requirements</w:t>
      </w:r>
      <w:r w:rsidRPr="00AA0D15">
        <w:rPr>
          <w:rStyle w:val="StyleUnderline"/>
        </w:rPr>
        <w:t>. Rather than discouraging different approaches, the federal government should encourage states like Connecticut to build upon already successful programs</w:t>
      </w:r>
      <w:r w:rsidRPr="00AA0D15">
        <w:t>.</w:t>
      </w:r>
    </w:p>
    <w:p w:rsidR="0036615E" w:rsidRDefault="0036615E" w:rsidP="0036615E">
      <w:pPr>
        <w:pStyle w:val="Heading4"/>
      </w:pPr>
      <w:r>
        <w:t>Federal involvement dooms innovation</w:t>
      </w:r>
    </w:p>
    <w:p w:rsidR="0036615E" w:rsidRPr="00434F8D" w:rsidRDefault="0036615E" w:rsidP="0036615E">
      <w:r w:rsidRPr="00434F8D">
        <w:rPr>
          <w:rStyle w:val="Style13ptBold"/>
        </w:rPr>
        <w:t>Hess 15</w:t>
      </w:r>
      <w:r>
        <w:t xml:space="preserve"> - director of education policy studies at the American Enterprise Institute and author of the new book, “Letters to a Young Education Reformer.” (Fred, with Andrew Kelly, “More Than a Slogan,” US News, https://www.usnews.com/opinion/knowledge-bank/2015/09/15/5-reasons-federalism-in-education-matters)//BB</w:t>
      </w:r>
    </w:p>
    <w:p w:rsidR="0036615E" w:rsidRDefault="0036615E" w:rsidP="00EB5E26">
      <w:r>
        <w:t xml:space="preserve">"Federalism," a dry term that many only dimly remember from an intro class in American government, has taken on an outsized import in education policy and politics today. Democrats like Hillary Clinton and Bernie Sanders are pitching hugely expensive "free college" plans as a move toward a "new federalism," in which hundreds of billions in conditional federal outlays would be used to entice states to spend more and obey new federal rules. Those plans have a lot in common with Obama administration proposals for more federal spending on pre-K. Influential education advocates have denounced the House and Senate proposals to reform the testing and accountability requirements of No Child Left Behind as a "retreat" from the expanded, post-NCLB federal role. And Republican governors running for president are being asked to explain how their accomplishments at the state level would translate to the Oval Office. Those seeking to do more and more of the nation's education business in Washington fail to recognize that </w:t>
      </w:r>
      <w:r w:rsidRPr="00A10EC2">
        <w:rPr>
          <w:rStyle w:val="StyleUnderline"/>
        </w:rPr>
        <w:t>federalism has its own unique strengths when it comes to education</w:t>
      </w:r>
      <w:r>
        <w:t xml:space="preserve">. Now, those arguing for a larger federal role have reasonable points to make. Some states do have a history of ignoring failing schools or doing too little for disadvantaged students. It is also true that states can ignore federal inducements in order to go their own way (though that's easier said than done when non-participation comes with a giant price tag). [SEE: Political Cartoons on the Economy] The response to these concerns should not be shallow sloganeering around the virtues of limited government, but a competing vision of how to order our community affairs and an explanation of why, at least in the American system, </w:t>
      </w:r>
      <w:r w:rsidRPr="00A10EC2">
        <w:rPr>
          <w:rStyle w:val="StyleUnderline"/>
        </w:rPr>
        <w:t>the federal government just isn't well suited to govern education</w:t>
      </w:r>
      <w:r>
        <w:t xml:space="preserve">. Anything less makes it all too easy for liberals, and even well-intentioned moderates, to dismiss federalism as an inconvenient obstacle to be overcome rather than an asset to be embraced. </w:t>
      </w:r>
      <w:r w:rsidRPr="005D3A3C">
        <w:rPr>
          <w:rStyle w:val="StyleUnderline"/>
        </w:rPr>
        <w:t>Federalism</w:t>
      </w:r>
      <w:r>
        <w:t xml:space="preserve"> matters for at least five reasons. It's a matter of size. Education advocates suffer from severe bouts of Finland and Singapore envy. They tend to ignore that most of these nations have populations of 5 million or so, or about the population of Maryland or Massachusetts. Trying to make rules for schools in a nation that's as large and diverse as the U.S. is simply a different challenge. It aligns </w:t>
      </w:r>
      <w:r w:rsidRPr="005D3A3C">
        <w:rPr>
          <w:rStyle w:val="StyleUnderline"/>
        </w:rPr>
        <w:t>responsibility and accountability with authority. One problem with tackling education reform from Washington is that it's not members of Congress or federal bureaucrats who are charged with making things work or who are held accountable when they don't. Instead, responsibility and blame fall on state leaders</w:t>
      </w:r>
      <w:r>
        <w:t xml:space="preserve"> and on the leaders in those schools, districts and colleges who do the actual work. </w:t>
      </w:r>
      <w:r w:rsidRPr="005D3A3C">
        <w:rPr>
          <w:rStyle w:val="StyleUnderline"/>
        </w:rPr>
        <w:t>The more authority moves up the ladder in education, the more this divide worsens</w:t>
      </w:r>
      <w:r>
        <w:t xml:space="preserve">. 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State leaders must balance the budget and are answerable to voters for what happens in schools and colleges; this tends to make them more pragmatic in pursuing reform. [READ: The Best Way to Boost GDP: Education?] </w:t>
      </w:r>
      <w:r w:rsidRPr="005D3A3C">
        <w:rPr>
          <w:rStyle w:val="StyleUnderline"/>
        </w:rPr>
        <w:t xml:space="preserve">When policymakers are embedded in a community, as mayors and state legislators are, there is also more trust </w:t>
      </w:r>
      <w:r>
        <w:t xml:space="preserve">and opportunity for </w:t>
      </w:r>
      <w:r w:rsidRPr="005D3A3C">
        <w:t>compromise. That kind of</w:t>
      </w:r>
      <w:r>
        <w:t xml:space="preserve"> practicality might disappoint firebrands eager for national solutions, but it's a better bet for students than the wish lists and airy promises of Beltway pols. </w:t>
      </w:r>
      <w:r w:rsidRPr="005D3A3C">
        <w:rPr>
          <w:rStyle w:val="StyleUnderline"/>
        </w:rPr>
        <w:t>It leaves room for varied approaches to problem-solving</w:t>
      </w:r>
      <w:r>
        <w:t xml:space="preserve">. One of the perils of trying to "solve" things from Washington is that we wind up with one-size-fits-all solutions. </w:t>
      </w:r>
      <w:r w:rsidRPr="005D3A3C">
        <w:rPr>
          <w:rStyle w:val="StyleUnderline"/>
        </w:rPr>
        <w:t>No Child Left Behind emerged from a wave of state-based efforts to devise testing and accountability systems. Those state efforts were immensely uneven, but they allowed a variety of approaches to emerge, yielding the opportunity to learn, refine and reinvent. That's much more difficult when Washington is seeking something that can be applied across 50 states</w:t>
      </w:r>
      <w:r>
        <w:t xml:space="preserve">. </w:t>
      </w:r>
      <w:r w:rsidRPr="005D3A3C">
        <w:rPr>
          <w:rStyle w:val="StyleUnderline"/>
        </w:rPr>
        <w:t>It ensures that reform efforts actually have local roots</w:t>
      </w:r>
      <w:r>
        <w:t xml:space="preserve">.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[READ: Knowledge Is Literacy] 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trust-busting gives local problem-solvers an opportunity to change politics and policy from the bottom up. But </w:t>
      </w:r>
      <w:r w:rsidRPr="005D3A3C">
        <w:rPr>
          <w:rStyle w:val="StyleUnderline"/>
        </w:rPr>
        <w:t>the feds are not well equipped to fix schools</w:t>
      </w:r>
      <w:r>
        <w:t xml:space="preserve">. More to the point, </w:t>
      </w:r>
      <w:r w:rsidRPr="005D3A3C">
        <w:rPr>
          <w:rStyle w:val="Emphasis"/>
        </w:rPr>
        <w:t>getting Washington involved undermines the many benefits of state-driven reform in our federal system</w:t>
      </w:r>
      <w:r>
        <w:t xml:space="preserve">. </w:t>
      </w:r>
      <w:r w:rsidRPr="005D3A3C">
        <w:rPr>
          <w:rStyle w:val="StyleUnderline"/>
        </w:rPr>
        <w:t>Limiting the federal government's role in education is</w:t>
      </w:r>
      <w:r>
        <w:t xml:space="preserve">n't a slogan, it's </w:t>
      </w:r>
      <w:r w:rsidRPr="005D3A3C">
        <w:rPr>
          <w:rStyle w:val="StyleUnderline"/>
        </w:rPr>
        <w:t>a way to ensure that American education is both accountable to the public and dynamic enough to meet today's challenges</w:t>
      </w:r>
      <w:r>
        <w:t>.</w:t>
      </w:r>
    </w:p>
    <w:p w:rsidR="00157B45" w:rsidRDefault="00157B45" w:rsidP="0036615E">
      <w:pPr>
        <w:pStyle w:val="Heading3"/>
      </w:pPr>
      <w:r>
        <w:t>---xt: innovation ! – one-size-fits-all bad</w:t>
      </w:r>
    </w:p>
    <w:p w:rsidR="00157B45" w:rsidRDefault="00157B45" w:rsidP="00157B45">
      <w:pPr>
        <w:pStyle w:val="Heading4"/>
      </w:pPr>
      <w:r>
        <w:t>One size fits all fails</w:t>
      </w:r>
    </w:p>
    <w:p w:rsidR="00157B45" w:rsidRPr="00157B45" w:rsidRDefault="00157B45" w:rsidP="00157B45">
      <w:r w:rsidRPr="00157B45">
        <w:rPr>
          <w:rStyle w:val="Style13ptBold"/>
        </w:rPr>
        <w:t>O’Day and Smith 16</w:t>
      </w:r>
      <w:r>
        <w:t xml:space="preserve"> - * Institute Fellow of American Institutes for Research and is the Founder and Chair of the California Collaborative on District Reform. Her research has focused on system change, improvement in high-poverty districts and schools, and policies affecting English language learners, ** Senior Scholar at the Carnegie Foundation for the Advancement of Teaching, a former Dean and Professor at Stanford, and a former Under Secretary and Acting Deputy Secretary at the U.S. Department of Education in the Clinton administration. He is a Fellow of the American Academy of Arts and Sciences and the National Academy of Education (Jennifer and Marshall, “Equality and Quality in U.S. Education,” </w:t>
      </w:r>
      <w:r w:rsidRPr="00157B45">
        <w:rPr>
          <w:i/>
        </w:rPr>
        <w:t>American Institute for Research</w:t>
      </w:r>
      <w:r>
        <w:t>, http://www.air.org/sites/default/files/downloads/report/Equality-Quality-Education-EPC-September-2016.pdf)//BB</w:t>
      </w:r>
    </w:p>
    <w:p w:rsidR="00157B45" w:rsidRDefault="00157B45" w:rsidP="00157B45">
      <w:r w:rsidRPr="00157B45">
        <w:rPr>
          <w:rStyle w:val="StyleUnderline"/>
        </w:rPr>
        <w:t>Decades of implementation research have yielded a panoply of lessons</w:t>
      </w:r>
      <w:r>
        <w:t xml:space="preserve">. Three are integral to making a more equitable education system operational. </w:t>
      </w:r>
      <w:r w:rsidRPr="00157B45">
        <w:rPr>
          <w:rStyle w:val="StyleUnderline"/>
        </w:rPr>
        <w:t>Context matters. Differences in educational histories; in the makeup of both adult</w:t>
      </w:r>
      <w:r>
        <w:rPr>
          <w:rStyle w:val="StyleUnderline"/>
        </w:rPr>
        <w:t xml:space="preserve"> </w:t>
      </w:r>
      <w:r w:rsidRPr="00157B45">
        <w:rPr>
          <w:rStyle w:val="StyleUnderline"/>
        </w:rPr>
        <w:t>and student populations; and in cultures, conditions, structures, and resources across</w:t>
      </w:r>
      <w:r>
        <w:rPr>
          <w:rStyle w:val="StyleUnderline"/>
        </w:rPr>
        <w:t xml:space="preserve"> </w:t>
      </w:r>
      <w:r w:rsidRPr="00157B45">
        <w:rPr>
          <w:rStyle w:val="StyleUnderline"/>
        </w:rPr>
        <w:t>systems can influence the ways that local actors interpret and act on any given reform</w:t>
      </w:r>
      <w:r>
        <w:rPr>
          <w:rStyle w:val="StyleUnderline"/>
        </w:rPr>
        <w:t xml:space="preserve"> </w:t>
      </w:r>
      <w:r>
        <w:t xml:space="preserve">or intervention. </w:t>
      </w:r>
      <w:r w:rsidRPr="00157B45">
        <w:rPr>
          <w:rStyle w:val="StyleUnderline"/>
        </w:rPr>
        <w:t>Attempts to constrain variation in local action</w:t>
      </w:r>
      <w:r>
        <w:t xml:space="preserve"> by emphasizing fidelity, scripted instructional programs, </w:t>
      </w:r>
      <w:r w:rsidRPr="00157B45">
        <w:rPr>
          <w:rStyle w:val="StyleUnderline"/>
        </w:rPr>
        <w:t xml:space="preserve">and compliance to </w:t>
      </w:r>
      <w:r w:rsidRPr="00157B45">
        <w:rPr>
          <w:rStyle w:val="Emphasis"/>
        </w:rPr>
        <w:t>one-size-fits all policies do not solve the problem</w:t>
      </w:r>
      <w:r w:rsidRPr="00157B45">
        <w:rPr>
          <w:rStyle w:val="StyleUnderline"/>
        </w:rPr>
        <w:t xml:space="preserve"> and may even be </w:t>
      </w:r>
      <w:r w:rsidRPr="00157B45">
        <w:rPr>
          <w:rStyle w:val="Emphasis"/>
        </w:rPr>
        <w:t>counterproductive</w:t>
      </w:r>
      <w:r w:rsidRPr="00157B45">
        <w:rPr>
          <w:rStyle w:val="StyleUnderline"/>
        </w:rPr>
        <w:t xml:space="preserve"> because they often inhibit professional</w:t>
      </w:r>
      <w:r>
        <w:rPr>
          <w:rStyle w:val="StyleUnderline"/>
        </w:rPr>
        <w:t xml:space="preserve"> </w:t>
      </w:r>
      <w:r w:rsidRPr="00157B45">
        <w:rPr>
          <w:rStyle w:val="StyleUnderline"/>
        </w:rPr>
        <w:t>judgment and responsiveness to individual student and local system needs</w:t>
      </w:r>
      <w:r>
        <w:t xml:space="preserve">. </w:t>
      </w:r>
    </w:p>
    <w:p w:rsidR="00C81035" w:rsidRDefault="00C81035" w:rsidP="0036615E">
      <w:pPr>
        <w:pStyle w:val="Heading3"/>
      </w:pPr>
      <w:r>
        <w:t>---xt: innovation ! – competitiveness</w:t>
      </w:r>
    </w:p>
    <w:p w:rsidR="00C81035" w:rsidRDefault="00C81035" w:rsidP="00C81035">
      <w:pPr>
        <w:pStyle w:val="Heading4"/>
      </w:pPr>
      <w:r>
        <w:t>Education innovation is key to ecompetitiveness</w:t>
      </w:r>
    </w:p>
    <w:p w:rsidR="00C81035" w:rsidRPr="003D5D0A" w:rsidRDefault="00C81035" w:rsidP="00C81035">
      <w:pPr>
        <w:rPr>
          <w:rStyle w:val="Style13ptBold"/>
        </w:rPr>
      </w:pPr>
      <w:r>
        <w:rPr>
          <w:rStyle w:val="Style13ptBold"/>
        </w:rPr>
        <w:t xml:space="preserve">Swallow 12 </w:t>
      </w:r>
      <w:r w:rsidRPr="003D5D0A">
        <w:t>(Erica Swallow, entrepreneur, MIT Sloan student, international speaker, and technology journalist, Forbes, “Creating Innovators: Why America's Education System Is Obsolete” 4/25/12 https://www.forbes.com/sites/ericaswallow/2012/04/25/creating-innovators/#f07488a72024) GG</w:t>
      </w:r>
    </w:p>
    <w:p w:rsidR="00C81035" w:rsidRDefault="00C81035" w:rsidP="00C81035">
      <w:r w:rsidRPr="003D5D0A">
        <w:rPr>
          <w:rStyle w:val="StyleUnderline"/>
        </w:rPr>
        <w:t>America's last competitive advantage -- its ability to innovate -- is at risk as a result of the country's lackluster education system</w:t>
      </w:r>
      <w:r>
        <w:t>, according to research by Harvard Innovation Education Fellow Tony Wagner.</w:t>
      </w:r>
    </w:p>
    <w:p w:rsidR="00C81035" w:rsidRDefault="00C81035" w:rsidP="00C81035">
      <w:r>
        <w:t xml:space="preserve">Taking the stage at Skillshare's Penny Conference, Wagner pointed out the skills it takes to become an innovator, the downfalls of America's current education system, and how </w:t>
      </w:r>
      <w:r w:rsidRPr="003D5D0A">
        <w:t>p</w:t>
      </w:r>
      <w:r>
        <w:t>arents, teachers, mentors, and employers can band together to create innovators.</w:t>
      </w:r>
    </w:p>
    <w:p w:rsidR="00C81035" w:rsidRDefault="00C81035" w:rsidP="00C81035">
      <w:r w:rsidRPr="003D5D0A">
        <w:rPr>
          <w:rStyle w:val="StyleUnderline"/>
        </w:rPr>
        <w:t>American schools educate to fill children with knowledge -- instead they should be focusing on developing students' innovation skills and motivation to succeed</w:t>
      </w:r>
      <w:r>
        <w:t>, he says:</w:t>
      </w:r>
    </w:p>
    <w:p w:rsidR="00C81035" w:rsidRPr="003D5D0A" w:rsidRDefault="00C81035" w:rsidP="00C81035">
      <w:pPr>
        <w:rPr>
          <w:b/>
          <w:sz w:val="22"/>
          <w:u w:val="single"/>
        </w:rPr>
      </w:pPr>
      <w:r w:rsidRPr="003D5D0A">
        <w:rPr>
          <w:rStyle w:val="StyleUnderline"/>
        </w:rPr>
        <w:t>"Today knowledge is ubiquitous, constantly changing, growing exponentially</w:t>
      </w:r>
      <w:r>
        <w:t xml:space="preserve">... Today </w:t>
      </w:r>
      <w:r w:rsidRPr="003D5D0A">
        <w:rPr>
          <w:rStyle w:val="StyleUnderline"/>
        </w:rPr>
        <w:t>knowledge is free</w:t>
      </w:r>
      <w:r>
        <w:t xml:space="preserve">. It's like air, it's like water. It's become a commodity... </w:t>
      </w:r>
      <w:r w:rsidRPr="003D5D0A">
        <w:rPr>
          <w:rStyle w:val="StyleUnderline"/>
        </w:rPr>
        <w:t xml:space="preserve">There's no competitive advantage today in knowing more than the person next to you. </w:t>
      </w:r>
      <w:r w:rsidRPr="003D5D0A">
        <w:t>The world doesn't care what you know.</w:t>
      </w:r>
      <w:r w:rsidRPr="003D5D0A">
        <w:rPr>
          <w:rStyle w:val="StyleUnderline"/>
        </w:rPr>
        <w:t xml:space="preserve"> What the world cares about is what you can do with what you know."</w:t>
      </w:r>
    </w:p>
    <w:p w:rsidR="00C81035" w:rsidRDefault="00C81035" w:rsidP="00C81035">
      <w:r w:rsidRPr="003D5D0A">
        <w:rPr>
          <w:rStyle w:val="StyleUnderline"/>
        </w:rPr>
        <w:t>Knowledge that children are encouraged to soak up in American schools</w:t>
      </w:r>
      <w:r>
        <w:t xml:space="preserve"> -- the memorization of planets, state capitals, the Periodic Table of Elements -- </w:t>
      </w:r>
      <w:r w:rsidRPr="003D5D0A">
        <w:rPr>
          <w:rStyle w:val="StyleUnderline"/>
        </w:rPr>
        <w:t>can only take students so far. But "skill and will" determine a child's ability to think outside of the box</w:t>
      </w:r>
      <w:r>
        <w:t>, he says.</w:t>
      </w:r>
    </w:p>
    <w:p w:rsidR="00C81035" w:rsidRDefault="00C81035" w:rsidP="00C81035">
      <w:r>
        <w:t xml:space="preserve">Over two year of research involving interviews with executives, college teachers, community leaders, and recent graduates, </w:t>
      </w:r>
      <w:r w:rsidRPr="003D5D0A">
        <w:rPr>
          <w:rStyle w:val="StyleUnderline"/>
        </w:rPr>
        <w:t>Wagner defined the skills needed for Americans to stay competitive in an increasingly globalized workforce</w:t>
      </w:r>
      <w:r>
        <w:t>. As lined out in his book, "The Global Achievement Gap," that set of core competencies that every student must master before the end of high school is:</w:t>
      </w:r>
    </w:p>
    <w:p w:rsidR="00C81035" w:rsidRPr="003D5D0A" w:rsidRDefault="00C81035" w:rsidP="00C81035">
      <w:pPr>
        <w:rPr>
          <w:rStyle w:val="StyleUnderline"/>
          <w:b/>
          <w:sz w:val="16"/>
          <w:u w:val="none"/>
        </w:rPr>
      </w:pPr>
      <w:r>
        <w:t xml:space="preserve">- </w:t>
      </w:r>
      <w:r w:rsidRPr="003D5D0A">
        <w:rPr>
          <w:rStyle w:val="StyleUnderline"/>
        </w:rPr>
        <w:t>Critical thinking</w:t>
      </w:r>
      <w:r>
        <w:t xml:space="preserve"> and problem solving (the ability to ask the right questions)</w:t>
      </w:r>
    </w:p>
    <w:p w:rsidR="00C81035" w:rsidRPr="003D5D0A" w:rsidRDefault="00C81035" w:rsidP="00C81035">
      <w:pPr>
        <w:rPr>
          <w:b/>
          <w:sz w:val="22"/>
          <w:u w:val="single"/>
        </w:rPr>
      </w:pPr>
      <w:r w:rsidRPr="003D5D0A">
        <w:rPr>
          <w:rStyle w:val="StyleUnderline"/>
        </w:rPr>
        <w:t>-  Collaboration across networks and leading by influence</w:t>
      </w:r>
    </w:p>
    <w:p w:rsidR="00C81035" w:rsidRPr="003D5D0A" w:rsidRDefault="00C81035" w:rsidP="00C81035">
      <w:pPr>
        <w:tabs>
          <w:tab w:val="left" w:pos="2120"/>
        </w:tabs>
        <w:rPr>
          <w:b/>
          <w:sz w:val="22"/>
          <w:u w:val="single"/>
        </w:rPr>
      </w:pPr>
      <w:r w:rsidRPr="003D5D0A">
        <w:rPr>
          <w:rStyle w:val="StyleUnderline"/>
        </w:rPr>
        <w:t>- Agility and adaptability</w:t>
      </w:r>
      <w:r w:rsidRPr="003D5D0A">
        <w:rPr>
          <w:rStyle w:val="StyleUnderline"/>
        </w:rPr>
        <w:tab/>
      </w:r>
    </w:p>
    <w:p w:rsidR="00C81035" w:rsidRPr="003D5D0A" w:rsidRDefault="00C81035" w:rsidP="00C81035">
      <w:pPr>
        <w:tabs>
          <w:tab w:val="center" w:pos="3246"/>
        </w:tabs>
        <w:rPr>
          <w:b/>
          <w:sz w:val="22"/>
          <w:u w:val="single"/>
        </w:rPr>
      </w:pPr>
      <w:r w:rsidRPr="003D5D0A">
        <w:rPr>
          <w:rStyle w:val="StyleUnderline"/>
        </w:rPr>
        <w:t>- Initiative and entrepreneurialism</w:t>
      </w:r>
      <w:r w:rsidRPr="003D5D0A">
        <w:rPr>
          <w:rStyle w:val="StyleUnderline"/>
        </w:rPr>
        <w:tab/>
      </w:r>
    </w:p>
    <w:p w:rsidR="00C81035" w:rsidRPr="003D5D0A" w:rsidRDefault="00C81035" w:rsidP="00C81035">
      <w:pPr>
        <w:rPr>
          <w:b/>
          <w:sz w:val="22"/>
          <w:u w:val="single"/>
        </w:rPr>
      </w:pPr>
      <w:r w:rsidRPr="003D5D0A">
        <w:rPr>
          <w:rStyle w:val="StyleUnderline"/>
        </w:rPr>
        <w:t>- Accessing and analyzing information</w:t>
      </w:r>
    </w:p>
    <w:p w:rsidR="00C81035" w:rsidRDefault="00C81035" w:rsidP="00C81035">
      <w:r>
        <w:t xml:space="preserve">- </w:t>
      </w:r>
      <w:r w:rsidRPr="003D5D0A">
        <w:rPr>
          <w:rStyle w:val="StyleUnderline"/>
        </w:rPr>
        <w:t>Effective</w:t>
      </w:r>
      <w:r>
        <w:t xml:space="preserve"> </w:t>
      </w:r>
      <w:r w:rsidRPr="003D5D0A">
        <w:rPr>
          <w:rStyle w:val="StyleUnderline"/>
        </w:rPr>
        <w:t>written and oral communication</w:t>
      </w:r>
    </w:p>
    <w:p w:rsidR="00C81035" w:rsidRDefault="00C81035" w:rsidP="00C81035">
      <w:r>
        <w:t xml:space="preserve">- </w:t>
      </w:r>
      <w:r w:rsidRPr="003D5D0A">
        <w:rPr>
          <w:rStyle w:val="StyleUnderline"/>
        </w:rPr>
        <w:t xml:space="preserve">Curiosity </w:t>
      </w:r>
      <w:r w:rsidRPr="003D5D0A">
        <w:t>a</w:t>
      </w:r>
      <w:r>
        <w:t>nd imagination</w:t>
      </w:r>
    </w:p>
    <w:p w:rsidR="00C81035" w:rsidRPr="003D5D0A" w:rsidRDefault="00C81035" w:rsidP="00C81035">
      <w:pPr>
        <w:rPr>
          <w:b/>
          <w:iCs/>
          <w:sz w:val="22"/>
          <w:u w:val="single"/>
          <w:bdr w:val="single" w:sz="24" w:space="0" w:color="auto"/>
        </w:rPr>
      </w:pPr>
      <w:r>
        <w:t xml:space="preserve">For his latest book, "Creating Innovators: The Making of Young People Who Will Change The World," </w:t>
      </w:r>
      <w:r w:rsidRPr="003D5D0A">
        <w:rPr>
          <w:rStyle w:val="StyleUnderline"/>
        </w:rPr>
        <w:t xml:space="preserve">Wagner has extended his studies to address the problem of how we teach students these skills. He has come to the conclusion that </w:t>
      </w:r>
      <w:r w:rsidRPr="003D5D0A">
        <w:rPr>
          <w:rStyle w:val="Emphasis"/>
        </w:rPr>
        <w:t>our country's economic problems are based in its education system.</w:t>
      </w:r>
    </w:p>
    <w:p w:rsidR="00C81035" w:rsidRDefault="00C81035" w:rsidP="00C81035">
      <w:r>
        <w:t>"</w:t>
      </w:r>
      <w:r w:rsidRPr="003D5D0A">
        <w:rPr>
          <w:rStyle w:val="StyleUnderline"/>
        </w:rPr>
        <w:t xml:space="preserve">We've created an economy based on people spending money they do not have to buy things they may not need, </w:t>
      </w:r>
      <w:r w:rsidRPr="003D5D0A">
        <w:rPr>
          <w:rStyle w:val="Emphasis"/>
        </w:rPr>
        <w:t>threatening the planet</w:t>
      </w:r>
      <w:r>
        <w:t xml:space="preserve"> in the process," he says. "</w:t>
      </w:r>
      <w:r w:rsidRPr="003D5D0A">
        <w:rPr>
          <w:rStyle w:val="StyleUnderline"/>
        </w:rPr>
        <w:t>We</w:t>
      </w:r>
      <w:r>
        <w:t xml:space="preserve"> </w:t>
      </w:r>
      <w:r w:rsidRPr="003D5D0A">
        <w:rPr>
          <w:rStyle w:val="StyleUnderline"/>
        </w:rPr>
        <w:t>have to transition from a consumer-driven economy to an innovation-driven economy</w:t>
      </w:r>
      <w:r>
        <w:t>."</w:t>
      </w:r>
    </w:p>
    <w:p w:rsidR="00C81035" w:rsidRDefault="00C81035" w:rsidP="00C81035">
      <w:r>
        <w:t xml:space="preserve">In an effort to discern teaching and parenting patterns, Wagner interviewed innovators in their 20s, followed by interviews with their parents and the influential teachers and mentors in the students' lives. </w:t>
      </w:r>
      <w:r w:rsidRPr="003D5D0A">
        <w:rPr>
          <w:rStyle w:val="StyleUnderline"/>
        </w:rPr>
        <w:t>He found stunning similarities between the teaching styles and goals he encountered with these influential teachers at all levels of education</w:t>
      </w:r>
      <w:r>
        <w:t xml:space="preserve"> and concludes, "The culture of schooling as we all know it is radically at odds with the culture of learning that produces innovators." He identified five ways in which America's education system is stunting innovation:</w:t>
      </w:r>
    </w:p>
    <w:p w:rsidR="00C81035" w:rsidRDefault="00C81035" w:rsidP="00C81035">
      <w:r>
        <w:t xml:space="preserve">1. Individual achievement is the focus: </w:t>
      </w:r>
      <w:r w:rsidRPr="003D5D0A">
        <w:rPr>
          <w:rStyle w:val="StyleUnderline"/>
        </w:rPr>
        <w:t xml:space="preserve">Students spend a bulk of their time focusing on improving their GPAs </w:t>
      </w:r>
      <w:r>
        <w:t>-- school is a competition among peers. "</w:t>
      </w:r>
      <w:r w:rsidRPr="003D5D0A">
        <w:rPr>
          <w:rStyle w:val="StyleUnderline"/>
        </w:rPr>
        <w:t>But innovation is a team sport</w:t>
      </w:r>
      <w:r>
        <w:t>," says Wagner. "Yes, it requires some solitude and reflection, but fundamentally problems are too complex to innovate or solve by oneself."</w:t>
      </w:r>
    </w:p>
    <w:p w:rsidR="00C81035" w:rsidRPr="003D5D0A" w:rsidRDefault="00C81035" w:rsidP="00C81035">
      <w:pPr>
        <w:rPr>
          <w:b/>
          <w:sz w:val="22"/>
          <w:u w:val="single"/>
        </w:rPr>
      </w:pPr>
      <w:r>
        <w:t xml:space="preserve">2. </w:t>
      </w:r>
      <w:r w:rsidRPr="003D5D0A">
        <w:rPr>
          <w:rStyle w:val="StyleUnderline"/>
        </w:rPr>
        <w:t>Specialization is celebrated and rewarded</w:t>
      </w:r>
      <w:r>
        <w:t xml:space="preserve">: High school curriculum is structured using Carnegie units, a system that is 125 years old, says Wagner. He says the director of talent at Google once told him, </w:t>
      </w:r>
      <w:r w:rsidRPr="003D5D0A">
        <w:rPr>
          <w:rStyle w:val="StyleUnderline"/>
        </w:rPr>
        <w:t xml:space="preserve">"If there's one thing that educators need to understand, it's that you can neither understand nor solve problems within the context and bright lines of subject content." </w:t>
      </w:r>
      <w:r w:rsidRPr="003D5D0A">
        <w:t>Wagner declares,</w:t>
      </w:r>
      <w:r w:rsidRPr="003D5D0A">
        <w:rPr>
          <w:rStyle w:val="StyleUnderline"/>
        </w:rPr>
        <w:t xml:space="preserve"> "Learning to be an innovator is about learning to cross disciplinary boundaries</w:t>
      </w:r>
      <w:r>
        <w:t xml:space="preserve"> </w:t>
      </w:r>
      <w:r w:rsidRPr="003D5D0A">
        <w:rPr>
          <w:rStyle w:val="StyleUnderline"/>
        </w:rPr>
        <w:t>and exploring</w:t>
      </w:r>
      <w:r>
        <w:t xml:space="preserve"> problems and their </w:t>
      </w:r>
      <w:r w:rsidRPr="003D5D0A">
        <w:rPr>
          <w:rStyle w:val="StyleUnderline"/>
        </w:rPr>
        <w:t>solutions from multiple perspectives."</w:t>
      </w:r>
    </w:p>
    <w:p w:rsidR="00C81035" w:rsidRDefault="00C81035" w:rsidP="00C81035">
      <w:r>
        <w:t>3. Risk aversion is the norm: "</w:t>
      </w:r>
      <w:r w:rsidRPr="003D5D0A">
        <w:rPr>
          <w:rStyle w:val="StyleUnderline"/>
        </w:rPr>
        <w:t>We penalize mistakes</w:t>
      </w:r>
      <w:r>
        <w:t>," says Wagner. "</w:t>
      </w:r>
      <w:r w:rsidRPr="003D5D0A">
        <w:rPr>
          <w:rStyle w:val="StyleUnderline"/>
        </w:rPr>
        <w:t>The whole challenge in schooling is to figure out what the teacher wants</w:t>
      </w:r>
      <w:r>
        <w:t xml:space="preserve">. And the teachers have to figure out what the superintendent wants or the state wants. </w:t>
      </w:r>
      <w:r w:rsidRPr="003D5D0A">
        <w:rPr>
          <w:rStyle w:val="StyleUnderline"/>
        </w:rPr>
        <w:t>It's a compliance-driven, risk-averse culture." Innovation</w:t>
      </w:r>
      <w:r>
        <w:t xml:space="preserve">, on the other hand, </w:t>
      </w:r>
      <w:r w:rsidRPr="003D5D0A">
        <w:rPr>
          <w:rStyle w:val="StyleUnderline"/>
        </w:rPr>
        <w:t>is grounded in taking risks and learning via trial and error</w:t>
      </w:r>
      <w:r>
        <w:t>. Educators could take a note from design firm IDEO with its mantra of "Fail early, fail often," says Wagner. And at Stanford's Institute of Design, he says they are considering ideas like, "We're thinking F is the new A." Without failure, there is no innovation.</w:t>
      </w:r>
    </w:p>
    <w:p w:rsidR="00C81035" w:rsidRDefault="00C81035" w:rsidP="00C81035">
      <w:r>
        <w:t xml:space="preserve">4. Learning is profoundly passive: </w:t>
      </w:r>
      <w:r w:rsidRPr="003D5D0A">
        <w:rPr>
          <w:rStyle w:val="StyleUnderline"/>
        </w:rPr>
        <w:t>For 12 to 16 years, we learn to consume information while in school, says Wagner. He suspects that our schooling culture has actually turned us into the "good little consumers</w:t>
      </w:r>
      <w:r>
        <w:t>" that we are. Innovative learning cultures teach about creating, not consuming, he says.</w:t>
      </w:r>
    </w:p>
    <w:p w:rsidR="00C81035" w:rsidRDefault="00C81035" w:rsidP="00C81035">
      <w:r>
        <w:t xml:space="preserve">5. </w:t>
      </w:r>
      <w:r w:rsidRPr="003D5D0A">
        <w:rPr>
          <w:rStyle w:val="StyleUnderline"/>
        </w:rPr>
        <w:t>Extrinsic incentives drive learning</w:t>
      </w:r>
      <w:r>
        <w:t xml:space="preserve">: "Carrots and sticks, As and Fs," Wagner remarks. </w:t>
      </w:r>
      <w:r w:rsidRPr="003D5D0A">
        <w:rPr>
          <w:rStyle w:val="StyleUnderline"/>
        </w:rPr>
        <w:t>Young innovators are intrinsically motivated</w:t>
      </w:r>
      <w:r>
        <w:t xml:space="preserve">, he says. They aren't interested in grading scales and petty reward systems. </w:t>
      </w:r>
      <w:r w:rsidRPr="003D5D0A">
        <w:rPr>
          <w:rStyle w:val="StyleUnderline"/>
        </w:rPr>
        <w:t xml:space="preserve">Parents and teachers can encourage innovative thinking by nurturing the curiosity and inquisitiveness of young people, </w:t>
      </w:r>
      <w:r>
        <w:t>Wagner says. As he describes it, it's a pattern of "play to passion to purpose." Parents of innovators encouraged their children to play in more exploratory ways, he says. "Fewer toys, more toys without batteries, more unstructured time in their day." Those children grow up to find passions, not just academic achievement, he says. "And that passion matures to a profound sense of purpose. Every young person I interviewed wants to make a difference in the world, put a ding in the universe."</w:t>
      </w:r>
    </w:p>
    <w:p w:rsidR="00C81035" w:rsidRDefault="00C81035" w:rsidP="00C81035">
      <w:r>
        <w:t>""</w:t>
      </w:r>
      <w:r w:rsidRPr="003D5D0A">
        <w:rPr>
          <w:rStyle w:val="StyleUnderline"/>
        </w:rPr>
        <w:t>We have to transition to an innovation-driven culture, an innovation-driven society</w:t>
      </w:r>
      <w:r>
        <w:t xml:space="preserve">," says Wagner. "A consumer society is bankrupt -- it's not coming back. To do that, we're going to have to work with young people -- as parents, as teachers, as mentors, and as employers -- in very different ways. They want to, you want to become innovators. </w:t>
      </w:r>
      <w:r w:rsidRPr="003D5D0A">
        <w:rPr>
          <w:rStyle w:val="StyleUnderline"/>
        </w:rPr>
        <w:t>And we as a country need the capacity to solve more different kinds of problems in more ways. It requires us to have a very different vision of education, of teaching and learning for the 21st century</w:t>
      </w:r>
      <w:r>
        <w:t>. It requires us to have a sense of urgency about the problem that needs to be solved."</w:t>
      </w:r>
    </w:p>
    <w:p w:rsidR="00C81035" w:rsidRDefault="00C81035" w:rsidP="00C81035">
      <w:r>
        <w:t>Wagner is not suggesting we change a few processes and update a few manuals. He says, "</w:t>
      </w:r>
      <w:r w:rsidRPr="003D5D0A">
        <w:rPr>
          <w:rStyle w:val="StyleUnderline"/>
        </w:rPr>
        <w:t>The system</w:t>
      </w:r>
      <w:r>
        <w:t xml:space="preserve"> has become obsolete. It </w:t>
      </w:r>
      <w:r w:rsidRPr="003D5D0A">
        <w:rPr>
          <w:rStyle w:val="StyleUnderline"/>
        </w:rPr>
        <w:t>needs reinventing, not reforming</w:t>
      </w:r>
      <w:r>
        <w:t>."</w:t>
      </w:r>
    </w:p>
    <w:p w:rsidR="00C81035" w:rsidRDefault="00C81035" w:rsidP="00C81035">
      <w:pPr>
        <w:pStyle w:val="Heading4"/>
      </w:pPr>
      <w:r>
        <w:t>Rhode Island proves</w:t>
      </w:r>
    </w:p>
    <w:p w:rsidR="00C81035" w:rsidRPr="00B07F94" w:rsidRDefault="00C81035" w:rsidP="00C81035">
      <w:pPr>
        <w:rPr>
          <w:rStyle w:val="Style13ptBold"/>
        </w:rPr>
      </w:pPr>
      <w:r>
        <w:rPr>
          <w:rStyle w:val="Style13ptBold"/>
        </w:rPr>
        <w:t xml:space="preserve">KQED 17 </w:t>
      </w:r>
      <w:r w:rsidRPr="00B07F94">
        <w:t>(Mindshift, “Light a Fuse: How One State’s Teachers Are Sparking Digital Innovation” 6/7/17 https://ww2.kqed.org/mindshift/2017/06/07/light-a-fuse-how-one-states-teachers-are-sparking-digital-innovation/) GG</w:t>
      </w:r>
    </w:p>
    <w:p w:rsidR="00C81035" w:rsidRDefault="00C81035" w:rsidP="00C81035">
      <w:r>
        <w:t xml:space="preserve">PROVIDENCE, R.I. — Dozens of teachers hovered around a group of students gathered in the center of a beige conference room on a Saturday morning in April. Other teachers sat in rows of chairs, craning their necks to see the action. The students paid no mind. They tapped on computer keyboards. They wrote math problems with magic markers. They plopped on the floor to work on a group project. The teacher-spectators were looking under the hood of a new classroom model at Rhode Island’s blended and personalized learning conference. “We want to see how it works, how it’s set up,” said Kim Wilson, a second-grade teacher at North Kingstown Schools. </w:t>
      </w:r>
      <w:r w:rsidRPr="00B07F94">
        <w:rPr>
          <w:rStyle w:val="StyleUnderline"/>
        </w:rPr>
        <w:t>All across Rhode Island, schools are experimenting with the ways technology can help teachers tailor-fit lessons to the unique needs of each studen</w:t>
      </w:r>
      <w:r>
        <w:t xml:space="preserve">t. It’s called personalized learning, and trying to understand how it unfolds in a classroom is not easy. </w:t>
      </w:r>
      <w:r w:rsidRPr="00B07F94">
        <w:rPr>
          <w:rStyle w:val="StyleUnderline"/>
        </w:rPr>
        <w:t>It’s best understood by seeing it in person, and this model classroom provided that view. The technology was there, but students weren’t lined up in a row in front of computers</w:t>
      </w:r>
      <w:r>
        <w:t xml:space="preserve">. In fact, </w:t>
      </w:r>
      <w:r w:rsidRPr="00B07F94">
        <w:rPr>
          <w:rStyle w:val="StyleUnderline"/>
        </w:rPr>
        <w:t>the computers almost seemed beside the point — as important and yet as invisible as pencil and paper</w:t>
      </w:r>
      <w:r>
        <w:t xml:space="preserve">. And none of the students were looking to a teacher for direction on what to do next. To create excitement, rather than a sense of dread, about new methods of teaching and learning, </w:t>
      </w:r>
      <w:r w:rsidRPr="00B07F94">
        <w:rPr>
          <w:rStyle w:val="StyleUnderline"/>
        </w:rPr>
        <w:t>Rhode Island has partnered with the local nonprofit Highlander Institute to develop a “teachers-teach-teachers” program</w:t>
      </w:r>
      <w:r>
        <w:t xml:space="preserve">. Called Fuse RI, it is </w:t>
      </w:r>
      <w:r w:rsidRPr="00B07F94">
        <w:rPr>
          <w:rStyle w:val="StyleUnderline"/>
        </w:rPr>
        <w:t>meant to nurture good ideas by having educators mentor teachers outside their own school districts</w:t>
      </w:r>
      <w:r>
        <w:t xml:space="preserve"> and serve in leadership roles on administrative teams to help principals and superintendents plan how to use these new models of teaching and learning. Tiny Rhode Island wants to serve as an incubator for the way schools can change when teachers are leaders; indeed, the state launched a program last year called SyraFuse, through which it is sharing what it has learned about personalized learning with the Syracuse, New York, school district. </w:t>
      </w:r>
      <w:r w:rsidRPr="00B07F94">
        <w:rPr>
          <w:rStyle w:val="StyleUnderline"/>
        </w:rPr>
        <w:t>The effort comes at a time when there’s little clarity from the U.S. Department of Education on what support</w:t>
      </w:r>
      <w:r>
        <w:t xml:space="preserve"> (if any) </w:t>
      </w:r>
      <w:r w:rsidRPr="00B07F94">
        <w:rPr>
          <w:rStyle w:val="StyleUnderline"/>
        </w:rPr>
        <w:t>there will be for classroom technology — including research and funding</w:t>
      </w:r>
      <w:r>
        <w:t xml:space="preserve"> — from the federal government during the Trump administration. With that lack of leadership, some education reformers say that states need to lead the way in spreading good ideas. </w:t>
      </w:r>
      <w:r w:rsidRPr="00B07F94">
        <w:rPr>
          <w:rStyle w:val="StyleUnderline"/>
        </w:rPr>
        <w:t>“There isn’t a strategy coming from D.C</w:t>
      </w:r>
      <w:r>
        <w:t>.,” said Arne Duncan, the former U.S. secretary of education who is now a managing partner at the Emerson Collective, in a phone interview. “</w:t>
      </w:r>
      <w:r w:rsidRPr="00B07F94">
        <w:rPr>
          <w:rStyle w:val="StyleUnderline"/>
        </w:rPr>
        <w:t>I wish that wasn’t so, but that is the reality. That’s all the more reason why it matters</w:t>
      </w:r>
      <w:r>
        <w:t xml:space="preserve">. You either quit, or you take it to the districts and the states.” </w:t>
      </w:r>
      <w:r w:rsidRPr="00B07F94">
        <w:rPr>
          <w:rStyle w:val="StyleUnderline"/>
        </w:rPr>
        <w:t xml:space="preserve">States like Rhode Island are “a coalition of the willing and a coalition of the courageous,” </w:t>
      </w:r>
      <w:r w:rsidRPr="00B07F94">
        <w:t>Duncan added.</w:t>
      </w:r>
      <w:r>
        <w:t xml:space="preserve"> And their work starts in the classroom. The select Fuse RI teaching fellows are assigned by the Highlander Institute to school districts to give boots-on-the-ground support. The program, started in 2014, has been viewed by its advocates as so effective that the foundation-funded institute is developing similar programs for yet-to-be-announced cities and states. “Other places that are having a harder time, maybe they’ve either done this backwards and gone out and just purchased a lot of devices and haven’t changed any pedagogy,” said Shawn Rubin, chief education officer at the Highlander Institute. “Or they’ve tried to top-down change and it didn’t work.” The Fuse RI fellows offer help that’s something like what you might expect at the Genius Bar at an Apple store. But they aren’t there just to troubleshoot technology problems. The fellows also help solve the human problems of teaching, and work with administrators, who may not have taught for years, to help them understand the realities of working in a modern classroom. So far, </w:t>
      </w:r>
      <w:r w:rsidRPr="00B07F94">
        <w:rPr>
          <w:rStyle w:val="StyleUnderline"/>
        </w:rPr>
        <w:t>Fuse RI has trained nearly 60 fellows</w:t>
      </w:r>
      <w:r>
        <w:t xml:space="preserve"> (mostly classroom teachers). </w:t>
      </w:r>
      <w:r w:rsidRPr="00B07F94">
        <w:rPr>
          <w:rStyle w:val="StyleUnderline"/>
        </w:rPr>
        <w:t>They serve</w:t>
      </w:r>
      <w:r>
        <w:t xml:space="preserve">, essentially, </w:t>
      </w:r>
      <w:r w:rsidRPr="00B07F94">
        <w:rPr>
          <w:rStyle w:val="StyleUnderline"/>
        </w:rPr>
        <w:t>as free consultants to districts and charter schools that are trying innovative teaching models</w:t>
      </w:r>
      <w:r>
        <w:t xml:space="preserve">, as many schools in the state experiment with personalized learning. </w:t>
      </w:r>
      <w:r w:rsidRPr="00B07F94">
        <w:rPr>
          <w:rStyle w:val="StyleUnderline"/>
        </w:rPr>
        <w:t>The program,</w:t>
      </w:r>
      <w:r>
        <w:t xml:space="preserve"> which advertises itself to teachers with a cartoon of a teacher in a ninja suit, </w:t>
      </w:r>
      <w:r w:rsidRPr="00B07F94">
        <w:rPr>
          <w:rStyle w:val="StyleUnderline"/>
        </w:rPr>
        <w:t>requires the fellows to spend about 100 hours per year outside their own school</w:t>
      </w:r>
      <w:r>
        <w:t xml:space="preserve">, traveling to and working in whatever school they are advising. </w:t>
      </w:r>
      <w:r w:rsidRPr="00B07F94">
        <w:rPr>
          <w:rStyle w:val="StyleUnderline"/>
        </w:rPr>
        <w:t>It’s also a leadership path for the teachers involved</w:t>
      </w:r>
      <w:r>
        <w:t xml:space="preserve"> — a way for them to help others, said Maeve Murray, a project manager at the Highlander Institute. </w:t>
      </w:r>
      <w:r w:rsidRPr="00B07F94">
        <w:rPr>
          <w:rStyle w:val="StyleUnderline"/>
        </w:rPr>
        <w:t>“It’s really opening people’s eyes,</w:t>
      </w:r>
      <w:r>
        <w:t>” Murray said, “</w:t>
      </w:r>
      <w:r w:rsidRPr="00B07F94">
        <w:rPr>
          <w:rStyle w:val="StyleUnderline"/>
        </w:rPr>
        <w:t>and making people excited and reinvigorating the way they’re teaching, and shifting practice and thinking about the student, which again is the most important part.”</w:t>
      </w:r>
      <w:r>
        <w:rPr>
          <w:rStyle w:val="StyleUnderline"/>
        </w:rPr>
        <w:t xml:space="preserve"> </w:t>
      </w:r>
      <w:r>
        <w:t xml:space="preserve">After completing their training, the teaching fellows get access to all the school districts’ Fuse RI applications, which describe in detail the districts’ goals. The teachers then choose three districts that suit their interests and location preferences and Highlander determines their placement. The projects the fellows work on can vary widely, but there is one constant: Fellows do their Fuse RI work away from their own schools, allowing them to stand above the fray of local battles and politics. “I describe it as a peek behind the curtain, because we get to work with administrative teams, and that’s not something you typically get to do as a teacher in your area district,” said Cassie Iacona, one of the Fuse RI fellows. “You feel a little bit more empowered, and then you can bring that empowerment back to your own district. It’s easier to be brave when it’s not your place of work.” Sprinkled around the state, </w:t>
      </w:r>
      <w:r w:rsidRPr="00B07F94">
        <w:rPr>
          <w:rStyle w:val="StyleUnderline"/>
        </w:rPr>
        <w:t>this teacher-led “dream team” can provide a level of inspiration and technical support that the small nonprofit’s staff could never do alone</w:t>
      </w:r>
      <w:r>
        <w:t>. “There’s no way we can be all these places,” Rubin said. And their work starts in the classroom. The select Fuse RI teaching fellows are assigned by the Highlander Institute to school districts to give boots-on-the-ground support. The program, started in 2014, has been viewed by its advocates as so effective that the foundation-funded institute is developing similar programs for yet-to-be-announced cities and states. “Other places that are having a harder time, maybe they’ve either done this backwards and gone out and just purchased a lot of devices and haven’t changed any pedagogy,” said Shawn Rubin, chief education officer at the Highlander Institute. “Or they’ve tried to top-down change and it didn’t work.” The Fuse RI fellows offer help that’s something like what you might expect at the Genius Bar at an Apple store. But they aren’t there just to troubleshoot technology problems. The fellows also help solve the human problems of teaching, and work with administrators, who may not have taught for years, to help them understand the realities of working in a modern classroom. So far, Fuse RI has trained nearly 60 fellows (mostly classroom teachers). They serve, essentially, as free consultants to districts and charter schools that are trying innovative teaching models, as many schools in the state experiment with personalized learning. The program, which advertises itself to teachers with a cartoon of a teacher in a ninja suit, requires the fellows to spend about 100 hours per year outside their own school, traveling to and working in whatever school they are advising. It’s also a leadership path for the teachers involved — a way for them to help others, said Maeve Murray, a project manager at the Highlander Institute. “</w:t>
      </w:r>
      <w:r w:rsidRPr="00B07F94">
        <w:rPr>
          <w:rStyle w:val="StyleUnderline"/>
        </w:rPr>
        <w:t>It’s really opening people’s eyes,” Murray said, “and making people excited and reinvigorating the way they’re teaching, and shifting practice and thinking about the student, which again is the most important part.”</w:t>
      </w:r>
      <w:r>
        <w:rPr>
          <w:rStyle w:val="StyleUnderline"/>
        </w:rPr>
        <w:t xml:space="preserve"> </w:t>
      </w:r>
      <w:r>
        <w:t xml:space="preserve">After completing their training, </w:t>
      </w:r>
      <w:r w:rsidRPr="00B07F94">
        <w:rPr>
          <w:rStyle w:val="StyleUnderline"/>
        </w:rPr>
        <w:t>the teaching fellows get access to all the school districts’ Fuse RI applications, which describe in detail the districts’ goals</w:t>
      </w:r>
      <w:r>
        <w:t xml:space="preserve">. The teachers then choose three districts that suit their interests and location preferences and Highlander determines their placement. The projects the fellows work on can vary widely, but there is one constant: Fellows do their Fuse RI work away from their own schools, allowing them to stand above the fray of local battles and politics. “I describe it as a peek behind the curtain, because we get to work with administrative teams, and that’s not something you typically get to do as a teacher in your area district,” said Cassie Iacona, one of the Fuse RI fellows. “You feel a little bit more empowered, and then you can bring that empowerment back to your own district. It’s easier to be brave when it’s not your place of work.” </w:t>
      </w:r>
      <w:r w:rsidRPr="00B07F94">
        <w:rPr>
          <w:rStyle w:val="StyleUnderline"/>
        </w:rPr>
        <w:t>Sprinkled around the state, this teacher-led “dream team” can provide a level of inspiration and technical support that the small nonprofit’s staff could never do alone.</w:t>
      </w:r>
      <w:r>
        <w:rPr>
          <w:rStyle w:val="StyleUnderline"/>
        </w:rPr>
        <w:t xml:space="preserve"> </w:t>
      </w:r>
      <w:r>
        <w:t>“There’s no way we can be all these places,” Rubin said.</w:t>
      </w:r>
    </w:p>
    <w:p w:rsidR="00C81035" w:rsidRPr="00C81035" w:rsidRDefault="00C81035" w:rsidP="00C81035"/>
    <w:p w:rsidR="0036615E" w:rsidRDefault="0036615E" w:rsidP="0036615E">
      <w:pPr>
        <w:pStyle w:val="Heading3"/>
      </w:pPr>
      <w:r>
        <w:t>AT perm – pre-emption</w:t>
      </w:r>
    </w:p>
    <w:p w:rsidR="0036615E" w:rsidRDefault="0036615E" w:rsidP="0036615E">
      <w:pPr>
        <w:pStyle w:val="Heading4"/>
      </w:pPr>
      <w:r>
        <w:t xml:space="preserve">Our ‘states better’ arguments are not captured by the perm---the plan </w:t>
      </w:r>
      <w:r w:rsidRPr="0036615E">
        <w:rPr>
          <w:u w:val="single"/>
        </w:rPr>
        <w:t>constrains</w:t>
      </w:r>
      <w:r>
        <w:t xml:space="preserve"> state innovation and interferes with effective state enforcement</w:t>
      </w:r>
    </w:p>
    <w:p w:rsidR="0036615E" w:rsidRPr="005620BA" w:rsidRDefault="0036615E" w:rsidP="0036615E">
      <w:r w:rsidRPr="005620BA">
        <w:rPr>
          <w:rStyle w:val="Style13ptBold"/>
        </w:rPr>
        <w:t>Lawson 13</w:t>
      </w:r>
      <w:r>
        <w:t xml:space="preserve"> – JD @ U Michigan (Aaron, “EDUCATIONAL FEDERALISM: A NEW CASE FOR REDUCED FEDERAL INVOLVEMENT IN K-12 EDUCATION,” 2013 BYU Educ. &amp; L. J. 281)//BB</w:t>
      </w:r>
    </w:p>
    <w:p w:rsidR="0036615E" w:rsidRDefault="0036615E" w:rsidP="0036615E">
      <w:r>
        <w:t xml:space="preserve">For the purpose of this Comment, what is important about these programs is not what they contain, but the fact that they represent a much larger role for the federal government in education. </w:t>
      </w:r>
      <w:r w:rsidRPr="009B76AC">
        <w:rPr>
          <w:rStyle w:val="StyleUnderline"/>
        </w:rPr>
        <w:t>A growing body of legal scholarship argues that an increased role for the federal government in education is a normatively desirable development</w:t>
      </w:r>
      <w:r>
        <w:t xml:space="preserve">. One scholar, for instance, argues that limited state bureaucratic capabilities, which she asserts have developed compliance functions at the expense of true policy expertise, counsel in favor of an increased federal role. 12  Likewise, Professor Kimberly Jenkins Robinson, who served in the General Counsel's office at the U.S. Department  [*283]  of Education, 13  noting the persistence of interstate educational disparities since Brown v. Board of Education, 14  argues that an increased federal role in education is necessary because history teaches that states are incapable, on their own, of addressing disparities in educational opportunity. 15  Another scholar argues that the central role education has always held in our society necessitates recognition of education as a judicially-enforceable fundamental right. 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 17  </w:t>
      </w:r>
      <w:r w:rsidRPr="009B76AC">
        <w:rPr>
          <w:rStyle w:val="StyleUnderline"/>
        </w:rPr>
        <w:t>However, increased federal involvement in education is worrisome</w:t>
      </w:r>
      <w:r>
        <w:t xml:space="preserve"> for other reasons, explored below. This Comment pushes back on scholarship that supports federal solutions for the nation's education issues and argues that </w:t>
      </w:r>
      <w:r w:rsidRPr="009B76AC">
        <w:rPr>
          <w:rStyle w:val="StyleUnderline"/>
        </w:rPr>
        <w:t>countervailing considerations militate in favor of less federal involvement in education</w:t>
      </w:r>
      <w:r>
        <w:t>.</w:t>
      </w:r>
    </w:p>
    <w:p w:rsidR="0036615E" w:rsidRDefault="0036615E" w:rsidP="0036615E">
      <w:r w:rsidRPr="009B76AC">
        <w:rPr>
          <w:rStyle w:val="StyleUnderline"/>
        </w:rPr>
        <w:t>Every state constitution, in contrast with the Federal Constitution, contains some guarantee of education</w:t>
      </w:r>
      <w:r>
        <w:t xml:space="preserve">. 18  State  [*284]  courts split into two groups on how to give effect to these guarantees: (1) by evaluating education policy under Equal Protection by declaring education a fundamental right or by treating wealth as a suspect classification, 19  or (2) by evaluating education policies under a framework of educational adequacy. 20  In either case, </w:t>
      </w:r>
      <w:r w:rsidRPr="009B76AC">
        <w:rPr>
          <w:rStyle w:val="StyleUnderline"/>
        </w:rPr>
        <w:t>these clauses establish substantive educational guarantees on the state level that do not exist at the federal level and provide the courts with a role in ensuring the fulfillment of these guarantees</w:t>
      </w:r>
      <w:r>
        <w:t xml:space="preserve">. 21  </w:t>
      </w:r>
      <w:r w:rsidRPr="009B76AC">
        <w:rPr>
          <w:rStyle w:val="StyleUnderline"/>
        </w:rPr>
        <w:t>These clauses also help to create a valuable political dynamic, which has inured to the benefit of children</w:t>
      </w:r>
      <w:r>
        <w:t xml:space="preserve">. As part of this political dynamic, courts define the contours of these affirmative guarantees, and the legislature fulfills its own constitutional duty by legislating between those boundaries. 22 </w:t>
      </w:r>
    </w:p>
    <w:p w:rsidR="0036615E" w:rsidRDefault="0036615E" w:rsidP="0036615E">
      <w:r w:rsidRPr="009B76AC">
        <w:rPr>
          <w:rStyle w:val="StyleUnderline"/>
        </w:rPr>
        <w:t xml:space="preserve">However, when the federal government legislates or regulates in a given field, it </w:t>
      </w:r>
      <w:r w:rsidRPr="009B76AC">
        <w:rPr>
          <w:rStyle w:val="Emphasis"/>
        </w:rPr>
        <w:t>necessarily constrains</w:t>
      </w:r>
      <w:r w:rsidRPr="009B76AC">
        <w:rPr>
          <w:rStyle w:val="StyleUnderline"/>
        </w:rPr>
        <w:t xml:space="preserve"> the ability of states to legislate in that same field</w:t>
      </w:r>
      <w:r>
        <w:t xml:space="preserve">. 23  In the field of education, </w:t>
      </w:r>
      <w:r w:rsidRPr="009B76AC">
        <w:rPr>
          <w:rStyle w:val="StyleUnderline"/>
        </w:rPr>
        <w:t>the ability of courts to protect the rights of children is dependent on the ability of legislatures freely to react to courts</w:t>
      </w:r>
      <w:r>
        <w:t xml:space="preserve">. As such, </w:t>
      </w:r>
      <w:r w:rsidRPr="009B76AC">
        <w:rPr>
          <w:rStyle w:val="StyleUnderline"/>
        </w:rPr>
        <w:t>anything that constrains state legislatures also constrains state courts and upsets this valuable political</w:t>
      </w:r>
      <w:r>
        <w:t xml:space="preserve">  [*285]  </w:t>
      </w:r>
      <w:r w:rsidRPr="009B76AC">
        <w:rPr>
          <w:rStyle w:val="Emphasis"/>
        </w:rPr>
        <w:t>dynamic</w:t>
      </w:r>
      <w:r w:rsidRPr="009B76AC">
        <w:rPr>
          <w:rStyle w:val="StyleUnderline"/>
        </w:rPr>
        <w:t xml:space="preserve"> created by the interaction of state legislatures and state courts. An expansive federal role in educational policymaking</w:t>
      </w:r>
      <w:r>
        <w:t xml:space="preserve"> is normatively undesirable when it </w:t>
      </w:r>
      <w:r w:rsidRPr="009B76AC">
        <w:rPr>
          <w:rStyle w:val="Emphasis"/>
        </w:rPr>
        <w:t>threatens to interfere with this political dynamic</w:t>
      </w:r>
      <w:r>
        <w:t xml:space="preserve">. This dynamic receives scant attention in the literature described above. However, </w:t>
      </w:r>
      <w:r w:rsidRPr="009B76AC">
        <w:rPr>
          <w:rStyle w:val="StyleUnderline"/>
        </w:rPr>
        <w:t>mindfulness of this dynamic is crucial to the proper placement of the educational policymaking and regulatory epicenter</w:t>
      </w:r>
      <w:r>
        <w:t>.</w:t>
      </w:r>
    </w:p>
    <w:p w:rsidR="0036615E" w:rsidRDefault="0036615E" w:rsidP="0036615E">
      <w:r w:rsidRPr="009B76AC">
        <w:rPr>
          <w:rStyle w:val="StyleUnderline"/>
        </w:rPr>
        <w:t>Constraints on state legislatures would not be as problematic if the federal government had proven itself adept at guaranteeing adequate educational opportunity</w:t>
      </w:r>
      <w:r>
        <w:t xml:space="preserve"> for all students. However, RTTT and NCLB have, in some cases, proven remarkably unhelpful for poor and minority students. 24  These negative outcomes, of course, are not guaranteed. However, </w:t>
      </w:r>
      <w:r w:rsidRPr="009B76AC">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t xml:space="preserve">. This Comment argues that </w:t>
      </w:r>
      <w:r w:rsidRPr="009B76AC">
        <w:rPr>
          <w:rStyle w:val="Emphasis"/>
        </w:rPr>
        <w:t>it is not</w:t>
      </w:r>
      <w:r>
        <w:t>.</w:t>
      </w:r>
    </w:p>
    <w:p w:rsidR="0036615E" w:rsidRDefault="0036615E" w:rsidP="0036615E">
      <w:r>
        <w:t xml:space="preserve">Using policies adopted in New York State in response to RTTT as an example, this Comment argues that </w:t>
      </w:r>
      <w:r w:rsidRPr="009B76AC">
        <w:rPr>
          <w:rStyle w:val="StyleUnderline"/>
        </w:rPr>
        <w:t>the federal government should step aside to</w:t>
      </w:r>
      <w:r>
        <w:t xml:space="preserve"> the extent necessary to </w:t>
      </w:r>
      <w:r w:rsidRPr="009B76AC">
        <w:rPr>
          <w:rStyle w:val="StyleUnderline"/>
        </w:rPr>
        <w:t>allow state courts</w:t>
      </w:r>
      <w:r>
        <w:t xml:space="preserve"> more </w:t>
      </w:r>
      <w:r w:rsidRPr="009B76AC">
        <w:rPr>
          <w:rStyle w:val="StyleUnderline"/>
        </w:rPr>
        <w:t>flexibility to protect the substantive educational rights of poor and minority children</w:t>
      </w:r>
      <w:r>
        <w:t xml:space="preserve">. Specifically, where federal constitutional rights are not at issue, </w:t>
      </w:r>
      <w:r w:rsidRPr="009B76AC">
        <w:rPr>
          <w:rStyle w:val="Emphasis"/>
        </w:rPr>
        <w:t>federal involvement in education should be minimized</w:t>
      </w:r>
      <w:r>
        <w:t xml:space="preserve"> </w:t>
      </w:r>
      <w:r w:rsidRPr="009B76AC">
        <w:rPr>
          <w:rStyle w:val="StyleUnderline"/>
        </w:rPr>
        <w:t xml:space="preserve">to the point that state courts have an </w:t>
      </w:r>
      <w:r w:rsidRPr="00AE0FAC">
        <w:rPr>
          <w:rStyle w:val="Emphasis"/>
        </w:rPr>
        <w:t>unrestrained ability</w:t>
      </w:r>
      <w:r w:rsidRPr="009B76AC">
        <w:rPr>
          <w:rStyle w:val="StyleUnderline"/>
        </w:rPr>
        <w:t xml:space="preserve"> to protect the educational needs of, and ensure adequate educational opportunity for, each state's children</w:t>
      </w:r>
      <w:r>
        <w:t xml:space="preserve">. 25  This Comment does not argue for an end to all education policymaking at the  [*286]  federal level. Rather, it argues that the functioning of the </w:t>
      </w:r>
      <w:r w:rsidRPr="009B76AC">
        <w:rPr>
          <w:rStyle w:val="StyleUnderline"/>
        </w:rPr>
        <w:t>state's court-legislature dynamic should act as a limitation on the policies enacted at the federal level. The educational rights of poor and minority children in particular may be more efficiently safeguarded by putting the power in the hands of state courts and legislatures, whereas</w:t>
      </w:r>
      <w:r>
        <w:t xml:space="preserve"> recent </w:t>
      </w:r>
      <w:r w:rsidRPr="009B76AC">
        <w:rPr>
          <w:rStyle w:val="StyleUnderline"/>
        </w:rPr>
        <w:t>federal programs have taken that ability from the states in a way that may be detrimental to the nation's youth</w:t>
      </w:r>
      <w:r>
        <w:t>.</w:t>
      </w:r>
    </w:p>
    <w:p w:rsidR="0036615E" w:rsidRDefault="0036615E" w:rsidP="0036615E">
      <w:r>
        <w:t xml:space="preserve">In particular, the expansion of the federal presence in the education arena has changed policymaking dramatically. </w:t>
      </w:r>
      <w:r w:rsidRPr="009B76AC">
        <w:rPr>
          <w:rStyle w:val="StyleUnderline"/>
        </w:rPr>
        <w:t>Federal policy will be off limits to the remedial powers of state courts and legislatures, limiting the array of options they have when seeking to enforce constitutional guarantees of education</w:t>
      </w:r>
      <w:r>
        <w:t xml:space="preserve">. Unless state courts prove themselves unwilling and unable to deal with the structural problems created by educational policies, </w:t>
      </w:r>
      <w:r w:rsidRPr="009B76AC">
        <w:rPr>
          <w:rStyle w:val="StyleUnderline"/>
        </w:rPr>
        <w:t>the federal government should assume a role that leaves sufficient space for state courts to operate</w:t>
      </w:r>
      <w:r>
        <w:t>.</w:t>
      </w:r>
    </w:p>
    <w:p w:rsidR="0036615E" w:rsidRDefault="0036615E" w:rsidP="0036615E">
      <w:pPr>
        <w:pStyle w:val="Heading4"/>
      </w:pPr>
      <w:r>
        <w:t xml:space="preserve">Even if the plan doesn’t </w:t>
      </w:r>
      <w:r w:rsidRPr="0036615E">
        <w:rPr>
          <w:u w:val="single"/>
        </w:rPr>
        <w:t>formally</w:t>
      </w:r>
      <w:r>
        <w:t xml:space="preserve"> pre-empt the counterplan, it </w:t>
      </w:r>
      <w:r w:rsidRPr="0036615E">
        <w:rPr>
          <w:u w:val="single"/>
        </w:rPr>
        <w:t>drastically</w:t>
      </w:r>
      <w:r>
        <w:t xml:space="preserve"> undercuts state-based solvency</w:t>
      </w:r>
    </w:p>
    <w:p w:rsidR="0036615E" w:rsidRPr="00A33047" w:rsidRDefault="0036615E" w:rsidP="0036615E">
      <w:r w:rsidRPr="00A33047">
        <w:rPr>
          <w:rStyle w:val="Style13ptBold"/>
        </w:rPr>
        <w:t>Hershkoff 11</w:t>
      </w:r>
      <w:r>
        <w:t xml:space="preserve"> - Professor of Constitutional Law and Civil Liberties and Co-Director, The Arthur Garfield Hays Civil Liberties Program, New York University School of Law (Helen, and Stephen Loffredo “STATE CONSTITUTIONALISM IN THE 21ST CENTURY: State Courts and Constitutional Socio-Economic Rights: Exploring the Underutilization Thesis, </w:t>
      </w:r>
      <w:r w:rsidRPr="00885F15">
        <w:rPr>
          <w:i/>
        </w:rPr>
        <w:t>115 Penn St. L. Rev. 923</w:t>
      </w:r>
      <w:r>
        <w:t>, Lexis)//BB</w:t>
      </w:r>
    </w:p>
    <w:p w:rsidR="0036615E" w:rsidRDefault="0036615E" w:rsidP="0036615E">
      <w:r>
        <w:t xml:space="preserve">Underutilization also may be explained through a theory of agency costs that predicts "greater majoritarianism, weaker rights, and more frequent amendment" of a subconstitution. 238  </w:t>
      </w:r>
      <w:r w:rsidRPr="00066EF7">
        <w:rPr>
          <w:rStyle w:val="StyleUnderline"/>
        </w:rPr>
        <w:t>Because the federal government monitors the state for compliance with federal norms, the subnational constitution is assumed to play a less important constraining role on government, producing a polity that is more majoritarian and less rights protective than the federal</w:t>
      </w:r>
      <w:r>
        <w:t xml:space="preserve">. 239  Similarly, because the federal Constitution provides a floor for rights protection, citizens and judges are relieved of pressure to be vigilant in their enforcement of state constitutional rights. 240 </w:t>
      </w:r>
    </w:p>
    <w:p w:rsidR="0036615E" w:rsidRDefault="0036615E" w:rsidP="0036615E">
      <w:r>
        <w:t xml:space="preserve">Conversely, one might argue that a state constitution acquires greater importance (and the need for judicial monitoring of agency action  [*967]  increases), in areas that are not subject to federal oversight - an area that embraces socio-economic rights which are absent entirely from the federal Constitution. The "renaissance" of state constitutional law traces in part to in the 1970s, at the end of the Warren Court, when Justice William J. Brennan, Jr. characterized "the Court's contraction of federal rights and remedies on grounds of federalism … as a plain invitation to state courts to step into the breach." 241  Many of the cases in which the Court withheld constitutional protection involve such socio-economic issues as care of the poor, public schooling, and housing, all of which fall within the scope of some state constitutional positive rights provisions. 242 </w:t>
      </w:r>
    </w:p>
    <w:p w:rsidR="0036615E" w:rsidRDefault="0036615E" w:rsidP="0036615E">
      <w:r>
        <w:t xml:space="preserve">One might argue that </w:t>
      </w:r>
      <w:r w:rsidRPr="00066EF7">
        <w:rPr>
          <w:rStyle w:val="StyleUnderline"/>
        </w:rPr>
        <w:t xml:space="preserve">the state judiciary's persistent or increasing underutilization of state constitutional socio-economic rights reflects a reaction to federal developments that have signaled an increase in federal monitoring in the relevant substantive areas. During the 1990s, the federal government initiated a number of important programs pertinent to education and welfare that garnered a great deal of political attention. The federal No Child Left Behind Act </w:t>
      </w:r>
      <w:r>
        <w:t xml:space="preserve">of 2001, 243  </w:t>
      </w:r>
      <w:r w:rsidRPr="00066EF7">
        <w:rPr>
          <w:rStyle w:val="StyleUnderline"/>
        </w:rPr>
        <w:t>for example, reshaped educational policy by emphasizing standards and testing as significant benchmarks; following the statute's lead, states enacted laws and regulations to make clear what students "are expected to know and be able to do at various stages in their K-12 education</w:t>
      </w:r>
      <w:r>
        <w:t xml:space="preserve">." 244  Many commentators predicted a new wave of state education cases, with claims based on the state constitution but theories and proof dependent on national educational standards. 245  Similarly, the national government - ending "welfare as we know it" - eliminated statutory entitlements to public assistance and, in the name of "third-way" politics and  [*968]  "compassionate conservatism," triggered new state-based programs. 246  </w:t>
      </w:r>
      <w:r w:rsidRPr="00066EF7">
        <w:rPr>
          <w:rStyle w:val="StyleUnderline"/>
        </w:rPr>
        <w:t xml:space="preserve">These federal statutory developments, </w:t>
      </w:r>
      <w:r w:rsidRPr="00066EF7">
        <w:rPr>
          <w:rStyle w:val="Emphasis"/>
        </w:rPr>
        <w:t>while not preempting state laws in any formal sense</w:t>
      </w:r>
      <w:r>
        <w:t xml:space="preserve">, perhaps </w:t>
      </w:r>
      <w:r w:rsidRPr="00066EF7">
        <w:rPr>
          <w:rStyle w:val="StyleUnderline"/>
        </w:rPr>
        <w:t xml:space="preserve">have acted as a </w:t>
      </w:r>
      <w:r w:rsidRPr="00066EF7">
        <w:rPr>
          <w:rStyle w:val="Emphasis"/>
        </w:rPr>
        <w:t>perverse form of "legislative constitutionalism"</w:t>
      </w:r>
      <w:r w:rsidRPr="00066EF7">
        <w:rPr>
          <w:rStyle w:val="StyleUnderline"/>
        </w:rPr>
        <w:t xml:space="preserve"> that signaled a </w:t>
      </w:r>
      <w:r w:rsidRPr="00066EF7">
        <w:rPr>
          <w:rStyle w:val="Emphasis"/>
        </w:rPr>
        <w:t>decreased need for state judicial monitoring of state-protected socio-economic guarantees</w:t>
      </w:r>
      <w:r>
        <w:t xml:space="preserve">. 247 </w:t>
      </w:r>
    </w:p>
    <w:p w:rsidR="00AB33B0" w:rsidRDefault="00AB33B0" w:rsidP="00AB33B0">
      <w:pPr>
        <w:pStyle w:val="Heading3"/>
      </w:pPr>
      <w:r>
        <w:t>AT regulations now trigger DAs to perm</w:t>
      </w:r>
    </w:p>
    <w:p w:rsidR="00AB33B0" w:rsidRDefault="00157B45" w:rsidP="00AB33B0">
      <w:pPr>
        <w:pStyle w:val="Heading4"/>
      </w:pPr>
      <w:r>
        <w:t xml:space="preserve">The federal government is </w:t>
      </w:r>
      <w:r w:rsidRPr="00157B45">
        <w:rPr>
          <w:u w:val="single"/>
        </w:rPr>
        <w:t>barely</w:t>
      </w:r>
      <w:r>
        <w:t xml:space="preserve"> involved now</w:t>
      </w:r>
      <w:r w:rsidR="00AB33B0">
        <w:t xml:space="preserve">, and </w:t>
      </w:r>
      <w:r>
        <w:t>empirical failures should make you skeptical of solvency</w:t>
      </w:r>
    </w:p>
    <w:p w:rsidR="00AB33B0" w:rsidRPr="00F87BD2" w:rsidRDefault="00AB33B0" w:rsidP="00AB33B0">
      <w:r w:rsidRPr="00F87BD2">
        <w:rPr>
          <w:rStyle w:val="Style13ptBold"/>
        </w:rPr>
        <w:t>Chopin 13</w:t>
      </w:r>
      <w:r>
        <w:t xml:space="preserve"> – JD, associate in the Labor &amp; Employment Law Department and a member of the Employee Benefits &amp; Executive Compensation Group, focusing on complex employee benefits litigation (Lindsey, “COMMENT: UNTANGLING PUBLIC SCHOOL GOVERNANCE: A PROPOSAL TO END MEANINGLESS FEDERAL REFORM AND STREAMLINE CONTROL IN STATE EDUCATION AGENCIES,” </w:t>
      </w:r>
      <w:r w:rsidRPr="00AA6669">
        <w:rPr>
          <w:i/>
        </w:rPr>
        <w:t>59</w:t>
      </w:r>
      <w:r>
        <w:t xml:space="preserve"> </w:t>
      </w:r>
      <w:r w:rsidRPr="00AA6669">
        <w:rPr>
          <w:i/>
        </w:rPr>
        <w:t>Loyola Law Review</w:t>
      </w:r>
      <w:r>
        <w:rPr>
          <w:i/>
        </w:rPr>
        <w:t xml:space="preserve"> 399</w:t>
      </w:r>
      <w:r>
        <w:t>, Lexis)//BB</w:t>
      </w:r>
    </w:p>
    <w:p w:rsidR="00AB33B0" w:rsidRDefault="00AB33B0" w:rsidP="00AB33B0">
      <w:r>
        <w:t>3. Is it Even Possible to Remove the Federal Role?</w:t>
      </w:r>
    </w:p>
    <w:p w:rsidR="00AB33B0" w:rsidRDefault="00AB33B0" w:rsidP="00AB33B0">
      <w:r>
        <w:t xml:space="preserve">Similar to the previous argument, </w:t>
      </w:r>
      <w:r w:rsidRPr="00652DBC">
        <w:rPr>
          <w:rStyle w:val="StyleUnderline"/>
        </w:rPr>
        <w:t>some will maintain that the federal government is too involved in education to be</w:t>
      </w:r>
      <w:r>
        <w:rPr>
          <w:rStyle w:val="StyleUnderline"/>
        </w:rPr>
        <w:t xml:space="preserve"> </w:t>
      </w:r>
      <w:r w:rsidRPr="00652DBC">
        <w:rPr>
          <w:rStyle w:val="StyleUnderline"/>
        </w:rPr>
        <w:t>removed</w:t>
      </w:r>
      <w:r>
        <w:t xml:space="preserve">. Without the federal government, things like funding under the ESEA and financial aid are not possible. Answers to these questions require a clear look at the federal role as it currently exists, as well as the proposed changes. First, recall that </w:t>
      </w:r>
      <w:r w:rsidRPr="00652DBC">
        <w:rPr>
          <w:rStyle w:val="StyleUnderline"/>
        </w:rPr>
        <w:t>federal funds only make up about ten percent of spending on education</w:t>
      </w:r>
      <w:r>
        <w:t xml:space="preserve"> - </w:t>
      </w:r>
      <w:r w:rsidRPr="00652DBC">
        <w:rPr>
          <w:rStyle w:val="StyleUnderline"/>
        </w:rPr>
        <w:t>a figure that has remained unchanged over the last century and a half</w:t>
      </w:r>
      <w:r>
        <w:t xml:space="preserve">. 275 While that percentage represents a large sum of money, </w:t>
      </w:r>
      <w:r w:rsidRPr="00652DBC">
        <w:rPr>
          <w:rStyle w:val="StyleUnderline"/>
        </w:rPr>
        <w:t>it will not be missed if the states are not wasting resources trying to keep up with federal reforms</w:t>
      </w:r>
      <w:r>
        <w:t>. 276 Second, this [*451] Comment points out that the federal government should step out of reform but not necessarily education itself. This Comment proposes to remove federal influence from educational policy and reform in public, K-12 schools. Therefore, this proposal has no bearing on financial aid for post-secondary education, nor does it even propose that funding for K-12 schools be reduced. If the federal government is comfortable providing funding to the schools without imposing intricate and intrusive reforms as the ones discussed above, it is free to do so under this proposal. V. CONCLUSION Recall the quotation at the beginning of this Comment: "[</w:t>
      </w:r>
      <w:r w:rsidRPr="00652DBC">
        <w:rPr>
          <w:rStyle w:val="StyleUnderline"/>
        </w:rPr>
        <w:t>Education] reform today is like a freight train," and it is</w:t>
      </w:r>
      <w:r>
        <w:rPr>
          <w:rStyle w:val="StyleUnderline"/>
        </w:rPr>
        <w:t xml:space="preserve"> </w:t>
      </w:r>
      <w:r w:rsidRPr="00652DBC">
        <w:rPr>
          <w:rStyle w:val="StyleUnderline"/>
        </w:rPr>
        <w:t>"going the wrong way</w:t>
      </w:r>
      <w:r>
        <w:t xml:space="preserve">." 277 The train started slowly with the dominance of profession reformers in the early twentieth century quietly defining the "right way" to operate a public school. It picked up steam as the skeptical public needed reassurance in the 1950s and 1960s. Finally, after the publication of A Nation at Risk, the train reached full speed, and has been barreling in the same direction ever since. Consequently, </w:t>
      </w:r>
      <w:r w:rsidRPr="00652DBC">
        <w:rPr>
          <w:rStyle w:val="StyleUnderline"/>
        </w:rPr>
        <w:t>the United States has been recycling reform after reform, frantically trying to repair the system</w:t>
      </w:r>
      <w:r>
        <w:t xml:space="preserve">. </w:t>
      </w:r>
      <w:r w:rsidRPr="00652DBC">
        <w:rPr>
          <w:rStyle w:val="StyleUnderline"/>
        </w:rPr>
        <w:t xml:space="preserve">These reforms have not been </w:t>
      </w:r>
      <w:r w:rsidRPr="002A6A66">
        <w:rPr>
          <w:rStyle w:val="StyleUnderline"/>
        </w:rPr>
        <w:t>effective</w:t>
      </w:r>
      <w:r>
        <w:t xml:space="preserve">, partly because they have questionable foundations in research, partly because there is no effective implementation scheme in place, and partly because they are being forced into schools that do not want to or are unable to make them work locally. </w:t>
      </w:r>
      <w:r w:rsidRPr="00652DBC">
        <w:rPr>
          <w:rStyle w:val="StyleUnderline"/>
        </w:rPr>
        <w:t>As the nation thinks about its next step in education, it must decide whether it wants to stop the train or let it plow</w:t>
      </w:r>
      <w:r>
        <w:rPr>
          <w:rStyle w:val="StyleUnderline"/>
        </w:rPr>
        <w:t xml:space="preserve"> </w:t>
      </w:r>
      <w:r w:rsidRPr="00652DBC">
        <w:rPr>
          <w:rStyle w:val="StyleUnderline"/>
        </w:rPr>
        <w:t xml:space="preserve">ahead. Moving forward on this track is not the answer, so </w:t>
      </w:r>
      <w:r w:rsidRPr="00652DBC">
        <w:rPr>
          <w:rStyle w:val="Emphasis"/>
        </w:rPr>
        <w:t>stopping</w:t>
      </w:r>
      <w:r w:rsidRPr="00652DBC">
        <w:rPr>
          <w:rStyle w:val="StyleUnderline"/>
        </w:rPr>
        <w:t xml:space="preserve"> is the only solution. </w:t>
      </w:r>
      <w:r w:rsidRPr="00652DBC">
        <w:rPr>
          <w:rStyle w:val="Emphasis"/>
        </w:rPr>
        <w:t>The federal government</w:t>
      </w:r>
      <w:r>
        <w:rPr>
          <w:rStyle w:val="Emphasis"/>
        </w:rPr>
        <w:t xml:space="preserve"> </w:t>
      </w:r>
      <w:r w:rsidRPr="00652DBC">
        <w:rPr>
          <w:rStyle w:val="Emphasis"/>
        </w:rPr>
        <w:t>must remove itself from education reform, and states must rise to the challenge of effecting meaningful change</w:t>
      </w:r>
      <w:r>
        <w:t>.</w:t>
      </w:r>
    </w:p>
    <w:p w:rsidR="00AB33B0" w:rsidRPr="00AB33B0" w:rsidRDefault="00AB33B0" w:rsidP="00AB33B0"/>
    <w:p w:rsidR="00C47278" w:rsidRPr="00AA0D15" w:rsidRDefault="00C47278" w:rsidP="00C47278">
      <w:pPr>
        <w:pStyle w:val="Heading2"/>
        <w:rPr>
          <w:rFonts w:cs="Times New Roman"/>
        </w:rPr>
      </w:pPr>
      <w:r w:rsidRPr="00AA0D15">
        <w:rPr>
          <w:rFonts w:cs="Times New Roman"/>
        </w:rPr>
        <w:t>GENERIC EVIDENCE</w:t>
      </w:r>
    </w:p>
    <w:p w:rsidR="001E1ACD" w:rsidRDefault="001E1ACD" w:rsidP="00C47278">
      <w:pPr>
        <w:pStyle w:val="Heading3"/>
        <w:rPr>
          <w:rFonts w:cs="Times New Roman"/>
        </w:rPr>
      </w:pPr>
      <w:r>
        <w:rPr>
          <w:rFonts w:cs="Times New Roman"/>
        </w:rPr>
        <w:t>Theory – state education good</w:t>
      </w:r>
    </w:p>
    <w:p w:rsidR="001E1ACD" w:rsidRDefault="001E1ACD" w:rsidP="001E1ACD">
      <w:pPr>
        <w:pStyle w:val="Heading4"/>
      </w:pPr>
      <w:r>
        <w:t>State education is good</w:t>
      </w:r>
    </w:p>
    <w:p w:rsidR="001E1ACD" w:rsidRPr="00050E5F" w:rsidRDefault="001E1ACD" w:rsidP="001E1ACD">
      <w:r w:rsidRPr="0008134C">
        <w:rPr>
          <w:rStyle w:val="Style13ptBold"/>
        </w:rPr>
        <w:t>Shober 10</w:t>
      </w:r>
      <w:r>
        <w:t xml:space="preserve"> – PhD, professor of government @ Lawrence U (Arnold, “Splintered Accountability State Governance and Education Reform,” State University of New York Press, p. 7)//BB</w:t>
      </w:r>
    </w:p>
    <w:p w:rsidR="001E1ACD" w:rsidRPr="001E1ACD" w:rsidRDefault="001E1ACD" w:rsidP="001E1ACD">
      <w:r>
        <w:t xml:space="preserve">Beyond their role as administrators, </w:t>
      </w:r>
      <w:r w:rsidRPr="00CF0922">
        <w:rPr>
          <w:rStyle w:val="StyleUnderline"/>
        </w:rPr>
        <w:t>states have a special position</w:t>
      </w:r>
      <w:r>
        <w:rPr>
          <w:rStyle w:val="StyleUnderline"/>
        </w:rPr>
        <w:t xml:space="preserve"> </w:t>
      </w:r>
      <w:r w:rsidRPr="00CF0922">
        <w:rPr>
          <w:rStyle w:val="StyleUnderline"/>
        </w:rPr>
        <w:t xml:space="preserve">in federal politics that makes them a </w:t>
      </w:r>
      <w:r w:rsidRPr="00CF0922">
        <w:rPr>
          <w:rStyle w:val="Emphasis"/>
        </w:rPr>
        <w:t>valuable site for the study</w:t>
      </w:r>
      <w:r>
        <w:rPr>
          <w:rStyle w:val="Emphasis"/>
        </w:rPr>
        <w:t xml:space="preserve"> </w:t>
      </w:r>
      <w:r w:rsidRPr="00CF0922">
        <w:rPr>
          <w:rStyle w:val="Emphasis"/>
        </w:rPr>
        <w:t>of American public policy and bureaucracy generally</w:t>
      </w:r>
      <w:r>
        <w:t xml:space="preserve">. </w:t>
      </w:r>
      <w:r w:rsidRPr="00CF0922">
        <w:rPr>
          <w:rStyle w:val="StyleUnderline"/>
        </w:rPr>
        <w:t>Not only do they</w:t>
      </w:r>
      <w:r>
        <w:rPr>
          <w:rStyle w:val="StyleUnderline"/>
        </w:rPr>
        <w:t xml:space="preserve"> </w:t>
      </w:r>
      <w:r w:rsidRPr="00CF0922">
        <w:rPr>
          <w:rStyle w:val="StyleUnderline"/>
        </w:rPr>
        <w:t>share substantial governing characteristics with the federal government,</w:t>
      </w:r>
      <w:r>
        <w:rPr>
          <w:rStyle w:val="StyleUnderline"/>
        </w:rPr>
        <w:t xml:space="preserve"> </w:t>
      </w:r>
      <w:r w:rsidRPr="00CF0922">
        <w:rPr>
          <w:rStyle w:val="StyleUnderline"/>
        </w:rPr>
        <w:t>but they have unique informational and political advantages over both</w:t>
      </w:r>
      <w:r>
        <w:rPr>
          <w:rStyle w:val="StyleUnderline"/>
        </w:rPr>
        <w:t xml:space="preserve"> </w:t>
      </w:r>
      <w:r w:rsidRPr="00CF0922">
        <w:rPr>
          <w:rStyle w:val="StyleUnderline"/>
        </w:rPr>
        <w:t>school districts and the federal government</w:t>
      </w:r>
      <w:r>
        <w:t>. Further, federalism endows state-level bureaucracies (as opposed to state government generally) with leverage over local governments and perhaps over state legislatures as well. These will be detailed in turn.</w:t>
      </w:r>
    </w:p>
    <w:p w:rsidR="00C47278" w:rsidRPr="00AA0D15" w:rsidRDefault="00C47278" w:rsidP="00C47278">
      <w:pPr>
        <w:pStyle w:val="Heading3"/>
        <w:rPr>
          <w:rFonts w:cs="Times New Roman"/>
        </w:rPr>
      </w:pPr>
      <w:r w:rsidRPr="00AA0D15">
        <w:rPr>
          <w:rFonts w:cs="Times New Roman"/>
        </w:rPr>
        <w:t>Theory – AT no lit</w:t>
      </w:r>
    </w:p>
    <w:p w:rsidR="00C47278" w:rsidRPr="00AA0D15" w:rsidRDefault="00C47278" w:rsidP="00C47278">
      <w:pPr>
        <w:pStyle w:val="Heading4"/>
        <w:rPr>
          <w:rFonts w:cs="Times New Roman"/>
        </w:rPr>
      </w:pPr>
      <w:r w:rsidRPr="00AA0D15">
        <w:rPr>
          <w:rFonts w:cs="Times New Roman"/>
        </w:rPr>
        <w:t xml:space="preserve">50 state fiat is a </w:t>
      </w:r>
      <w:r w:rsidRPr="00343C60">
        <w:rPr>
          <w:rFonts w:cs="Times New Roman"/>
          <w:u w:val="single"/>
        </w:rPr>
        <w:t>real process</w:t>
      </w:r>
      <w:r w:rsidRPr="00AA0D15">
        <w:rPr>
          <w:rFonts w:cs="Times New Roman"/>
        </w:rPr>
        <w:t xml:space="preserve"> in the context of education reform --- NGA provides a forum</w:t>
      </w:r>
    </w:p>
    <w:p w:rsidR="00C47278" w:rsidRPr="00AA0D15" w:rsidRDefault="00C47278" w:rsidP="00C47278">
      <w:r w:rsidRPr="00343C60">
        <w:rPr>
          <w:rStyle w:val="Style13ptBold"/>
        </w:rPr>
        <w:t>Theobald and Malen 2013</w:t>
      </w:r>
      <w:r w:rsidRPr="00AA0D15">
        <w:rPr>
          <w:b/>
        </w:rPr>
        <w:t xml:space="preserve"> – </w:t>
      </w:r>
      <w:r w:rsidRPr="00AA0D15">
        <w:t>Malen, education PhD, professor at University of Maryland. Theobald, PhD, previously prof of education at Indiana, President of Temple University when book was written.  (Neil D. Theobald, Betty Malen, Oct 18, “Balancing Local Control and State Responsibility for K-12 Education”, pages 135-137, Google Books)//ET</w:t>
      </w:r>
    </w:p>
    <w:p w:rsidR="00C47278" w:rsidRPr="00F65918" w:rsidRDefault="00C47278" w:rsidP="00C47278">
      <w:pPr>
        <w:rPr>
          <w:b/>
          <w:sz w:val="22"/>
          <w:u w:val="single"/>
        </w:rPr>
      </w:pPr>
      <w:r w:rsidRPr="00F65918">
        <w:t>THE GROWTH OF THE INTERGOVERNMENTAL LORRY Another factor in the increasing power of state governments is the intergovernmental lobby and related organizations. Throughout most of American history, state governments operated in relative isolation from each other. The "</w:t>
      </w:r>
      <w:r w:rsidRPr="00F65918">
        <w:rPr>
          <w:sz w:val="22"/>
          <w:u w:val="single"/>
        </w:rPr>
        <w:t>Good-time Char-lie" governors and part-time legislators of the past lacked the time and resources—and perhaps the inclination—to cooperate with each</w:t>
      </w:r>
      <w:r w:rsidRPr="00F65918">
        <w:t xml:space="preserve"> other to push for specific policy agendas in many states at the same time. </w:t>
      </w:r>
      <w:r w:rsidRPr="00F65918">
        <w:rPr>
          <w:b/>
          <w:sz w:val="22"/>
          <w:u w:val="single"/>
        </w:rPr>
        <w:t>Recent decades,</w:t>
      </w:r>
      <w:r w:rsidRPr="00F65918">
        <w:t xml:space="preserve"> however, </w:t>
      </w:r>
      <w:r w:rsidRPr="00F65918">
        <w:rPr>
          <w:b/>
          <w:sz w:val="22"/>
          <w:u w:val="single"/>
        </w:rPr>
        <w:t>have seen the growth of "intergovernmental'. lobbying groups that permit state governments to work together to influence state</w:t>
      </w:r>
      <w:r w:rsidRPr="00F65918">
        <w:t xml:space="preserve"> and national </w:t>
      </w:r>
      <w:r w:rsidRPr="00F65918">
        <w:rPr>
          <w:b/>
          <w:sz w:val="22"/>
          <w:u w:val="single"/>
        </w:rPr>
        <w:t>policy</w:t>
      </w:r>
      <w:r w:rsidRPr="00F65918">
        <w:t>. Th</w:t>
      </w:r>
      <w:r w:rsidRPr="00F65918">
        <w:rPr>
          <w:sz w:val="22"/>
          <w:u w:val="single"/>
        </w:rPr>
        <w:t xml:space="preserve">ree especially influential groups of this type are the National Governors. Association (NGA), the National Conference of State Legislatures, and the Council of State Governments. These organizations facilitate the exchange of information among state leaders and provide a vehicle both for </w:t>
      </w:r>
      <w:r w:rsidRPr="00F65918">
        <w:rPr>
          <w:b/>
          <w:sz w:val="22"/>
          <w:u w:val="single"/>
        </w:rPr>
        <w:t>coordinating state policy change</w:t>
      </w:r>
      <w:r w:rsidRPr="00F65918">
        <w:t xml:space="preserve"> and lobbying in Washington (Bowman and Kearney 1986). </w:t>
      </w:r>
      <w:r w:rsidRPr="00F65918">
        <w:rPr>
          <w:sz w:val="22"/>
          <w:u w:val="single"/>
        </w:rPr>
        <w:t>The activities of the NGA illustrate how the intergovernmental lobby works</w:t>
      </w:r>
      <w:r w:rsidRPr="00F65918">
        <w:t xml:space="preserve">. The NGA.s head-quarters are in Washington, D. C. where it had ninety staff members in 1996. These professionals were divided into been branches: state service, research, and lobbying. Every year </w:t>
      </w:r>
      <w:r w:rsidRPr="00F65918">
        <w:rPr>
          <w:sz w:val="22"/>
          <w:u w:val="single"/>
        </w:rPr>
        <w:t>the NGA holds a conference for governors where up-to-date information on new state policy initiatives is exchanged and governors can talk and plan</w:t>
      </w:r>
      <w:r w:rsidRPr="00F65918">
        <w:t xml:space="preserve">. </w:t>
      </w:r>
      <w:r w:rsidRPr="00F65918">
        <w:rPr>
          <w:b/>
          <w:sz w:val="22"/>
          <w:u w:val="single"/>
        </w:rPr>
        <w:t>The NGA has been especially interested in education policy</w:t>
      </w:r>
      <w:r w:rsidRPr="00F65918">
        <w:t xml:space="preserve">; in fact, </w:t>
      </w:r>
      <w:r w:rsidRPr="00F65918">
        <w:rPr>
          <w:b/>
          <w:sz w:val="22"/>
          <w:u w:val="single"/>
        </w:rPr>
        <w:t>its first study of a key state policy area</w:t>
      </w:r>
      <w:r w:rsidRPr="00F65918">
        <w:t xml:space="preserve">, conducted in 1986, </w:t>
      </w:r>
      <w:r w:rsidRPr="00F65918">
        <w:rPr>
          <w:b/>
          <w:sz w:val="22"/>
          <w:u w:val="single"/>
        </w:rPr>
        <w:t xml:space="preserve">focused on education </w:t>
      </w:r>
      <w:r w:rsidRPr="00F65918">
        <w:t xml:space="preserve">(Beyle 1996; Fowler 2000). , . </w:t>
      </w:r>
      <w:r w:rsidRPr="00F65918">
        <w:rPr>
          <w:sz w:val="22"/>
          <w:u w:val="single"/>
        </w:rPr>
        <w:t>The work of the intergovernmental lobby in education policy is greatly enhanced by the Education Commission of the States</w:t>
      </w:r>
      <w:r w:rsidRPr="00F65918">
        <w:t xml:space="preserve"> (ECS). This organization is a policy network that the National Governors’ Conference set up in 1966. Its headquarters are in Denver, and both the federal government and foundations finance it. Every year it convenes a national meeting on education policy which state school superintendents, governors, state legislators, and other top leaders attend. There they are briefed on the latest ideas in education policy and hear reports about the successor failure of policies in various states. </w:t>
      </w:r>
      <w:r w:rsidRPr="00F65918">
        <w:rPr>
          <w:sz w:val="22"/>
          <w:u w:val="single"/>
        </w:rPr>
        <w:t xml:space="preserve">The ECS also has an ambitious research agenda and publishes reports on the status of various education policies in the </w:t>
      </w:r>
      <w:r w:rsidRPr="00F65918">
        <w:rPr>
          <w:b/>
          <w:sz w:val="22"/>
          <w:u w:val="single"/>
        </w:rPr>
        <w:t>50 states</w:t>
      </w:r>
      <w:r w:rsidRPr="00F65918">
        <w:t xml:space="preserve"> (Fowler, Press). Since effective organization is a major source of power, </w:t>
      </w:r>
      <w:r w:rsidRPr="00F65918">
        <w:rPr>
          <w:sz w:val="22"/>
          <w:u w:val="single"/>
        </w:rPr>
        <w:t>the development of the intergovernmental lobby has further enhanced the power of state governments</w:t>
      </w:r>
      <w:r w:rsidRPr="00F65918">
        <w:t xml:space="preserve">. </w:t>
      </w:r>
      <w:r w:rsidRPr="00F65918">
        <w:rPr>
          <w:b/>
          <w:sz w:val="22"/>
          <w:u w:val="single"/>
        </w:rPr>
        <w:t xml:space="preserve">Working collaborative-ly through these organizations, the states have been able to advance </w:t>
      </w:r>
      <w:r w:rsidRPr="00F65918">
        <w:rPr>
          <w:sz w:val="22"/>
          <w:u w:val="single"/>
        </w:rPr>
        <w:t xml:space="preserve">multifaceted policy agenda, including </w:t>
      </w:r>
      <w:r w:rsidRPr="00F65918">
        <w:rPr>
          <w:b/>
          <w:sz w:val="22"/>
          <w:u w:val="single"/>
        </w:rPr>
        <w:t xml:space="preserve">education re-form, with considerable success. </w:t>
      </w:r>
    </w:p>
    <w:p w:rsidR="00C47278" w:rsidRPr="00AA0D15" w:rsidRDefault="00C47278" w:rsidP="00C47278">
      <w:pPr>
        <w:pStyle w:val="Heading4"/>
        <w:rPr>
          <w:rFonts w:cs="Times New Roman"/>
        </w:rPr>
      </w:pPr>
      <w:r w:rsidRPr="00AA0D15">
        <w:rPr>
          <w:rFonts w:cs="Times New Roman"/>
        </w:rPr>
        <w:t xml:space="preserve">50 State interstate compacts have empirically happened </w:t>
      </w:r>
    </w:p>
    <w:p w:rsidR="00C47278" w:rsidRPr="00AA0D15" w:rsidRDefault="00343C60" w:rsidP="00C47278">
      <w:r>
        <w:rPr>
          <w:b/>
        </w:rPr>
        <w:t xml:space="preserve">MECC 10 – </w:t>
      </w:r>
      <w:r w:rsidR="00C47278" w:rsidRPr="00343C60">
        <w:t>Military Education Child Coalition 2010 (May 13</w:t>
      </w:r>
      <w:r w:rsidR="00C47278" w:rsidRPr="00AA0D15">
        <w:t>, “The Interstate Compact on Educational Opportunity for Military Children”,  http://www.militarychild.org/the-interstate-compact-on-educational-opportunity-for-military-children-see)//ET</w:t>
      </w:r>
    </w:p>
    <w:p w:rsidR="00C47278" w:rsidRPr="00343C60" w:rsidRDefault="00C47278" w:rsidP="00C47278">
      <w:pPr>
        <w:rPr>
          <w:sz w:val="22"/>
          <w:u w:val="single"/>
        </w:rPr>
      </w:pPr>
      <w:r w:rsidRPr="00343C60">
        <w:rPr>
          <w:b/>
          <w:sz w:val="22"/>
          <w:u w:val="single"/>
        </w:rPr>
        <w:t>All 50 states have signed the Interstate Compact on Educational Opportunity for Military Children</w:t>
      </w:r>
      <w:r w:rsidRPr="00343C60">
        <w:t xml:space="preserve">. The goal of the compact is to replace the widely varying policies affecting transitioning military students. </w:t>
      </w:r>
      <w:r w:rsidRPr="00343C60">
        <w:rPr>
          <w:b/>
          <w:sz w:val="22"/>
          <w:u w:val="single"/>
        </w:rPr>
        <w:t xml:space="preserve">The compact leverages consistency: </w:t>
      </w:r>
      <w:r w:rsidRPr="00343C60">
        <w:rPr>
          <w:sz w:val="22"/>
          <w:u w:val="single"/>
        </w:rPr>
        <w:t xml:space="preserve">  -  </w:t>
      </w:r>
      <w:r w:rsidRPr="00343C60">
        <w:rPr>
          <w:b/>
          <w:sz w:val="22"/>
          <w:u w:val="single"/>
        </w:rPr>
        <w:t>It uses a comprehensive approach that provides a consistent policy in every school district and in every state that chooses to join.  -</w:t>
      </w:r>
      <w:r w:rsidRPr="00343C60">
        <w:rPr>
          <w:sz w:val="22"/>
          <w:u w:val="single"/>
        </w:rPr>
        <w:t xml:space="preserve"> The compact addresses key educational transition issues encountered by military families including enrollment, placement, attendance, eligibility and graduation. - Children of active duty members of the uniformed services, National Guard and Reserve on active duty orders, and members or veterans who are medically discharged or retired for one year are eligible for assistance under the compact.</w:t>
      </w:r>
    </w:p>
    <w:p w:rsidR="00C47278" w:rsidRDefault="001E1ACD" w:rsidP="001E1ACD">
      <w:pPr>
        <w:pStyle w:val="Heading3"/>
      </w:pPr>
      <w:r>
        <w:t>Solvency – percolation</w:t>
      </w:r>
    </w:p>
    <w:p w:rsidR="001E1ACD" w:rsidRDefault="001E1ACD" w:rsidP="001E1ACD">
      <w:pPr>
        <w:pStyle w:val="Heading4"/>
      </w:pPr>
      <w:r>
        <w:t>The counterplan percolates, but federal mandates cause states to drag their feet</w:t>
      </w:r>
    </w:p>
    <w:p w:rsidR="001E1ACD" w:rsidRPr="00050E5F" w:rsidRDefault="001E1ACD" w:rsidP="001E1ACD">
      <w:r w:rsidRPr="0008134C">
        <w:rPr>
          <w:rStyle w:val="Style13ptBold"/>
        </w:rPr>
        <w:t>Shober 10</w:t>
      </w:r>
      <w:r>
        <w:t xml:space="preserve"> – PhD, professor of government @ Lawrence U (Arnold, “Splintered Accountability State Governance and Education Reform,” State University of New York Press, p. 16)</w:t>
      </w:r>
      <w:r w:rsidR="000C0E68">
        <w:t>//BB</w:t>
      </w:r>
    </w:p>
    <w:p w:rsidR="001E1ACD" w:rsidRDefault="001E1ACD" w:rsidP="001E1ACD">
      <w:r>
        <w:t xml:space="preserve">Third, </w:t>
      </w:r>
      <w:r w:rsidRPr="00923E87">
        <w:rPr>
          <w:rStyle w:val="StyleUnderline"/>
        </w:rPr>
        <w:t xml:space="preserve">the federal government has </w:t>
      </w:r>
      <w:r w:rsidRPr="00923E87">
        <w:rPr>
          <w:rStyle w:val="Emphasis"/>
        </w:rPr>
        <w:t>repeatedly</w:t>
      </w:r>
      <w:r w:rsidRPr="00923E87">
        <w:rPr>
          <w:rStyle w:val="StyleUnderline"/>
        </w:rPr>
        <w:t xml:space="preserve"> taken ideas from</w:t>
      </w:r>
      <w:r>
        <w:rPr>
          <w:rStyle w:val="StyleUnderline"/>
        </w:rPr>
        <w:t xml:space="preserve"> </w:t>
      </w:r>
      <w:r w:rsidRPr="00923E87">
        <w:rPr>
          <w:rStyle w:val="StyleUnderline"/>
        </w:rPr>
        <w:t xml:space="preserve">the states to </w:t>
      </w:r>
      <w:r w:rsidRPr="000C0E68">
        <w:rPr>
          <w:rStyle w:val="Emphasis"/>
        </w:rPr>
        <w:t>expand them at the national level</w:t>
      </w:r>
      <w:r w:rsidRPr="00923E87">
        <w:rPr>
          <w:rStyle w:val="StyleUnderline"/>
        </w:rPr>
        <w:t>. There is a large literature</w:t>
      </w:r>
      <w:r>
        <w:rPr>
          <w:rStyle w:val="StyleUnderline"/>
        </w:rPr>
        <w:t xml:space="preserve"> </w:t>
      </w:r>
      <w:r w:rsidRPr="00923E87">
        <w:rPr>
          <w:rStyle w:val="StyleUnderline"/>
        </w:rPr>
        <w:t>that asks whether federalism is cooperative or combative. If it were cooperative, then the states and the federal government would act in concert to design and implement the most agreeable policies. If it were combative, then states and localities would drag their feet and use administrative and legal recourse to hamper implementation</w:t>
      </w:r>
      <w:r w:rsidRPr="00923E87">
        <w:t xml:space="preserve"> (see</w:t>
      </w:r>
      <w:r>
        <w:t xml:space="preserve"> </w:t>
      </w:r>
      <w:r w:rsidRPr="00923E87">
        <w:t xml:space="preserve">Gormley 2006; Agranoff and McGuire 2001). </w:t>
      </w:r>
      <w:r w:rsidRPr="000C0E68">
        <w:rPr>
          <w:rStyle w:val="Emphasis"/>
        </w:rPr>
        <w:t>In either case, the federal government must be responsive to state preferences</w:t>
      </w:r>
      <w:r w:rsidRPr="00923E87">
        <w:t>. In education, an</w:t>
      </w:r>
      <w:r>
        <w:t xml:space="preserve"> </w:t>
      </w:r>
      <w:r w:rsidRPr="00923E87">
        <w:t>“equality of outcomes” requirement, similar to Outcomes-Based Education</w:t>
      </w:r>
      <w:r>
        <w:t xml:space="preserve"> </w:t>
      </w:r>
      <w:r w:rsidRPr="00923E87">
        <w:t>that nearly appeared in Ohio (see chapter 6), was taken out of</w:t>
      </w:r>
      <w:r>
        <w:t xml:space="preserve"> </w:t>
      </w:r>
      <w:r w:rsidRPr="00923E87">
        <w:t>the 1994 ESEA reauthorization when state departments of education</w:t>
      </w:r>
      <w:r>
        <w:t xml:space="preserve"> </w:t>
      </w:r>
      <w:r w:rsidRPr="00923E87">
        <w:t>complained (Jennings 1998). And throughout</w:t>
      </w:r>
      <w:r>
        <w:t xml:space="preserve"> the life of the ESEA, the state has been responsible for designing standards and creating (or buying) the tests. Testing may be a major federal requirement with NCLB, but allowing the state to dictate what is actually on that test is a major concession. Thus state departments retained considerable freedom, despite federal demands.</w:t>
      </w:r>
    </w:p>
    <w:p w:rsidR="001E1ACD" w:rsidRPr="00287CE6" w:rsidRDefault="001E1ACD" w:rsidP="001E1ACD">
      <w:pPr>
        <w:pStyle w:val="Heading4"/>
      </w:pPr>
      <w:r>
        <w:t>State experimentation spills up</w:t>
      </w:r>
    </w:p>
    <w:p w:rsidR="001E1ACD" w:rsidRDefault="001E1ACD" w:rsidP="001E1ACD">
      <w:r w:rsidRPr="004B2511">
        <w:rPr>
          <w:rStyle w:val="Style13ptBold"/>
        </w:rPr>
        <w:t>Adler 12</w:t>
      </w:r>
      <w:r>
        <w:t xml:space="preserve"> - Professor of Law and Director of the Center for Business Law &amp; Regulation, Case Western Reserve University School of Law (Jonathan</w:t>
      </w:r>
      <w:r w:rsidRPr="004B2511">
        <w:t xml:space="preserve">, “INTERSTATE COMPETITION AND THE RACE TO THE TOP” </w:t>
      </w:r>
      <w:r w:rsidRPr="00C867A6">
        <w:rPr>
          <w:i/>
        </w:rPr>
        <w:t>Case Western Reserve School of Law Faculty Publications</w:t>
      </w:r>
      <w:r>
        <w:t>, p. 95)</w:t>
      </w:r>
    </w:p>
    <w:p w:rsidR="001E1ACD" w:rsidRPr="001E1ACD" w:rsidRDefault="001E1ACD" w:rsidP="001E1ACD">
      <w:r w:rsidRPr="004F5AD2">
        <w:t xml:space="preserve">Not only does decentralization enable policymakers to take advantage of localized information about policy problems and their potential solutions, but </w:t>
      </w:r>
      <w:r w:rsidRPr="004F5AD2">
        <w:rPr>
          <w:rStyle w:val="StyleUnderline"/>
        </w:rPr>
        <w:t>decentralization</w:t>
      </w:r>
      <w:r w:rsidRPr="004F5AD2">
        <w:t xml:space="preserve"> and interjurisdictional competition also </w:t>
      </w:r>
      <w:r w:rsidRPr="004F5AD2">
        <w:rPr>
          <w:rStyle w:val="StyleUnderline"/>
        </w:rPr>
        <w:t>foster policy discovery and policy entrepreneurship</w:t>
      </w:r>
      <w:r w:rsidRPr="004F5AD2">
        <w:t xml:space="preserve">. </w:t>
      </w:r>
      <w:r w:rsidRPr="004F5AD2">
        <w:rPr>
          <w:rStyle w:val="StyleUnderline"/>
        </w:rPr>
        <w:t>Decentralization allows for states to act</w:t>
      </w:r>
      <w:r w:rsidRPr="004F5AD2">
        <w:t xml:space="preserve">, in Justice Brandeis’s famous characterization, </w:t>
      </w:r>
      <w:r w:rsidRPr="004F5AD2">
        <w:rPr>
          <w:rStyle w:val="StyleUnderline"/>
        </w:rPr>
        <w:t>as “laboratories of democracy.”</w:t>
      </w:r>
      <w:r w:rsidRPr="004F5AD2">
        <w:t xml:space="preserve">32 Different states may adopt different approaches to various public policy concerns, whether because of regional differences, variable preferences, or different expectations about the viability or practicality of competing policy approaches. </w:t>
      </w:r>
      <w:r w:rsidRPr="004F5AD2">
        <w:rPr>
          <w:rStyle w:val="StyleUnderline"/>
        </w:rPr>
        <w:t>State</w:t>
      </w:r>
      <w:r w:rsidRPr="004F5AD2">
        <w:rPr>
          <w:rStyle w:val="StyleUnderline"/>
          <w:rFonts w:ascii="Cambria Math" w:hAnsi="Cambria Math" w:cs="Cambria Math"/>
        </w:rPr>
        <w:t>‐</w:t>
      </w:r>
      <w:r w:rsidRPr="004F5AD2">
        <w:rPr>
          <w:rStyle w:val="StyleUnderline"/>
        </w:rPr>
        <w:t>level policy initiatives often are experiments from which others may learn. States learn from each others’ successes and failures, fostering an iterative process through which state</w:t>
      </w:r>
      <w:r w:rsidRPr="004F5AD2">
        <w:rPr>
          <w:rStyle w:val="StyleUnderline"/>
          <w:rFonts w:ascii="Cambria Math" w:hAnsi="Cambria Math" w:cs="Cambria Math"/>
        </w:rPr>
        <w:t>‐</w:t>
      </w:r>
      <w:r w:rsidRPr="004F5AD2">
        <w:rPr>
          <w:rStyle w:val="StyleUnderline"/>
        </w:rPr>
        <w:t>level policy can improve over time. Allowing state</w:t>
      </w:r>
      <w:r w:rsidRPr="004F5AD2">
        <w:rPr>
          <w:rStyle w:val="StyleUnderline"/>
          <w:rFonts w:ascii="Cambria Math" w:hAnsi="Cambria Math" w:cs="Cambria Math"/>
        </w:rPr>
        <w:t>‐</w:t>
      </w:r>
      <w:r w:rsidRPr="004F5AD2">
        <w:rPr>
          <w:rStyle w:val="StyleUnderline"/>
        </w:rPr>
        <w:t>level experimentation also reduces the risks of policy failures. When states try different things, all of the proverbial eggs are not in a single basket</w:t>
      </w:r>
      <w:r w:rsidRPr="004F5AD2">
        <w:t xml:space="preserve">. </w:t>
      </w:r>
      <w:r w:rsidRPr="004F5AD2">
        <w:rPr>
          <w:rStyle w:val="StyleUnderline"/>
        </w:rPr>
        <w:t xml:space="preserve">If the policy succeeds, other states retain the ability to follow suit (as does the federal government, which has </w:t>
      </w:r>
      <w:r w:rsidRPr="004F5AD2">
        <w:rPr>
          <w:rStyle w:val="Emphasis"/>
        </w:rPr>
        <w:t>often modeled federal measures on successful state initiatives</w:t>
      </w:r>
      <w:r w:rsidRPr="004F5AD2">
        <w:rPr>
          <w:rStyle w:val="StyleUnderline"/>
        </w:rPr>
        <w:t>)</w:t>
      </w:r>
      <w:r w:rsidRPr="004F5AD2">
        <w:t>.33 If the policy fails, however, only one jurisdiction must undo it, and others can learn to avoid such mistakes. This discovery process can be slow and messy, but the federal alternative—as it exists in practice—is no better. Even though there is a strong case for presuming that decentralization is favorable, it is rebuttable. Leaving policy questions in state hands might be desirable more often than not, but in some instances there are persuasive justifications for federal intervention. Appropriate federal intervention can even reinforce the competitive dynamic across jurisdictions.</w:t>
      </w:r>
    </w:p>
    <w:p w:rsidR="00C47278" w:rsidRPr="00AA0D15" w:rsidRDefault="00C47278" w:rsidP="00C47278">
      <w:pPr>
        <w:pStyle w:val="Heading3"/>
        <w:rPr>
          <w:rFonts w:cs="Times New Roman"/>
        </w:rPr>
      </w:pPr>
      <w:r w:rsidRPr="00AA0D15">
        <w:rPr>
          <w:rFonts w:cs="Times New Roman"/>
        </w:rPr>
        <w:t>AT feds block the CP</w:t>
      </w:r>
    </w:p>
    <w:p w:rsidR="00C47278" w:rsidRPr="00AA0D15" w:rsidRDefault="00C47278" w:rsidP="00C47278">
      <w:pPr>
        <w:pStyle w:val="Heading4"/>
        <w:rPr>
          <w:rFonts w:cs="Times New Roman"/>
        </w:rPr>
      </w:pPr>
      <w:r w:rsidRPr="00AA0D15">
        <w:rPr>
          <w:rFonts w:cs="Times New Roman"/>
        </w:rPr>
        <w:t>Feds won’t block the CP---the current administration wants a hands off, states-first approach to education</w:t>
      </w:r>
    </w:p>
    <w:p w:rsidR="00C47278" w:rsidRPr="00AA0D15" w:rsidRDefault="00C47278" w:rsidP="00C47278">
      <w:r w:rsidRPr="00AA0D15">
        <w:rPr>
          <w:rStyle w:val="Style13ptBold"/>
        </w:rPr>
        <w:t xml:space="preserve">Jacob 17 </w:t>
      </w:r>
      <w:r w:rsidRPr="00AA0D15">
        <w:t>(Brian A. Jacob Nonresident Senior Fellow - Economic Studies, Center on Children and Families, “How the U.S. Department of Education can foster education reform in the era of Trump and ESSA” Brookings, 2/2/17. https://www.brookings.edu/research/how-the-u-s-department-of-education-can-foster-education-reform-in-the-era-of-trump-and-essa/) GG</w:t>
      </w:r>
    </w:p>
    <w:p w:rsidR="00C47278" w:rsidRPr="00AA0D15" w:rsidRDefault="00C47278" w:rsidP="00C47278">
      <w:r w:rsidRPr="00AA0D15">
        <w:rPr>
          <w:rStyle w:val="StyleUnderline"/>
        </w:rPr>
        <w:t>The current administration has</w:t>
      </w:r>
      <w:r w:rsidRPr="00AA0D15">
        <w:t xml:space="preserve"> </w:t>
      </w:r>
      <w:r w:rsidRPr="00AA0D15">
        <w:rPr>
          <w:rStyle w:val="Emphasis"/>
        </w:rPr>
        <w:t>vowed to leave education matters up to the states</w:t>
      </w:r>
      <w:r w:rsidRPr="00AA0D15">
        <w:t xml:space="preserve">, </w:t>
      </w:r>
      <w:r w:rsidRPr="00AA0D15">
        <w:rPr>
          <w:rStyle w:val="StyleUnderline"/>
        </w:rPr>
        <w:t>continuing a movement started with the</w:t>
      </w:r>
      <w:r w:rsidRPr="00AA0D15">
        <w:t xml:space="preserve"> Every Student Succeeds Act (</w:t>
      </w:r>
      <w:r w:rsidRPr="00AA0D15">
        <w:rPr>
          <w:rStyle w:val="StyleUnderline"/>
        </w:rPr>
        <w:t>ESSA</w:t>
      </w:r>
      <w:r w:rsidRPr="00AA0D15">
        <w:t xml:space="preserve">), </w:t>
      </w:r>
      <w:r w:rsidRPr="00AA0D15">
        <w:rPr>
          <w:rStyle w:val="StyleUnderline"/>
        </w:rPr>
        <w:t>which</w:t>
      </w:r>
      <w:r w:rsidRPr="00AA0D15">
        <w:t xml:space="preserve"> dramatically </w:t>
      </w:r>
      <w:r w:rsidRPr="00AA0D15">
        <w:rPr>
          <w:rStyle w:val="StyleUnderline"/>
        </w:rPr>
        <w:t>limited the federal government’s role in school accountability</w:t>
      </w:r>
      <w:r w:rsidRPr="00AA0D15">
        <w:t xml:space="preserve">. While greater local control certainly has some benefits, it risks exacerbating the massive disparities in educational performance across states that already exists. 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 The Department of Education (DoED) should take steps to highlight these disparities by identifying the lowest performing states and providing information on the status and progress of all states on a variety of educational metrics. The DoED might also provide modest funding and technical assistance to help demographically similar states work together to improve their public education systems. </w:t>
      </w:r>
      <w:r w:rsidRPr="00AA0D15">
        <w:rPr>
          <w:rStyle w:val="StyleUnderline"/>
        </w:rPr>
        <w:t xml:space="preserve">On the campaign trail, President Trump often called for </w:t>
      </w:r>
      <w:r w:rsidRPr="00AA0D15">
        <w:rPr>
          <w:rStyle w:val="Emphasis"/>
        </w:rPr>
        <w:t>giving more discretion over education policy to states and localities</w:t>
      </w:r>
      <w:r w:rsidRPr="00AA0D15">
        <w:rPr>
          <w:rStyle w:val="StyleUnderline"/>
        </w:rPr>
        <w:t>, critiquing Common Core and what he viewed as other instances of federal overreach</w:t>
      </w:r>
      <w:r w:rsidRPr="00AA0D15">
        <w:t xml:space="preserve">. In her recent confirmation hearing, President Trump’s nominee for Education Secretary—Betsy </w:t>
      </w:r>
      <w:r w:rsidRPr="00AA0D15">
        <w:rPr>
          <w:rStyle w:val="StyleUnderline"/>
        </w:rPr>
        <w:t>DeVos</w:t>
      </w:r>
      <w:r w:rsidRPr="00AA0D15">
        <w:t>—</w:t>
      </w:r>
      <w:r w:rsidRPr="00AA0D15">
        <w:rPr>
          <w:rStyle w:val="StyleUnderline"/>
        </w:rPr>
        <w:t>repeatedly argued for leaving education matters up to the states</w:t>
      </w:r>
      <w:r w:rsidRPr="00AA0D15">
        <w:t xml:space="preserve">. And this desire for local control is not limited to the current administration. </w:t>
      </w:r>
      <w:r w:rsidRPr="00AA0D15">
        <w:rPr>
          <w:rStyle w:val="StyleUnderline"/>
        </w:rPr>
        <w:t>In 2015, Congress passed the</w:t>
      </w:r>
      <w:r w:rsidRPr="00AA0D15">
        <w:t xml:space="preserve"> Every Student Succeeds Act (</w:t>
      </w:r>
      <w:r w:rsidRPr="00AA0D15">
        <w:rPr>
          <w:rStyle w:val="StyleUnderline"/>
        </w:rPr>
        <w:t>ESSA</w:t>
      </w:r>
      <w:r w:rsidRPr="00AA0D15">
        <w:t xml:space="preserve">) </w:t>
      </w:r>
      <w:r w:rsidRPr="00AA0D15">
        <w:rPr>
          <w:rStyle w:val="StyleUnderline"/>
        </w:rPr>
        <w:t>with</w:t>
      </w:r>
      <w:r w:rsidRPr="00AA0D15">
        <w:t xml:space="preserve"> strong </w:t>
      </w:r>
      <w:r w:rsidRPr="00AA0D15">
        <w:rPr>
          <w:rStyle w:val="StyleUnderline"/>
        </w:rPr>
        <w:t>bipartisan support</w:t>
      </w:r>
      <w:r w:rsidRPr="00AA0D15">
        <w:t xml:space="preserve">. </w:t>
      </w:r>
      <w:r w:rsidRPr="00AA0D15">
        <w:rPr>
          <w:rStyle w:val="StyleUnderline"/>
        </w:rPr>
        <w:t xml:space="preserve">This legislation replaced the </w:t>
      </w:r>
      <w:r w:rsidRPr="00AA0D15">
        <w:t>No Child Left Behind (</w:t>
      </w:r>
      <w:r w:rsidRPr="00AA0D15">
        <w:rPr>
          <w:rStyle w:val="StyleUnderline"/>
        </w:rPr>
        <w:t>NCLB</w:t>
      </w:r>
      <w:r w:rsidRPr="00AA0D15">
        <w:t xml:space="preserve">) system of school accountability with a more narrowly tailored and flexible approach to school reform. </w:t>
      </w:r>
      <w:r w:rsidRPr="00AA0D15">
        <w:rPr>
          <w:rStyle w:val="StyleUnderline"/>
        </w:rPr>
        <w:t>Instead of requiring all schools to meet annual performance targets, ESSA requires states to focus on a small set of low-performing schools and gives them considerable latitude to design the interventions they deem appropriate</w:t>
      </w:r>
      <w:r w:rsidRPr="00AA0D15">
        <w:t xml:space="preserve">. In discussing ESSA, </w:t>
      </w:r>
      <w:r w:rsidRPr="00AA0D15">
        <w:rPr>
          <w:rStyle w:val="StyleUnderline"/>
        </w:rPr>
        <w:t>chair of the Senate Education Committee Lamar Alexander claimed</w:t>
      </w:r>
      <w:r w:rsidRPr="00AA0D15">
        <w:t xml:space="preserve">, “The department was in effect acting as a national school board for the 42 states with waivers—100,000 schools. </w:t>
      </w:r>
      <w:r w:rsidRPr="00AA0D15">
        <w:rPr>
          <w:rStyle w:val="StyleUnderline"/>
        </w:rPr>
        <w:t>The states were doing fine until the federal government stuck its nose into it…So it was important to get the balls back in the hands of the people who really should have it.</w:t>
      </w:r>
      <w:r w:rsidRPr="00AA0D15">
        <w:t xml:space="preserve">”[i] But the evidence suggests that not all states are doing fine. Indeed, there are massive disparities across states in terms of current student performance, and these differences are not merely a factor of the social and economic conditions in the state. All states have been actively engaged in efforts to turnaround failing schools, but the effectiveness of such efforts has varied dramatically across jurisdictions. </w:t>
      </w:r>
      <w:r w:rsidRPr="00AA0D15">
        <w:rPr>
          <w:rStyle w:val="Emphasis"/>
        </w:rPr>
        <w:t>Public education will (and should) always be driven predominantly by local actors—</w:t>
      </w:r>
      <w:r w:rsidRPr="00AA0D15">
        <w:t xml:space="preserve">teachers, </w:t>
      </w:r>
      <w:r w:rsidRPr="00AA0D15">
        <w:rPr>
          <w:rStyle w:val="StyleUnderline"/>
        </w:rPr>
        <w:t>administrators</w:t>
      </w:r>
      <w:r w:rsidRPr="00AA0D15">
        <w:t xml:space="preserve">, </w:t>
      </w:r>
      <w:r w:rsidRPr="00AA0D15">
        <w:rPr>
          <w:rStyle w:val="StyleUnderline"/>
        </w:rPr>
        <w:t>school board members</w:t>
      </w:r>
      <w:r w:rsidRPr="00AA0D15">
        <w:t xml:space="preserve">, </w:t>
      </w:r>
      <w:r w:rsidRPr="00AA0D15">
        <w:rPr>
          <w:rStyle w:val="StyleUnderline"/>
        </w:rPr>
        <w:t>and</w:t>
      </w:r>
      <w:r w:rsidRPr="00AA0D15">
        <w:t xml:space="preserve"> </w:t>
      </w:r>
      <w:r w:rsidRPr="00AA0D15">
        <w:rPr>
          <w:rStyle w:val="StyleUnderline"/>
        </w:rPr>
        <w:t>state legislators</w:t>
      </w:r>
      <w:r w:rsidRPr="00AA0D15">
        <w:t xml:space="preserve">. Even under NCLB, </w:t>
      </w:r>
      <w:r w:rsidRPr="00AA0D15">
        <w:rPr>
          <w:rStyle w:val="StyleUnderline"/>
        </w:rPr>
        <w:t>states and districts had a mostly unfettered ability to run schools as they saw fit. But with autonomy comes the potential for greater disparity</w:t>
      </w:r>
      <w:r w:rsidRPr="00AA0D15">
        <w:t>, as more capable, focused, and well-resourced states pull even further ahead of those with less capacity, fewer resources, and</w:t>
      </w:r>
      <w:r w:rsidR="00343C60">
        <w:t xml:space="preserve"> greater political dysfunction.</w:t>
      </w:r>
    </w:p>
    <w:p w:rsidR="002B62E3" w:rsidRPr="0040401E" w:rsidRDefault="002B62E3" w:rsidP="002B62E3">
      <w:pPr>
        <w:pStyle w:val="Heading3"/>
      </w:pPr>
      <w:r>
        <w:t>AT resources solvency deficit</w:t>
      </w:r>
    </w:p>
    <w:p w:rsidR="002B62E3" w:rsidRDefault="002B62E3" w:rsidP="002B62E3">
      <w:pPr>
        <w:pStyle w:val="Heading4"/>
      </w:pPr>
      <w:r>
        <w:t>State education agencies can solve even with scarce resources---prioritization and outside support</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Default="002B62E3" w:rsidP="002B62E3">
      <w:r>
        <w:t xml:space="preserve">This has the potential to upend the structures of many SEAs, which typically allocate large teams to compliance monitoring and have fewer experts providing guidance and support. However, </w:t>
      </w:r>
      <w:r w:rsidRPr="009E77EB">
        <w:rPr>
          <w:rStyle w:val="StyleUnderline"/>
        </w:rPr>
        <w:t xml:space="preserve">even where </w:t>
      </w:r>
      <w:r w:rsidRPr="001B5535">
        <w:t>SEA</w:t>
      </w:r>
      <w:r>
        <w:rPr>
          <w:rStyle w:val="StyleUnderline"/>
        </w:rPr>
        <w:t xml:space="preserve"> [State Education Agencies]</w:t>
      </w:r>
      <w:r w:rsidRPr="009E77EB">
        <w:rPr>
          <w:rStyle w:val="StyleUnderline"/>
        </w:rPr>
        <w:t xml:space="preserve"> expertise and resources are scarce,</w:t>
      </w:r>
      <w:r>
        <w:rPr>
          <w:rStyle w:val="StyleUnderline"/>
        </w:rPr>
        <w:t xml:space="preserve"> </w:t>
      </w:r>
      <w:r w:rsidRPr="009E77EB">
        <w:rPr>
          <w:rStyle w:val="StyleUnderline"/>
        </w:rPr>
        <w:t>SEAs can</w:t>
      </w:r>
      <w:r>
        <w:t xml:space="preserve"> still choose to </w:t>
      </w:r>
      <w:r w:rsidRPr="009E77EB">
        <w:rPr>
          <w:rStyle w:val="StyleUnderline"/>
        </w:rPr>
        <w:t>prioritize</w:t>
      </w:r>
      <w:r>
        <w:t xml:space="preserve"> support. </w:t>
      </w:r>
      <w:r w:rsidRPr="009E77EB">
        <w:rPr>
          <w:rStyle w:val="StyleUnderline"/>
        </w:rPr>
        <w:t>They can, for example, narrow their focus,</w:t>
      </w:r>
      <w:r>
        <w:rPr>
          <w:rStyle w:val="StyleUnderline"/>
        </w:rPr>
        <w:t xml:space="preserve"> </w:t>
      </w:r>
      <w:r w:rsidRPr="009E77EB">
        <w:rPr>
          <w:rStyle w:val="StyleUnderline"/>
        </w:rPr>
        <w:t>providing deep support only in the state’s top priority areas</w:t>
      </w:r>
      <w:r>
        <w:t xml:space="preserve"> or only to its neediest districts. They can free high-performing districts from certain requirements and regulations through either discretionary waivers or by offering flexibility to districts that meet pre-determined provisions. </w:t>
      </w:r>
      <w:r w:rsidRPr="009E77EB">
        <w:rPr>
          <w:rStyle w:val="StyleUnderline"/>
        </w:rPr>
        <w:t>The SEA can enlist educators from around the state to</w:t>
      </w:r>
      <w:r>
        <w:rPr>
          <w:rStyle w:val="StyleUnderline"/>
        </w:rPr>
        <w:t xml:space="preserve"> </w:t>
      </w:r>
      <w:r w:rsidRPr="009E77EB">
        <w:rPr>
          <w:rStyle w:val="StyleUnderline"/>
        </w:rPr>
        <w:t>support one another, rather than doing all of the work directly. And outside partners can</w:t>
      </w:r>
      <w:r>
        <w:rPr>
          <w:rStyle w:val="StyleUnderline"/>
        </w:rPr>
        <w:t xml:space="preserve"> </w:t>
      </w:r>
      <w:r w:rsidRPr="009E77EB">
        <w:rPr>
          <w:rStyle w:val="StyleUnderline"/>
        </w:rPr>
        <w:t>be enlisted to support priority agenda items</w:t>
      </w:r>
      <w:r>
        <w:t>.</w:t>
      </w:r>
    </w:p>
    <w:p w:rsidR="002B62E3" w:rsidRDefault="000C0E68" w:rsidP="002B62E3">
      <w:pPr>
        <w:pStyle w:val="Heading4"/>
      </w:pPr>
      <w:r>
        <w:t>States can effectively prioritize to overcome resource shortages</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Pr="0073550C" w:rsidRDefault="002B62E3" w:rsidP="002B62E3">
      <w:r>
        <w:t>***SEA = State Education Agencies</w:t>
      </w:r>
    </w:p>
    <w:p w:rsidR="002B62E3" w:rsidRDefault="002B62E3" w:rsidP="002B62E3">
      <w:r>
        <w:t xml:space="preserve">In some cases, capacity may present itself as a limiting factor. However, </w:t>
      </w:r>
      <w:r w:rsidRPr="009E77EB">
        <w:rPr>
          <w:rStyle w:val="StyleUnderline"/>
        </w:rPr>
        <w:t>capacity</w:t>
      </w:r>
      <w:r>
        <w:rPr>
          <w:rStyle w:val="StyleUnderline"/>
        </w:rPr>
        <w:t xml:space="preserve"> </w:t>
      </w:r>
      <w:r w:rsidRPr="009E77EB">
        <w:rPr>
          <w:rStyle w:val="StyleUnderline"/>
        </w:rPr>
        <w:t xml:space="preserve">challenges should not prevent the </w:t>
      </w:r>
      <w:r w:rsidRPr="001B5535">
        <w:t>SEA</w:t>
      </w:r>
      <w:r w:rsidRPr="009E77EB">
        <w:rPr>
          <w:rStyle w:val="StyleUnderline"/>
        </w:rPr>
        <w:t xml:space="preserve"> </w:t>
      </w:r>
      <w:r>
        <w:rPr>
          <w:rStyle w:val="StyleUnderline"/>
        </w:rPr>
        <w:t xml:space="preserve">[State Education Agencies] </w:t>
      </w:r>
      <w:r w:rsidRPr="009E77EB">
        <w:rPr>
          <w:rStyle w:val="StyleUnderline"/>
        </w:rPr>
        <w:t>from taking on additional roles</w:t>
      </w:r>
      <w:r>
        <w:t xml:space="preserve"> that, within the state’s context, are best led at the state </w:t>
      </w:r>
      <w:r w:rsidRPr="001B5535">
        <w:t>level. SEAs</w:t>
      </w:r>
      <w:r>
        <w:rPr>
          <w:rStyle w:val="StyleUnderline"/>
        </w:rPr>
        <w:t xml:space="preserve"> [State Education Agencies]</w:t>
      </w:r>
      <w:r w:rsidRPr="009E77EB">
        <w:rPr>
          <w:rStyle w:val="StyleUnderline"/>
        </w:rPr>
        <w:t xml:space="preserve"> could</w:t>
      </w:r>
      <w:r>
        <w:t xml:space="preserve">, for example, </w:t>
      </w:r>
      <w:r w:rsidRPr="009E77EB">
        <w:rPr>
          <w:rStyle w:val="StyleUnderline"/>
        </w:rPr>
        <w:t>think creatively</w:t>
      </w:r>
      <w:r>
        <w:rPr>
          <w:rStyle w:val="StyleUnderline"/>
        </w:rPr>
        <w:t xml:space="preserve"> </w:t>
      </w:r>
      <w:r w:rsidRPr="009E77EB">
        <w:rPr>
          <w:rStyle w:val="StyleUnderline"/>
        </w:rPr>
        <w:t>about building capacity, looking beyond their own four walls when crucial work needs to</w:t>
      </w:r>
      <w:r>
        <w:rPr>
          <w:rStyle w:val="StyleUnderline"/>
        </w:rPr>
        <w:t xml:space="preserve"> </w:t>
      </w:r>
      <w:r w:rsidRPr="009E77EB">
        <w:rPr>
          <w:rStyle w:val="StyleUnderline"/>
        </w:rPr>
        <w:t>be done. They might tap into administrators in large districts that are rich in capacity,</w:t>
      </w:r>
      <w:r>
        <w:rPr>
          <w:rStyle w:val="StyleUnderline"/>
        </w:rPr>
        <w:t xml:space="preserve"> </w:t>
      </w:r>
      <w:r w:rsidRPr="009E77EB">
        <w:rPr>
          <w:rStyle w:val="StyleUnderline"/>
        </w:rPr>
        <w:t>contract with master teachers or school leaders, enlist education researchers and</w:t>
      </w:r>
      <w:r>
        <w:rPr>
          <w:rStyle w:val="StyleUnderline"/>
        </w:rPr>
        <w:t xml:space="preserve"> </w:t>
      </w:r>
      <w:r w:rsidRPr="009E77EB">
        <w:rPr>
          <w:rStyle w:val="StyleUnderline"/>
        </w:rPr>
        <w:t>professors, or call on third-party partners or industry experts to support state work. Lack</w:t>
      </w:r>
      <w:r>
        <w:rPr>
          <w:rStyle w:val="StyleUnderline"/>
        </w:rPr>
        <w:t xml:space="preserve"> </w:t>
      </w:r>
      <w:r w:rsidRPr="009E77EB">
        <w:rPr>
          <w:rStyle w:val="StyleUnderline"/>
        </w:rPr>
        <w:t xml:space="preserve">of capacity should be a factor in prioritizing, but it should </w:t>
      </w:r>
      <w:r w:rsidRPr="009E77EB">
        <w:rPr>
          <w:rStyle w:val="Emphasis"/>
        </w:rPr>
        <w:t>not be an excuse to avoid</w:t>
      </w:r>
      <w:r>
        <w:rPr>
          <w:rStyle w:val="Emphasis"/>
        </w:rPr>
        <w:t xml:space="preserve"> </w:t>
      </w:r>
      <w:r w:rsidRPr="009E77EB">
        <w:rPr>
          <w:rStyle w:val="Emphasis"/>
        </w:rPr>
        <w:t>important action</w:t>
      </w:r>
      <w:r>
        <w:t>.</w:t>
      </w:r>
    </w:p>
    <w:p w:rsidR="002B62E3" w:rsidRDefault="002B62E3" w:rsidP="002B62E3"/>
    <w:p w:rsidR="00C47278" w:rsidRPr="00AA0D15" w:rsidRDefault="00C47278" w:rsidP="00C47278">
      <w:pPr>
        <w:pStyle w:val="Heading3"/>
        <w:rPr>
          <w:rFonts w:cs="Times New Roman"/>
        </w:rPr>
      </w:pPr>
      <w:r w:rsidRPr="00AA0D15">
        <w:rPr>
          <w:rFonts w:cs="Times New Roman"/>
        </w:rPr>
        <w:t>AT stimulus / bba’s solvency deficit</w:t>
      </w:r>
    </w:p>
    <w:p w:rsidR="00C47278" w:rsidRPr="00AA0D15" w:rsidRDefault="00C47278" w:rsidP="00C47278">
      <w:pPr>
        <w:pStyle w:val="Heading4"/>
        <w:rPr>
          <w:rFonts w:cs="Times New Roman"/>
        </w:rPr>
      </w:pPr>
      <w:r w:rsidRPr="00AA0D15">
        <w:rPr>
          <w:rFonts w:cs="Times New Roman"/>
        </w:rPr>
        <w:t xml:space="preserve">Balanced budget requirements don’t prevent state deficit spending </w:t>
      </w:r>
    </w:p>
    <w:p w:rsidR="00C47278" w:rsidRPr="00AA0D15" w:rsidRDefault="00C47278" w:rsidP="00C47278">
      <w:r w:rsidRPr="00AA0D15">
        <w:t xml:space="preserve">Louis M. </w:t>
      </w:r>
      <w:r w:rsidRPr="00AA0D15">
        <w:rPr>
          <w:rStyle w:val="Style13ptBold"/>
        </w:rPr>
        <w:t>Imbeau</w:t>
      </w:r>
      <w:r w:rsidRPr="00AA0D15">
        <w:t xml:space="preserve"> </w:t>
      </w:r>
      <w:r w:rsidRPr="00AA0D15">
        <w:rPr>
          <w:rStyle w:val="Style13ptBold"/>
        </w:rPr>
        <w:t>and</w:t>
      </w:r>
      <w:r w:rsidRPr="00AA0D15">
        <w:t xml:space="preserve"> François </w:t>
      </w:r>
      <w:r w:rsidRPr="00AA0D15">
        <w:rPr>
          <w:rStyle w:val="Style13ptBold"/>
        </w:rPr>
        <w:t>Pétry</w:t>
      </w:r>
      <w:r w:rsidRPr="00AA0D15">
        <w:t xml:space="preserve"> </w:t>
      </w:r>
      <w:r w:rsidRPr="00AA0D15">
        <w:rPr>
          <w:rStyle w:val="Style13ptBold"/>
        </w:rPr>
        <w:t>2004</w:t>
      </w:r>
      <w:r w:rsidRPr="00AA0D15">
        <w:t xml:space="preserve"> -Louis Imbeau is the author of multiple books and he got his Ph.D. in political science from Northwestern, he is also a professor of political science at Laval University, Francois Petry is also an author, a professor of political science at Laval University and he got his Ph.D. from Texas (</w:t>
      </w:r>
      <w:r w:rsidRPr="00AA0D15">
        <w:rPr>
          <w:i/>
        </w:rPr>
        <w:t xml:space="preserve">Politics, Institutions, and Fiscal Policy: Deficits and Surpluses in Federated States, </w:t>
      </w:r>
      <w:r w:rsidRPr="00AA0D15">
        <w:t>Book) MFP</w:t>
      </w:r>
    </w:p>
    <w:p w:rsidR="00C47278" w:rsidRDefault="00C47278" w:rsidP="00C47278">
      <w:r w:rsidRPr="00AA0D15">
        <w:rPr>
          <w:rStyle w:val="Emphasis"/>
        </w:rPr>
        <w:t>Despite the evidence</w:t>
      </w:r>
      <w:r w:rsidRPr="00AA0D15">
        <w:rPr>
          <w:rStyle w:val="StyleUnderline"/>
        </w:rPr>
        <w:t xml:space="preserve"> that balanced budget requirements inhibit state deficit spending</w:t>
      </w:r>
      <w:r w:rsidRPr="00AA0D15">
        <w:t xml:space="preserve"> (and, ultimately, debt levels), a number of </w:t>
      </w:r>
      <w:r w:rsidRPr="00AA0D15">
        <w:rPr>
          <w:rStyle w:val="Emphasis"/>
        </w:rPr>
        <w:t>studies fail to find such an effect</w:t>
      </w:r>
      <w:r w:rsidRPr="00AA0D15">
        <w:t xml:space="preserve">. Controlling for a series of political, economic, and institutional variables, several scholars find that </w:t>
      </w:r>
      <w:r w:rsidRPr="00AA0D15">
        <w:rPr>
          <w:rStyle w:val="StyleUnderline"/>
        </w:rPr>
        <w:t>balanced budget provisions are not a significant pre- dictor o</w:t>
      </w:r>
      <w:r w:rsidRPr="00AA0D15">
        <w:t xml:space="preserve">f either state government </w:t>
      </w:r>
      <w:r w:rsidRPr="00AA0D15">
        <w:rPr>
          <w:rStyle w:val="StyleUnderline"/>
        </w:rPr>
        <w:t>expenditure</w:t>
      </w:r>
      <w:r w:rsidRPr="00AA0D15">
        <w:t xml:space="preserve"> </w:t>
      </w:r>
      <w:r w:rsidRPr="00AA0D15">
        <w:rPr>
          <w:rStyle w:val="StyleUnderline"/>
        </w:rPr>
        <w:t>or state debt levels</w:t>
      </w:r>
      <w:r w:rsidRPr="00AA0D15">
        <w:t xml:space="preserve"> (Merrifield, 2000; Abrams and Dougan, 1986; Clingermayer and Wood, 1995). Speculation about the apparent paradox that balanced budget requirements do not curb deficit spending focuses on </w:t>
      </w:r>
      <w:r w:rsidRPr="00AA0D15">
        <w:rPr>
          <w:rStyle w:val="StyleUnderline"/>
        </w:rPr>
        <w:t>two explanations</w:t>
      </w:r>
      <w:r w:rsidRPr="00AA0D15">
        <w:t xml:space="preserve">. First, </w:t>
      </w:r>
      <w:r w:rsidRPr="00AA0D15">
        <w:rPr>
          <w:rStyle w:val="StyleUnderline"/>
        </w:rPr>
        <w:t xml:space="preserve">politicians working within such constraints circumvent the budget process through </w:t>
      </w:r>
      <w:r w:rsidRPr="00AA0D15">
        <w:rPr>
          <w:rStyle w:val="Emphasis"/>
        </w:rPr>
        <w:t>off-budget deficit spending</w:t>
      </w:r>
      <w:r w:rsidRPr="00AA0D15">
        <w:t xml:space="preserve"> (Nice, 1991; Bunch, 1991). Another possibility concerns the role of endogeneity. States with more stringent balanced budget requirements may be more ideologically conservative (see Nice, 1986), or they may have instituted them in response to increased levels of debt or in reaction to a state government with a penchant for overspending (Abrams and Dougan, 1986; Poterba, 1996). It is important to note that these studies did not explicitly control for the presence of deficit carryover limitations and that the bulk of the evidence indicates that such provisions discourage deficit spending by forcing states to recognize budgetary shortfalls from the previous year in next year's budget (Alt and Lowry, 1994). Along with balanced budget requirements, </w:t>
      </w:r>
      <w:r w:rsidRPr="00AA0D15">
        <w:rPr>
          <w:rStyle w:val="StyleUnderline"/>
        </w:rPr>
        <w:t>limits on taxing and spending</w:t>
      </w:r>
      <w:r w:rsidRPr="00AA0D15">
        <w:t xml:space="preserve"> are another tool states use to enforce fiscal responsibility. These limitations were passed in a number of states in response to the taxpayer revolts of the 1970s and 1980s. They </w:t>
      </w:r>
      <w:r w:rsidRPr="00AA0D15">
        <w:rPr>
          <w:rStyle w:val="StyleUnderline"/>
        </w:rPr>
        <w:t xml:space="preserve">are not exactly anti-deficit laws because they are designed to </w:t>
      </w:r>
      <w:r w:rsidRPr="00AA0D15">
        <w:rPr>
          <w:rStyle w:val="Emphasis"/>
        </w:rPr>
        <w:t>limit total state revenue</w:t>
      </w:r>
      <w:r w:rsidRPr="00AA0D15">
        <w:rPr>
          <w:rStyle w:val="StyleUnderline"/>
        </w:rPr>
        <w:t xml:space="preserve"> rather than shrink the gap between revenues and expenditure</w:t>
      </w:r>
      <w:r w:rsidRPr="00AA0D15">
        <w:t xml:space="preserve">s (Poterba, 1996). By and large, such limitations have been shown to reduce the growth in taxes, revenues, and expenditures (Crain and Miller, 1990; Poterba, 1994; Reuben, 1995). However, such taxing and spending limitations may have a deleterious effect on overall state debt. In an effort to bypass such limitations, state political leaders may turn to borrowing in order to finance government projects, thereby increasing the state's debt obligation. Evidence is mixed as to the effect of such limitations. The </w:t>
      </w:r>
      <w:r w:rsidRPr="00AA0D15">
        <w:rPr>
          <w:rStyle w:val="StyleUnderline"/>
        </w:rPr>
        <w:t xml:space="preserve">funding for increased state spending may come from </w:t>
      </w:r>
      <w:r w:rsidRPr="00AA0D15">
        <w:rPr>
          <w:rStyle w:val="Emphasis"/>
        </w:rPr>
        <w:t>non-guaranteed debt</w:t>
      </w:r>
      <w:r w:rsidRPr="00AA0D15">
        <w:rPr>
          <w:rStyle w:val="StyleUnderline"/>
        </w:rPr>
        <w:t xml:space="preserve">, which </w:t>
      </w:r>
      <w:r w:rsidRPr="00AA0D15">
        <w:rPr>
          <w:rStyle w:val="Emphasis"/>
        </w:rPr>
        <w:t>is not generally subject to constitutional or statutory limitations</w:t>
      </w:r>
      <w:r w:rsidRPr="00AA0D15">
        <w:t xml:space="preserve"> (Nice, 1991). Other scholars have found that taxing and spending limitations are positively related to state debt levels (Clingermayer and Wood, 1995). </w:t>
      </w:r>
    </w:p>
    <w:p w:rsidR="007C2097" w:rsidRPr="00AA0D15" w:rsidRDefault="007C2097" w:rsidP="007C2097">
      <w:pPr>
        <w:pStyle w:val="Heading4"/>
        <w:rPr>
          <w:rFonts w:cs="Times New Roman"/>
        </w:rPr>
      </w:pPr>
      <w:r>
        <w:rPr>
          <w:rFonts w:cs="Times New Roman"/>
        </w:rPr>
        <w:t>Deficits are legal, and when they aren’t they just go off-books</w:t>
      </w:r>
    </w:p>
    <w:p w:rsidR="007C2097" w:rsidRPr="00AA0D15" w:rsidRDefault="007C2097" w:rsidP="007C2097">
      <w:r w:rsidRPr="00AA0D15">
        <w:t xml:space="preserve">Nicole </w:t>
      </w:r>
      <w:r w:rsidRPr="00AA0D15">
        <w:rPr>
          <w:rStyle w:val="Style13ptBold"/>
        </w:rPr>
        <w:t>Sanders 2010</w:t>
      </w:r>
      <w:r w:rsidRPr="00AA0D15">
        <w:t xml:space="preserve"> - Director of student programs at the Atlas Society (“America’s Deficit Culture,” The Atlas Society, </w:t>
      </w:r>
      <w:hyperlink r:id="rId19" w:history="1">
        <w:r w:rsidRPr="00AA0D15">
          <w:rPr>
            <w:rStyle w:val="Hyperlink"/>
          </w:rPr>
          <w:t>https://atlassociety.org/commentary/commentary-blog/4244-america-s-deficit-culture</w:t>
        </w:r>
      </w:hyperlink>
      <w:r w:rsidRPr="00AA0D15">
        <w:t>) MFP</w:t>
      </w:r>
    </w:p>
    <w:p w:rsidR="007C2097" w:rsidRPr="00AA0D15" w:rsidRDefault="007C2097" w:rsidP="00C47278">
      <w:r w:rsidRPr="00AA0D15">
        <w:t xml:space="preserve">A NATION OF DEFICIT SPENDERS There’s nothing wrong with debt. In fact, without debt, we’d be far poorer and more miserable. Borrowing money for productive uses allows people to create new wealth and pay interest to lenders. Capitalism and economic growth couldn’t happen without it. We need borrowing to be able to provide insurance and grease the workings of world markets for goods and services. We also need borrowing to smooth out patterns in life-cycle earnings: borrow to buy a house or get an education when you are young, save for retirement as you age. But the U.S. has followed a generation-long slide into a deficit culture of constant borrowing. </w:t>
      </w:r>
      <w:r w:rsidRPr="00AA0D15">
        <w:rPr>
          <w:rStyle w:val="StyleUnderline"/>
        </w:rPr>
        <w:t>Visible yearly deficits are a ritual in practically every legislature and state house where they are allowed</w:t>
      </w:r>
      <w:r w:rsidRPr="007C2097">
        <w:rPr>
          <w:rStyle w:val="StyleUnderline"/>
        </w:rPr>
        <w:t>. Off-the-books deficits are the norm where formal deficits are forbidden by law</w:t>
      </w:r>
      <w:r w:rsidRPr="00AA0D15">
        <w:t>. Governments also have unfunded liabilities for Social Security, Medicare, and employee</w:t>
      </w:r>
      <w:r>
        <w:t xml:space="preserve"> pensions that beggar the mind.</w:t>
      </w:r>
    </w:p>
    <w:p w:rsidR="00C47278" w:rsidRPr="00AA0D15" w:rsidRDefault="00C47278" w:rsidP="00C47278">
      <w:pPr>
        <w:pStyle w:val="Heading4"/>
        <w:rPr>
          <w:rFonts w:cs="Times New Roman"/>
        </w:rPr>
      </w:pPr>
      <w:r w:rsidRPr="00AA0D15">
        <w:rPr>
          <w:rFonts w:cs="Times New Roman"/>
        </w:rPr>
        <w:t xml:space="preserve">States deficit spend routinely </w:t>
      </w:r>
    </w:p>
    <w:p w:rsidR="00C47278" w:rsidRPr="00AA0D15" w:rsidRDefault="00C47278" w:rsidP="00C47278">
      <w:r w:rsidRPr="00AA0D15">
        <w:rPr>
          <w:rStyle w:val="Style13ptBold"/>
        </w:rPr>
        <w:t>NCSL 1999</w:t>
      </w:r>
      <w:r w:rsidRPr="00AA0D15">
        <w:t xml:space="preserve"> - NCSL is a bipartisan organization that provides states support, ideas, connections, and a voice on Capitol Hill (“State Balanced Budget Requirements,” National Conference of State Legislatures, </w:t>
      </w:r>
      <w:hyperlink r:id="rId20" w:history="1">
        <w:r w:rsidRPr="00AA0D15">
          <w:rPr>
            <w:rStyle w:val="Hyperlink"/>
          </w:rPr>
          <w:t>http://www.ncsl.org/research/fiscal-policy/state-balanced-budget-requirements.aspx</w:t>
        </w:r>
      </w:hyperlink>
      <w:r w:rsidRPr="00AA0D15">
        <w:t xml:space="preserve">) MFP </w:t>
      </w:r>
    </w:p>
    <w:p w:rsidR="00C47278" w:rsidRPr="00AA0D15" w:rsidRDefault="00C47278" w:rsidP="00C47278">
      <w:r w:rsidRPr="00AA0D15">
        <w:t xml:space="preserve">Practice </w:t>
      </w:r>
      <w:r w:rsidRPr="00AA0D15">
        <w:rPr>
          <w:rStyle w:val="StyleUnderline"/>
        </w:rPr>
        <w:t>State balanced-budget rules are not as rigid</w:t>
      </w:r>
      <w:r w:rsidRPr="00AA0D15">
        <w:t xml:space="preserve"> </w:t>
      </w:r>
      <w:r w:rsidRPr="00AA0D15">
        <w:rPr>
          <w:rStyle w:val="StyleUnderline"/>
        </w:rPr>
        <w:t>as those recommended for the federal government in the early 1990s, which would have forbidden total expenditures above total revenues in any year and would have prohibited new borrowing.</w:t>
      </w:r>
      <w:r w:rsidRPr="00AA0D15">
        <w:t xml:space="preserve"> By this standard, </w:t>
      </w:r>
      <w:r w:rsidRPr="00AA0D15">
        <w:rPr>
          <w:rStyle w:val="Emphasis"/>
        </w:rPr>
        <w:t>states routinely run deficits because they borrow to finance capital expenditures</w:t>
      </w:r>
      <w:r w:rsidRPr="00AA0D15">
        <w:t xml:space="preserve">. But </w:t>
      </w:r>
      <w:r w:rsidRPr="00AA0D15">
        <w:rPr>
          <w:rStyle w:val="StyleUnderline"/>
        </w:rPr>
        <w:t>this does not violate state balanced-budget requirements. Nor does rolling deficits in operating funds</w:t>
      </w:r>
      <w:r w:rsidRPr="00AA0D15">
        <w:t xml:space="preserve"> forward from one fiscal year to another, if a state constitution permits the practice.</w:t>
      </w:r>
    </w:p>
    <w:p w:rsidR="00C47278" w:rsidRPr="00AA0D15" w:rsidRDefault="00C47278" w:rsidP="00C47278">
      <w:pPr>
        <w:pStyle w:val="Heading3"/>
        <w:rPr>
          <w:rFonts w:cs="Times New Roman"/>
        </w:rPr>
      </w:pPr>
      <w:r w:rsidRPr="00AA0D15">
        <w:rPr>
          <w:rFonts w:cs="Times New Roman"/>
        </w:rPr>
        <w:t>AT economic decline turns CP</w:t>
      </w:r>
    </w:p>
    <w:p w:rsidR="00C47278" w:rsidRPr="00AA0D15" w:rsidRDefault="00C47278" w:rsidP="00C47278">
      <w:pPr>
        <w:pStyle w:val="Heading4"/>
        <w:rPr>
          <w:rFonts w:cs="Times New Roman"/>
        </w:rPr>
      </w:pPr>
      <w:r w:rsidRPr="00AA0D15">
        <w:rPr>
          <w:rFonts w:cs="Times New Roman"/>
        </w:rPr>
        <w:t xml:space="preserve">Educational funding is resilient and shielded from economic turn downs – it also inevitably takes priority in budget decisions which takes out the link </w:t>
      </w:r>
    </w:p>
    <w:p w:rsidR="00C47278" w:rsidRPr="00AA0D15" w:rsidRDefault="00C47278" w:rsidP="00C47278">
      <w:pPr>
        <w:rPr>
          <w:rStyle w:val="Style13ptBold"/>
        </w:rPr>
      </w:pPr>
      <w:r w:rsidRPr="00AA0D15">
        <w:rPr>
          <w:rStyle w:val="Style13ptBold"/>
        </w:rPr>
        <w:t xml:space="preserve">Peng and Guthrie 10 </w:t>
      </w:r>
      <w:r w:rsidRPr="00AA0D15">
        <w:t>(Arthur Peng and James Guthrie, Education NEXT, “The Phony Funding Crisis” WINTER 2010 / VOL. 10, NO. 1) GG</w:t>
      </w:r>
    </w:p>
    <w:p w:rsidR="00C47278" w:rsidRPr="00AA0D15" w:rsidRDefault="00C47278" w:rsidP="00C47278">
      <w:pPr>
        <w:rPr>
          <w:rStyle w:val="StyleUnderline"/>
        </w:rPr>
      </w:pPr>
      <w:r w:rsidRPr="00AA0D15">
        <w:t xml:space="preserve">Chicken Little is alive and seemingly employed as a finance analyst or reporter for an education interest group. </w:t>
      </w:r>
      <w:r w:rsidRPr="00AA0D15">
        <w:rPr>
          <w:rStyle w:val="StyleUnderline"/>
        </w:rPr>
        <w:t>If one relies on newspaper headlines for education funding information, one might conclude that America’s schools suffer from a perpetual fiscal crisis</w:t>
      </w:r>
      <w:r w:rsidRPr="00AA0D15">
        <w:t xml:space="preserve">, every year perched precariously on the brink of financial ruin, never knowing whether there will be sufficient funding to continue operating. </w:t>
      </w:r>
      <w:r w:rsidRPr="00AA0D15">
        <w:rPr>
          <w:rStyle w:val="StyleUnderline"/>
        </w:rPr>
        <w:t>Budgetary shortfalls, school district bankruptcies, teacher and administrator layoffs, hiring and salary freezes</w:t>
      </w:r>
      <w:r w:rsidRPr="00AA0D15">
        <w:t xml:space="preserve">, pension system defaults, shorter school years, ever-larger classes, faculty furloughs, fewer course electives, reduced field trips, foregone or curtailed athletics, outdated textbooks, teachers having to make do with fewer supplies, cuts in school maintenance, and other tales of fiscal woe inevitably captivate the news media, particularly during the late-spring and summer budget and appropriations seasons. </w:t>
      </w:r>
      <w:r w:rsidRPr="00AA0D15">
        <w:rPr>
          <w:rStyle w:val="StyleUnderline"/>
        </w:rPr>
        <w:t>Yet somehow, as the budget-planning cycle concludes and schools open their doors in the late summer and fall, virtually all classrooms have instructors, teachers receive their paychecks and use their health plans, athletic teams play, and textbooks are distributed</w:t>
      </w:r>
      <w:r w:rsidRPr="00AA0D15">
        <w:t xml:space="preserve">. Regrettably, this story is seldom accorded the same media attention as are the prospects of budget reductions and teacher layoffs. For a variety of reasons, from one year to the next, </w:t>
      </w:r>
      <w:r w:rsidRPr="00AA0D15">
        <w:rPr>
          <w:rStyle w:val="StyleUnderline"/>
        </w:rPr>
        <w:t>schools almost always have more real revenue for each of their enrolled students. For the past hundred years, with rare and short exceptions and after controlling for inflation, public schools have had both more money and more employees per student in each succeeding year.</w:t>
      </w:r>
      <w:r w:rsidRPr="00AA0D15">
        <w:t xml:space="preserve"> </w:t>
      </w:r>
      <w:r w:rsidRPr="00AA0D15">
        <w:rPr>
          <w:rStyle w:val="StyleUnderline"/>
        </w:rPr>
        <w:t>Teacher salaries have increased more than 42 percent in constant dollars over the past half century</w:t>
      </w:r>
      <w:r w:rsidRPr="00AA0D15">
        <w:t xml:space="preserve">, while educators’ working conditions, health plans, and retirement arrangements have become ever more commodious. Moreover, </w:t>
      </w:r>
      <w:r w:rsidRPr="00AA0D15">
        <w:rPr>
          <w:rStyle w:val="Emphasis"/>
        </w:rPr>
        <w:t>school-related revenues and employment levels have increased</w:t>
      </w:r>
      <w:r w:rsidRPr="00AA0D15">
        <w:rPr>
          <w:rStyle w:val="StyleUnderline"/>
        </w:rPr>
        <w:t xml:space="preserve"> even </w:t>
      </w:r>
      <w:r w:rsidRPr="00AA0D15">
        <w:rPr>
          <w:rStyle w:val="Emphasis"/>
        </w:rPr>
        <w:t>when the economy</w:t>
      </w:r>
      <w:r w:rsidRPr="00AA0D15">
        <w:t xml:space="preserve"> (as measured by Gross Domestic Product or GDP) </w:t>
      </w:r>
      <w:r w:rsidRPr="00AA0D15">
        <w:rPr>
          <w:rStyle w:val="Emphasis"/>
        </w:rPr>
        <w:t>turned down</w:t>
      </w:r>
      <w:r w:rsidRPr="00AA0D15">
        <w:rPr>
          <w:rStyle w:val="StyleUnderline"/>
        </w:rPr>
        <w:t>, unlike what typically happens in sectors such as manufacturing</w:t>
      </w:r>
      <w:r w:rsidRPr="00AA0D15">
        <w:t xml:space="preserve"> and retail sales, </w:t>
      </w:r>
      <w:r w:rsidRPr="00AA0D15">
        <w:rPr>
          <w:rStyle w:val="StyleUnderline"/>
        </w:rPr>
        <w:t>where recessions trigger cutbacks</w:t>
      </w:r>
      <w:r w:rsidRPr="00AA0D15">
        <w:t xml:space="preserve"> in personnel and profits. Now, local school funding is apparently more secure than ever before</w:t>
      </w:r>
      <w:r w:rsidRPr="00AA0D15">
        <w:rPr>
          <w:rStyle w:val="StyleUnderline"/>
        </w:rPr>
        <w:t>.</w:t>
      </w:r>
      <w:r w:rsidRPr="00AA0D15">
        <w:t xml:space="preserve"> For the first time in history, the federal government has assumed a dramatic new school-funding role, that of banker of last resort, providing stopgap revenues to the nation’s schools during economic downturns. The Obama administration’s unprecedented injection of billions in federal funding for schools likely ensures that education’s resource cushion will continue for at least the current downturn and possibly for much longer. The notion that the federal government should serve as a fiscal flywheel for schools would have come as a major surprise to lawmakers even during the 1960s’ high point of federal funding for schools. A Bigger (and Brighter) Backdrop </w:t>
      </w:r>
      <w:r w:rsidRPr="00AA0D15">
        <w:rPr>
          <w:rStyle w:val="StyleUnderline"/>
        </w:rPr>
        <w:t>It is true that occasionally school districts become insolvent and states have to step in and take over</w:t>
      </w:r>
      <w:r w:rsidRPr="00AA0D15">
        <w:t xml:space="preserve">. California had a string of costly and highly visible instances in the recent past, with the state having to elbow locally elected school boards aside and install all-powerful administrative overseers in large districts such as Oakland and Richmond. Detroit is the poster child for similar activity in the Midwest (see sidebar). </w:t>
      </w:r>
      <w:r w:rsidRPr="00AA0D15">
        <w:rPr>
          <w:rStyle w:val="Emphasis"/>
        </w:rPr>
        <w:t>School district insolvencies are rare and most often the result of administrative or school board mismanagement</w:t>
      </w:r>
      <w:r w:rsidRPr="00AA0D15">
        <w:rPr>
          <w:rStyle w:val="StyleUnderline"/>
        </w:rPr>
        <w:t xml:space="preserve"> and malfeasance, </w:t>
      </w:r>
      <w:r w:rsidRPr="00AA0D15">
        <w:rPr>
          <w:rStyle w:val="Emphasis"/>
        </w:rPr>
        <w:t>rather than</w:t>
      </w:r>
      <w:r w:rsidRPr="00AA0D15">
        <w:rPr>
          <w:rStyle w:val="StyleUnderline"/>
        </w:rPr>
        <w:t xml:space="preserve"> from the consequence of diminished revenues and </w:t>
      </w:r>
      <w:r w:rsidRPr="00AA0D15">
        <w:t>systematic</w:t>
      </w:r>
      <w:r w:rsidRPr="00AA0D15">
        <w:rPr>
          <w:rStyle w:val="StyleUnderline"/>
        </w:rPr>
        <w:t xml:space="preserve"> </w:t>
      </w:r>
      <w:r w:rsidRPr="00AA0D15">
        <w:rPr>
          <w:rStyle w:val="Emphasis"/>
        </w:rPr>
        <w:t xml:space="preserve">budget cuts. </w:t>
      </w:r>
      <w:r w:rsidRPr="00AA0D15">
        <w:t xml:space="preserve">Another Detroit Deficit A century ago the Detroit Public Schools were among the nation’s leading educational institutions; they now teeter on the edge of oblivion. Enrollments have dwindled to 93,000, roughly half of their 2001 level, as parents have moved or enrolled their children in charter schools. Only 58 percent of enrollees graduate from high school; only 25 percent of 9th graders graduate four years later. Student standardized test scores are among the lowest in Michigan. A Council of Great City Schools report found deficiencies in instruction, data, accounting—the list goes on. The district has 100 vacant schools on its property rolls. The FBI has targeted a school district payroll manager for allegedly embezzling $400,000. When Detroit school employees were asked to pick up paychecks in person, 257 checks were never claimed, presumably made out to ghost employees. A recent audit found staggering waste, from unused vehicles and electronic equipment to health coverage costs for ineligible dependents. In 2002, the Detroit Public Schools had a $103.6 million surplus. Now the district faces a deficit of $259 million and is contemplating filing for bankruptcy protection, a rare occurrence in the history of American public education. More than 2,000 layoffs and 29 school closures have done little to narrow the gap. The district is scheduled to receive $149 million in federal stimulus funds, but only $11 million of this can go toward reducing the deficit. Nationally, America’s school-district revenues have long been on an upward trajectory (see Figure 1). Since 1929, per-pupil spending has declined only four times and significantly only twice, once during the Great Depression and once in the midst of World War II. There have been 11 periods during which GDP declined but mean total real per-pupil revenues still increased. The number of employees, teachers, administrators, and others has continually increased for four decades, except for the early 1980s period of declining enrollment and recession. And pupil-teacher ratios have fallen by almost 50 percent due to investments in class-size reduction and an increase in the number of teachers who are not assigned to full classrooms (see Figure 2). How Is Education So Well Protected during Recessions? </w:t>
      </w:r>
      <w:r w:rsidRPr="00AA0D15">
        <w:rPr>
          <w:rStyle w:val="StyleUnderline"/>
        </w:rPr>
        <w:t>Public schools have long been remarkably insulated from economic downturns</w:t>
      </w:r>
      <w:r w:rsidRPr="00AA0D15">
        <w:t xml:space="preserve">. This becomes particularly clear when we compare employment trends in different economic sectors. Figure 3 displays </w:t>
      </w:r>
      <w:r w:rsidRPr="00AA0D15">
        <w:rPr>
          <w:rStyle w:val="StyleUnderline"/>
        </w:rPr>
        <w:t>historical</w:t>
      </w:r>
      <w:r w:rsidRPr="00AA0D15">
        <w:t xml:space="preserve"> (1972–2008) </w:t>
      </w:r>
      <w:r w:rsidRPr="00AA0D15">
        <w:rPr>
          <w:rStyle w:val="StyleUnderline"/>
        </w:rPr>
        <w:t>employment information</w:t>
      </w:r>
      <w:r w:rsidRPr="00AA0D15">
        <w:t xml:space="preserve"> </w:t>
      </w:r>
      <w:r w:rsidRPr="00AA0D15">
        <w:rPr>
          <w:rStyle w:val="StyleUnderline"/>
        </w:rPr>
        <w:t>in</w:t>
      </w:r>
      <w:r w:rsidRPr="00AA0D15">
        <w:t xml:space="preserve"> nine </w:t>
      </w:r>
      <w:r w:rsidRPr="00AA0D15">
        <w:rPr>
          <w:rStyle w:val="StyleUnderline"/>
        </w:rPr>
        <w:t>sectors</w:t>
      </w:r>
      <w:r w:rsidRPr="00AA0D15">
        <w:t xml:space="preserve">: construction, finance, government, information, manufacturing, professional and business services, retail trade, transportation, and warehousing. Employment levels </w:t>
      </w:r>
      <w:r w:rsidRPr="00AA0D15">
        <w:rPr>
          <w:rStyle w:val="StyleUnderline"/>
        </w:rPr>
        <w:t>reflect economic conditions and, except for government</w:t>
      </w:r>
      <w:r w:rsidRPr="00AA0D15">
        <w:t xml:space="preserve"> (which includes elementary and secondary education), </w:t>
      </w:r>
      <w:r w:rsidRPr="00AA0D15">
        <w:rPr>
          <w:rStyle w:val="StyleUnderline"/>
        </w:rPr>
        <w:t>employment levels fluctuate with the economy</w:t>
      </w:r>
      <w:r w:rsidRPr="00AA0D15">
        <w:t xml:space="preserve"> and the historical trend is modestly upward. </w:t>
      </w:r>
      <w:r w:rsidRPr="00AA0D15">
        <w:rPr>
          <w:rStyle w:val="StyleUnderline"/>
        </w:rPr>
        <w:t xml:space="preserve">Contrast this picture with the much steeper upward slopes in education employment </w:t>
      </w:r>
      <w:r w:rsidRPr="00AA0D15">
        <w:t xml:space="preserve">shown in Figure 2. Unlike other employment sectors, </w:t>
      </w:r>
      <w:r w:rsidRPr="00AA0D15">
        <w:rPr>
          <w:rStyle w:val="StyleUnderline"/>
        </w:rPr>
        <w:t>education is protected from the direct effects of economic ups and downs by an interlocking and reciprocally reinforcing set of politically constructed conditions</w:t>
      </w:r>
      <w:r w:rsidRPr="00AA0D15">
        <w:t xml:space="preserve">. </w:t>
      </w:r>
      <w:r w:rsidRPr="00AA0D15">
        <w:rPr>
          <w:rStyle w:val="StyleUnderline"/>
        </w:rPr>
        <w:t>Among these conditions are 1) education’s privileged legal status in most state constitutions; 2) schooling’s uniquely decentralized operation and diffuse revenue-generation structure; 3) local political dynamics and institutions that foster a favorable fiscal environment for public schools</w:t>
      </w:r>
      <w:r w:rsidRPr="00AA0D15">
        <w:t xml:space="preserve">; </w:t>
      </w:r>
      <w:r w:rsidRPr="00AA0D15">
        <w:rPr>
          <w:rStyle w:val="StyleUnderline"/>
        </w:rPr>
        <w:t xml:space="preserve">4) a multitiered structure for funding schools with complicated intergovernmental funding incentives and reliance on inelastic tax sources, such as property taxes </w:t>
      </w:r>
      <w:r w:rsidRPr="00AA0D15">
        <w:t xml:space="preserve">at the local level. </w:t>
      </w:r>
      <w:r w:rsidRPr="00AA0D15">
        <w:rPr>
          <w:rStyle w:val="StyleUnderline"/>
        </w:rPr>
        <w:t>Almost</w:t>
      </w:r>
      <w:r w:rsidRPr="00AA0D15">
        <w:rPr>
          <w:rStyle w:val="Emphasis"/>
        </w:rPr>
        <w:t xml:space="preserve"> no other economic endeavor enjoys such a spectrum of insulating conditions</w:t>
      </w:r>
      <w:r w:rsidRPr="00AA0D15">
        <w:rPr>
          <w:rStyle w:val="StyleUnderline"/>
        </w:rPr>
        <w:t xml:space="preserve">. </w:t>
      </w:r>
      <w:r w:rsidRPr="00AA0D15">
        <w:t>Constitutional Privilege. The United States Constitution is silent regarding education and schooling. This omission, taken in tandem with the Tenth Amendment’s reservation of unspecified powers to states and the people, and state-level constitutional provisions, renders education principally a state function. Moreover</w:t>
      </w:r>
      <w:r w:rsidRPr="00AA0D15">
        <w:rPr>
          <w:rStyle w:val="StyleUnderline"/>
        </w:rPr>
        <w:t xml:space="preserve">, state constitutions explicitly assume responsibility for provision of schooling. </w:t>
      </w:r>
      <w:r w:rsidRPr="00AA0D15">
        <w:t xml:space="preserve">State constitutional education clauses are generally of three kinds. They assign the legislature a responsibility for provision of an education system that is 1) “Thorough and Efficient,” 2) “General and Uniform,” or 3) the legislature’s “Paramount Duty.” The precise language of the state constitution is not as important as the explicit specification of the state’s responsibility for providing education. Criminal justice, transportation, recreation, indigent care, economic development, commercial regulation, and even public safety are not privileged to the same degree. A state can decide to pursue or abolish numerous areas of government responsibility, such as support for prisons, highways, parks, and colleges, or welfare payments. </w:t>
      </w:r>
      <w:r w:rsidRPr="00AA0D15">
        <w:rPr>
          <w:rStyle w:val="StyleUnderline"/>
        </w:rPr>
        <w:t>It cannot decide to abandon its K–12 school system. Indeed, several states even have constitutional provisions that prevent less being spent on education in any one year than in a prior year. Many state courts have made clear that education takes priority when it comes to appropriating funds</w:t>
      </w:r>
      <w:r w:rsidRPr="00AA0D15">
        <w:t xml:space="preserve">. Adequacy cases decided in favor of plaintiffs in numerous states, such as Campbell County v. Wyoming, have emphasized that the state has a unique obligation to fund schools at high levels, even if other parts of the budget must suffer. </w:t>
      </w:r>
      <w:r w:rsidRPr="00AA0D15">
        <w:rPr>
          <w:rStyle w:val="StyleUnderline"/>
        </w:rPr>
        <w:t xml:space="preserve">Decentralized Operation. </w:t>
      </w:r>
      <w:r w:rsidRPr="00AA0D15">
        <w:rPr>
          <w:rStyle w:val="Emphasis"/>
        </w:rPr>
        <w:t>No modern nation has an education system that is more decentralized</w:t>
      </w:r>
      <w:r w:rsidRPr="00AA0D15">
        <w:rPr>
          <w:rStyle w:val="StyleUnderline"/>
        </w:rPr>
        <w:t xml:space="preserve"> or multitiered than the United States. </w:t>
      </w:r>
      <w:r w:rsidRPr="00AA0D15">
        <w:rPr>
          <w:rStyle w:val="Emphasis"/>
        </w:rPr>
        <w:t xml:space="preserve">The consequence is that American school systems are buffered structurally and politically against resource competition with other state and local governmental services. </w:t>
      </w:r>
      <w:r w:rsidRPr="00AA0D15">
        <w:t xml:space="preserve">Conceived in the colonial period and evolving well into the 21st century, </w:t>
      </w:r>
      <w:r w:rsidRPr="00AA0D15">
        <w:rPr>
          <w:rStyle w:val="StyleUnderline"/>
        </w:rPr>
        <w:t>public education in the United States has relied on 50 distinct state systems that</w:t>
      </w:r>
      <w:r w:rsidRPr="00AA0D15">
        <w:t xml:space="preserve">, in turn, delegate selected dimensions of operational authority to more than 13,000 local school districts. </w:t>
      </w:r>
      <w:r w:rsidRPr="00AA0D15">
        <w:rPr>
          <w:rStyle w:val="StyleUnderline"/>
        </w:rPr>
        <w:t xml:space="preserve">The majority of these local districts have property taxing authority; the rest rely on county or municipal governments to generate their share of local revenue. </w:t>
      </w:r>
      <w:r w:rsidRPr="00AA0D15">
        <w:t xml:space="preserve">Local school districts are overseen by boards of education. Most of these, 80 percent, are made up of elected members. The remainder of the boards are appointed by mayors, city councils, or other elected authorities. </w:t>
      </w:r>
      <w:r w:rsidRPr="00AA0D15">
        <w:rPr>
          <w:rStyle w:val="Emphasis"/>
        </w:rPr>
        <w:t>Regardless of membership selection procedures, these boards place education in a privileged position relative to those publicly provided services</w:t>
      </w:r>
      <w:r w:rsidRPr="00AA0D15">
        <w:rPr>
          <w:rStyle w:val="StyleUnderline"/>
        </w:rPr>
        <w:t xml:space="preserve"> that depend on general governments for resources and must compete with other services for their share. </w:t>
      </w:r>
    </w:p>
    <w:p w:rsidR="00C47278" w:rsidRPr="00AA0D15" w:rsidRDefault="00C47278" w:rsidP="00C47278"/>
    <w:p w:rsidR="007C2097" w:rsidRDefault="007C2097" w:rsidP="007C2097">
      <w:pPr>
        <w:pStyle w:val="Heading3"/>
        <w:rPr>
          <w:rFonts w:cs="Times New Roman"/>
        </w:rPr>
      </w:pPr>
      <w:r w:rsidRPr="00AA0D15">
        <w:rPr>
          <w:rFonts w:cs="Times New Roman"/>
        </w:rPr>
        <w:t>AT states fail deficit</w:t>
      </w:r>
    </w:p>
    <w:p w:rsidR="007C2097" w:rsidRDefault="007C2097" w:rsidP="007C2097">
      <w:pPr>
        <w:pStyle w:val="Heading4"/>
      </w:pPr>
      <w:r>
        <w:t>The plan requires the states, and leaves the state significant discretion---any deficit to the counterplan links to the aff</w:t>
      </w:r>
    </w:p>
    <w:p w:rsidR="007C2097" w:rsidRPr="00050E5F" w:rsidRDefault="007C2097" w:rsidP="007C2097">
      <w:r w:rsidRPr="0008134C">
        <w:rPr>
          <w:rStyle w:val="Style13ptBold"/>
        </w:rPr>
        <w:t>Shober 10</w:t>
      </w:r>
      <w:r>
        <w:t xml:space="preserve"> – PhD, professor of government @ Lawrence U (Arnold, “Splintered Accountability State Governance and Education Reform,” State University of New York Press, p. 15-16)//BB</w:t>
      </w:r>
    </w:p>
    <w:p w:rsidR="007C2097" w:rsidRPr="001E1ACD" w:rsidRDefault="007C2097" w:rsidP="007C2097">
      <w:r>
        <w:t xml:space="preserve">First, </w:t>
      </w:r>
      <w:r w:rsidRPr="00923E87">
        <w:rPr>
          <w:rStyle w:val="StyleUnderline"/>
        </w:rPr>
        <w:t xml:space="preserve">the federal government has </w:t>
      </w:r>
      <w:r w:rsidRPr="00923E87">
        <w:rPr>
          <w:rStyle w:val="Emphasis"/>
        </w:rPr>
        <w:t>never</w:t>
      </w:r>
      <w:r w:rsidRPr="00923E87">
        <w:rPr>
          <w:rStyle w:val="StyleUnderline"/>
        </w:rPr>
        <w:t xml:space="preserve"> provided sufficient money</w:t>
      </w:r>
      <w:r>
        <w:rPr>
          <w:rStyle w:val="StyleUnderline"/>
        </w:rPr>
        <w:t xml:space="preserve"> </w:t>
      </w:r>
      <w:r w:rsidRPr="00923E87">
        <w:rPr>
          <w:rStyle w:val="StyleUnderline"/>
        </w:rPr>
        <w:t>to fully implement any educational program</w:t>
      </w:r>
      <w:r>
        <w:t xml:space="preserve">. Federal funding frequently comes with a “supplement-not-supplant” clause to prevent federal dollars from actually paying for an entire program: state effort, and thus state decision making, is required. </w:t>
      </w:r>
      <w:r w:rsidRPr="005D3A3C">
        <w:rPr>
          <w:rStyle w:val="StyleUnderline"/>
        </w:rPr>
        <w:t>Even if some federal program came</w:t>
      </w:r>
      <w:r>
        <w:t xml:space="preserve"> </w:t>
      </w:r>
      <w:r w:rsidRPr="005D3A3C">
        <w:rPr>
          <w:rStyle w:val="StyleUnderline"/>
        </w:rPr>
        <w:t>with enough funding to pay for every paper clip used to fulfill a federal</w:t>
      </w:r>
      <w:r>
        <w:rPr>
          <w:rStyle w:val="StyleUnderline"/>
        </w:rPr>
        <w:t xml:space="preserve"> </w:t>
      </w:r>
      <w:r w:rsidRPr="005D3A3C">
        <w:rPr>
          <w:rStyle w:val="StyleUnderline"/>
        </w:rPr>
        <w:t xml:space="preserve">education mandate, </w:t>
      </w:r>
      <w:r w:rsidRPr="00923E87">
        <w:rPr>
          <w:rStyle w:val="Emphasis"/>
        </w:rPr>
        <w:t>the state and local districts would still be left with</w:t>
      </w:r>
      <w:r>
        <w:rPr>
          <w:rStyle w:val="Emphasis"/>
        </w:rPr>
        <w:t xml:space="preserve"> </w:t>
      </w:r>
      <w:r w:rsidRPr="00923E87">
        <w:rPr>
          <w:rStyle w:val="Emphasis"/>
        </w:rPr>
        <w:t>filling in the rest of the constellation of education</w:t>
      </w:r>
      <w:r w:rsidRPr="005D3A3C">
        <w:rPr>
          <w:rStyle w:val="StyleUnderline"/>
        </w:rPr>
        <w:t>: the school building,</w:t>
      </w:r>
      <w:r>
        <w:rPr>
          <w:rStyle w:val="StyleUnderline"/>
        </w:rPr>
        <w:t xml:space="preserve"> </w:t>
      </w:r>
      <w:r w:rsidRPr="005D3A3C">
        <w:rPr>
          <w:rStyle w:val="StyleUnderline"/>
        </w:rPr>
        <w:t>paying other teachers, funding health insurance costs for teachers, keeping</w:t>
      </w:r>
      <w:r>
        <w:rPr>
          <w:rStyle w:val="StyleUnderline"/>
        </w:rPr>
        <w:t xml:space="preserve"> </w:t>
      </w:r>
      <w:r w:rsidRPr="005D3A3C">
        <w:rPr>
          <w:rStyle w:val="StyleUnderline"/>
        </w:rPr>
        <w:t>track of district lines, and selecting curriculum</w:t>
      </w:r>
      <w:r>
        <w:t xml:space="preserve">. That is, the federal government sponsors individual programs and not comprehensive ones (although the ESEA now provides some circumstances for school-wide Title I funding, somewhat weakening this claim). </w:t>
      </w:r>
      <w:r w:rsidRPr="005D3A3C">
        <w:rPr>
          <w:rStyle w:val="StyleUnderline"/>
        </w:rPr>
        <w:t>This leaves states</w:t>
      </w:r>
      <w:r>
        <w:rPr>
          <w:rStyle w:val="StyleUnderline"/>
        </w:rPr>
        <w:t xml:space="preserve"> </w:t>
      </w:r>
      <w:r w:rsidRPr="005D3A3C">
        <w:rPr>
          <w:rStyle w:val="StyleUnderline"/>
        </w:rPr>
        <w:t>freedom to “frame” how effective programs are</w:t>
      </w:r>
      <w:r>
        <w:t>. Second, the federal government has rarely used “teeth” when states miss deadlines or even ignore mandates. Instead, Congress or the federal bureaucracy is likely to modify the mandate or overlook the misstep. For example, the 1994 ESEA reauthorization required states to develop content standards and a method to assess student performance. By 2001, only eleven states had fulfi lled this legal requirement—the U.S. Department of Education had waived the deadlines (Manna 2006, 113). The authors of No Child Left Behind of 2001 did not want a repeat of this lax enforcement, so they required the testing of all students as a condition of federal money. Yet after states complained that some of the neediest schools (and some of the least needy) would not make adequate yearly progress, Education Secretary Margaret Spellings granted greater leeway for meeting the law’s requirements (Dillon 2005). Even in specifi c instances, the federal bureaucracy has proven remarkably pliable: Gormley (2006, 532) reports that the U.S. Department of Education granted three quarters of the waivers that states submitted between 1995 and 2004 (669 of 882).</w:t>
      </w:r>
    </w:p>
    <w:p w:rsidR="007C2097" w:rsidRPr="00AA0D15" w:rsidRDefault="007C2097" w:rsidP="007C2097">
      <w:pPr>
        <w:pStyle w:val="Heading4"/>
        <w:rPr>
          <w:rFonts w:cs="Times New Roman"/>
        </w:rPr>
      </w:pPr>
      <w:r w:rsidRPr="00AA0D15">
        <w:rPr>
          <w:rFonts w:cs="Times New Roman"/>
        </w:rPr>
        <w:t>All their solvency deficits apply equally to them because state’s implement the aff</w:t>
      </w:r>
    </w:p>
    <w:p w:rsidR="007C2097" w:rsidRPr="00AA0D15" w:rsidRDefault="007C2097" w:rsidP="007C2097">
      <w:pPr>
        <w:rPr>
          <w:b/>
        </w:rPr>
      </w:pPr>
      <w:r w:rsidRPr="00CB4C8B">
        <w:rPr>
          <w:rStyle w:val="Style13ptBold"/>
        </w:rPr>
        <w:t>Junge and Krvaric 2011</w:t>
      </w:r>
      <w:r w:rsidRPr="00AA0D15">
        <w:t xml:space="preserve"> --- Lawyers and Cofounders at Federal Education Group firm. (Melissa Junge, Sheara Krvaric, “Federal compliance works against education policy goals”, July 28, 2011, https://www.aei.org/publication/federal-compliance-works-against-education-policy-goals/)//ET</w:t>
      </w:r>
    </w:p>
    <w:p w:rsidR="007C2097" w:rsidRPr="00CB4C8B" w:rsidRDefault="007C2097" w:rsidP="007C2097">
      <w:pPr>
        <w:rPr>
          <w:sz w:val="12"/>
        </w:rPr>
      </w:pPr>
      <w:r w:rsidRPr="00AA0D15">
        <w:rPr>
          <w:sz w:val="12"/>
        </w:rPr>
        <w:t xml:space="preserve">While the federal government spends billions of dollars every year on federal education programs, federal policymakers and education advocates often lament that these programs do not achieve their intended results–specifically, increasing student academic achievement. To address this problem, </w:t>
      </w:r>
      <w:r w:rsidRPr="00AA0D15">
        <w:rPr>
          <w:u w:val="single"/>
        </w:rPr>
        <w:t xml:space="preserve">policymakers and advocates typically debate the merits and drawbacks of broad federal education policies and various educational approaches, </w:t>
      </w:r>
      <w:r w:rsidRPr="00AA0D15">
        <w:rPr>
          <w:b/>
          <w:u w:val="single"/>
        </w:rPr>
        <w:t>without examining</w:t>
      </w:r>
      <w:r w:rsidRPr="00AA0D15">
        <w:rPr>
          <w:u w:val="single"/>
        </w:rPr>
        <w:t xml:space="preserve"> the underlying federal compliance framework that directly impacts whether and how these policies can be carried out by states and school districts</w:t>
      </w:r>
      <w:r w:rsidRPr="00AA0D15">
        <w:rPr>
          <w:sz w:val="12"/>
        </w:rPr>
        <w:t xml:space="preserve">. Reforming little-known and little-understood federal compliance rules could lead to far better educational outcomes than broad changes in federal policy alone. Addressing these rules will improve conditions so schools and school districts can successfully implement programs that will raise student achievement. Key points in this Outlook: </w:t>
      </w:r>
      <w:r w:rsidRPr="00AA0D15">
        <w:rPr>
          <w:u w:val="single"/>
        </w:rPr>
        <w:t>Federal fiscal compliance rules can stifle innovation and hinder federal education programs from achieving their goals.</w:t>
      </w:r>
      <w:r w:rsidRPr="00AA0D15">
        <w:rPr>
          <w:sz w:val="12"/>
        </w:rPr>
        <w:t xml:space="preserve"> </w:t>
      </w:r>
      <w:r w:rsidRPr="00AA0D15">
        <w:rPr>
          <w:rStyle w:val="Emphasis"/>
        </w:rPr>
        <w:t>States have authority and responsibility over how federal education programs are implemented and must repay federal money if districts spend funds incorrectl</w:t>
      </w:r>
      <w:r w:rsidRPr="00AA0D15">
        <w:rPr>
          <w:u w:val="single"/>
        </w:rPr>
        <w:t>y; thus, states often impose more restrictive rules than federal law requires.</w:t>
      </w:r>
      <w:r w:rsidRPr="00AA0D15">
        <w:rPr>
          <w:sz w:val="12"/>
        </w:rPr>
        <w:t xml:space="preserve"> Congress and education policymakers should clarify and streamline these compliance requirements so schools can focus less on compliance and more on raising student achievement. Policymakers’ discussions of “regulatory reform” often overlook fiscal and administrative compliance requirements that impact the day-to-day implementation of federal programs. This happens for two reasons. First, these compliance rules, by themselves, appear to be far removed from traditional education policy discussions, until one considers how they stifle effective programs. Second, states and districts are reluctant to raise questions or concerns about these requirements because they do not want to bring additional scrutiny to themselves. In this environment, it is critical for federal policymakers and education advocates to closely examine compliance rules and understand how they unintentionally hinder good program implementation. In this Outlook, we provide examples of how the current compliance framework is often disconnected from larger federal policy goals and–perhaps more importantly–can get in the way of states and districts trying to implement solutions that would lead to improved educational outcomes. </w:t>
      </w:r>
    </w:p>
    <w:p w:rsidR="007C2097" w:rsidRPr="00AA0D15" w:rsidRDefault="007C2097" w:rsidP="007C2097"/>
    <w:p w:rsidR="00C47278" w:rsidRDefault="00C47278" w:rsidP="00C47278">
      <w:pPr>
        <w:pStyle w:val="Heading3"/>
        <w:rPr>
          <w:rFonts w:cs="Times New Roman"/>
        </w:rPr>
      </w:pPr>
      <w:r w:rsidRPr="00AA0D15">
        <w:rPr>
          <w:rFonts w:cs="Times New Roman"/>
        </w:rPr>
        <w:t>AT modeling deficit – states solve</w:t>
      </w:r>
    </w:p>
    <w:p w:rsidR="00CB4C8B" w:rsidRDefault="00CB4C8B" w:rsidP="00CB4C8B">
      <w:pPr>
        <w:pStyle w:val="Heading4"/>
      </w:pPr>
      <w:r>
        <w:t>The counterplan creates cascading norms---those are perceived internationally</w:t>
      </w:r>
    </w:p>
    <w:p w:rsidR="00CB4C8B" w:rsidRPr="001F0B87" w:rsidRDefault="00CB4C8B" w:rsidP="00CB4C8B">
      <w:pPr>
        <w:rPr>
          <w:b/>
          <w:color w:val="000000"/>
        </w:rPr>
      </w:pPr>
      <w:r w:rsidRPr="001F0B87">
        <w:rPr>
          <w:rStyle w:val="Style13ptBold"/>
        </w:rPr>
        <w:t>Robinson 7</w:t>
      </w:r>
      <w:r w:rsidRPr="00932125">
        <w:rPr>
          <w:color w:val="000000"/>
        </w:rPr>
        <w:t xml:space="preserve"> </w:t>
      </w:r>
      <w:r>
        <w:rPr>
          <w:color w:val="000000"/>
        </w:rPr>
        <w:t>–</w:t>
      </w:r>
      <w:r w:rsidRPr="00932125">
        <w:rPr>
          <w:color w:val="000000"/>
        </w:rPr>
        <w:t xml:space="preserve"> </w:t>
      </w:r>
      <w:r>
        <w:rPr>
          <w:color w:val="000000"/>
        </w:rPr>
        <w:t xml:space="preserve">JD @ Yale (Nick, </w:t>
      </w:r>
      <w:r w:rsidRPr="00932125">
        <w:rPr>
          <w:color w:val="000000"/>
        </w:rPr>
        <w:t>“Citizens Not Subjects: U.S. Foreign Relations Law and the Dece</w:t>
      </w:r>
      <w:r>
        <w:rPr>
          <w:color w:val="000000"/>
        </w:rPr>
        <w:t xml:space="preserve">ntralization of Foreign Policy,” Akron Law Review, </w:t>
      </w:r>
      <w:r w:rsidRPr="00932125">
        <w:rPr>
          <w:color w:val="000000"/>
        </w:rPr>
        <w:t>Lexis)</w:t>
      </w:r>
      <w:r>
        <w:rPr>
          <w:color w:val="000000"/>
        </w:rPr>
        <w:t>//BB</w:t>
      </w:r>
    </w:p>
    <w:p w:rsidR="00CB4C8B" w:rsidRPr="001F0B87" w:rsidRDefault="00CB4C8B" w:rsidP="00CB4C8B"/>
    <w:p w:rsidR="00CB4C8B" w:rsidRPr="001F0B87" w:rsidRDefault="00CB4C8B" w:rsidP="00CB4C8B">
      <w:r w:rsidRPr="00C46A6D">
        <w:rPr>
          <w:rStyle w:val="StyleUnderline"/>
        </w:rPr>
        <w:t>States have also urged the United States to sign and ratify international agreements</w:t>
      </w:r>
      <w:r>
        <w:t xml:space="preserve">. For example, several state governments have passed resolutions in support of the Convention on the Elimination of Discrimination Against Women (CEDAW).324 </w:t>
      </w:r>
      <w:r w:rsidRPr="00C46A6D">
        <w:rPr>
          <w:rStyle w:val="StyleUnderline"/>
        </w:rPr>
        <w:t>Often state and local action arises out of dissatisfaction with the</w:t>
      </w:r>
      <w:r>
        <w:rPr>
          <w:rStyle w:val="StyleUnderline"/>
        </w:rPr>
        <w:t xml:space="preserve"> </w:t>
      </w:r>
      <w:r w:rsidRPr="00C46A6D">
        <w:rPr>
          <w:rStyle w:val="StyleUnderline"/>
        </w:rPr>
        <w:t>perceived inadequacy or incorrectness of a federal policy towards a</w:t>
      </w:r>
      <w:r>
        <w:rPr>
          <w:rStyle w:val="StyleUnderline"/>
        </w:rPr>
        <w:t xml:space="preserve"> </w:t>
      </w:r>
      <w:r w:rsidRPr="00C46A6D">
        <w:rPr>
          <w:rStyle w:val="StyleUnderline"/>
        </w:rPr>
        <w:t>foreign policy issue</w:t>
      </w:r>
      <w:r>
        <w:t xml:space="preserve">. Catherine </w:t>
      </w:r>
      <w:r w:rsidRPr="00C46A6D">
        <w:rPr>
          <w:rStyle w:val="StyleUnderline"/>
        </w:rPr>
        <w:t>Powell calls the impact of state and local</w:t>
      </w:r>
      <w:r>
        <w:rPr>
          <w:rStyle w:val="StyleUnderline"/>
        </w:rPr>
        <w:t xml:space="preserve"> </w:t>
      </w:r>
      <w:r w:rsidRPr="00C46A6D">
        <w:rPr>
          <w:rStyle w:val="StyleUnderline"/>
        </w:rPr>
        <w:t>laws on national foreign policy “dialogic federalism.”</w:t>
      </w:r>
      <w:r>
        <w:t xml:space="preserve">325 She argues that </w:t>
      </w:r>
      <w:r w:rsidRPr="00C46A6D">
        <w:rPr>
          <w:rStyle w:val="Emphasis"/>
        </w:rPr>
        <w:t>enough local ordinances can create a norm cascade that affects federal</w:t>
      </w:r>
      <w:r>
        <w:rPr>
          <w:rStyle w:val="Emphasis"/>
        </w:rPr>
        <w:t xml:space="preserve"> </w:t>
      </w:r>
      <w:r w:rsidRPr="00C46A6D">
        <w:rPr>
          <w:rStyle w:val="Emphasis"/>
        </w:rPr>
        <w:t>policy</w:t>
      </w:r>
      <w:r>
        <w:t xml:space="preserve">.326 The U.S. federal sanctions against South Africa passed by Congress over President Reagan’s veto in 1986 were arguably in part a result of just such a norm cascade created by anti-apartheid resolutions and laws at the state and local level.327 </w:t>
      </w:r>
      <w:r w:rsidRPr="00C46A6D">
        <w:rPr>
          <w:rStyle w:val="StyleUnderline"/>
        </w:rPr>
        <w:t>In many ways, it is the mobilization of citizens around, more than</w:t>
      </w:r>
      <w:r>
        <w:rPr>
          <w:rStyle w:val="StyleUnderline"/>
        </w:rPr>
        <w:t xml:space="preserve"> </w:t>
      </w:r>
      <w:r>
        <w:t xml:space="preserve">the passage of </w:t>
      </w:r>
      <w:r w:rsidRPr="00C46A6D">
        <w:rPr>
          <w:rStyle w:val="StyleUnderline"/>
        </w:rPr>
        <w:t>a resolution</w:t>
      </w:r>
      <w:r>
        <w:t xml:space="preserve"> or act </w:t>
      </w:r>
      <w:r w:rsidRPr="00C46A6D">
        <w:t>on a foreign</w:t>
      </w:r>
      <w:r>
        <w:t xml:space="preserve"> policy issue </w:t>
      </w:r>
      <w:r w:rsidRPr="00C46A6D">
        <w:rPr>
          <w:rStyle w:val="StyleUnderline"/>
        </w:rPr>
        <w:t>that leads to a</w:t>
      </w:r>
      <w:r>
        <w:rPr>
          <w:rStyle w:val="StyleUnderline"/>
        </w:rPr>
        <w:t xml:space="preserve"> </w:t>
      </w:r>
      <w:r w:rsidRPr="00C46A6D">
        <w:rPr>
          <w:rStyle w:val="StyleUnderline"/>
        </w:rPr>
        <w:t>norm cascade which changes federal policy. The effort required to</w:t>
      </w:r>
      <w:r>
        <w:rPr>
          <w:rStyle w:val="StyleUnderline"/>
        </w:rPr>
        <w:t xml:space="preserve"> </w:t>
      </w:r>
      <w:r w:rsidRPr="00C46A6D">
        <w:rPr>
          <w:rStyle w:val="StyleUnderline"/>
        </w:rPr>
        <w:t>convince legislators and their fellow citizens to support a locality’s</w:t>
      </w:r>
      <w:r>
        <w:rPr>
          <w:rStyle w:val="StyleUnderline"/>
        </w:rPr>
        <w:t xml:space="preserve"> </w:t>
      </w:r>
      <w:r w:rsidRPr="00C46A6D">
        <w:rPr>
          <w:rStyle w:val="StyleUnderline"/>
        </w:rPr>
        <w:t>official action gives citizens a tangible and reachable local goal to focus</w:t>
      </w:r>
      <w:r>
        <w:rPr>
          <w:rStyle w:val="StyleUnderline"/>
        </w:rPr>
        <w:t xml:space="preserve"> </w:t>
      </w:r>
      <w:r w:rsidRPr="00C46A6D">
        <w:rPr>
          <w:rStyle w:val="StyleUnderline"/>
        </w:rPr>
        <w:t>their efforts on. This helps organize constituencies locally that can</w:t>
      </w:r>
      <w:r>
        <w:rPr>
          <w:rStyle w:val="StyleUnderline"/>
        </w:rPr>
        <w:t xml:space="preserve"> </w:t>
      </w:r>
      <w:r w:rsidRPr="00C46A6D">
        <w:rPr>
          <w:rStyle w:val="StyleUnderline"/>
        </w:rPr>
        <w:t xml:space="preserve">develop into a </w:t>
      </w:r>
      <w:r w:rsidRPr="00C46A6D">
        <w:rPr>
          <w:rStyle w:val="Emphasis"/>
        </w:rPr>
        <w:t>national coalition</w:t>
      </w:r>
      <w:r>
        <w:t xml:space="preserve">. For example, someone who has worked continuously to garner support for a local divestment initiative on Sudan is also more likely to call their Congressperson to urge them to pass the Darfur Accountability Act. </w:t>
      </w:r>
      <w:r w:rsidRPr="00C46A6D">
        <w:rPr>
          <w:rStyle w:val="StyleUnderline"/>
        </w:rPr>
        <w:t>Norm cascades</w:t>
      </w:r>
      <w:r>
        <w:t xml:space="preserve"> created by localities’ actions do not only impact the policy they are directed at, but </w:t>
      </w:r>
      <w:r w:rsidRPr="00C46A6D">
        <w:rPr>
          <w:rStyle w:val="Emphasis"/>
        </w:rPr>
        <w:t>have a wider impact as well</w:t>
      </w:r>
      <w:r>
        <w:t xml:space="preserve">. For instance, the South Africa or Sudan divestment </w:t>
      </w:r>
      <w:r w:rsidRPr="00C46A6D">
        <w:rPr>
          <w:rStyle w:val="StyleUnderline"/>
        </w:rPr>
        <w:t>campaigns can be seen</w:t>
      </w:r>
      <w:r>
        <w:rPr>
          <w:rStyle w:val="StyleUnderline"/>
        </w:rPr>
        <w:t xml:space="preserve"> </w:t>
      </w:r>
      <w:r w:rsidRPr="00C46A6D">
        <w:rPr>
          <w:rStyle w:val="StyleUnderline"/>
        </w:rPr>
        <w:t>as national human rights moments. These are moments in which a</w:t>
      </w:r>
      <w:r>
        <w:rPr>
          <w:rStyle w:val="StyleUnderline"/>
        </w:rPr>
        <w:t xml:space="preserve"> </w:t>
      </w:r>
      <w:r w:rsidRPr="00C46A6D">
        <w:rPr>
          <w:rStyle w:val="StyleUnderline"/>
        </w:rPr>
        <w:t>segment of the American public becomes unusually organized to</w:t>
      </w:r>
      <w:r>
        <w:rPr>
          <w:rStyle w:val="StyleUnderline"/>
        </w:rPr>
        <w:t xml:space="preserve"> </w:t>
      </w:r>
      <w:r w:rsidRPr="00C46A6D">
        <w:rPr>
          <w:rStyle w:val="StyleUnderline"/>
        </w:rPr>
        <w:t>promote a human rights-based foreign policy goal</w:t>
      </w:r>
      <w:r>
        <w:t xml:space="preserve">. Most voters remain generally unaware of how U.S. foreign policy implicates human rights in other countries. Further, most voters do not base their vote on foreign policy human rights issues. </w:t>
      </w:r>
      <w:r w:rsidRPr="00C46A6D">
        <w:rPr>
          <w:rStyle w:val="Emphasis"/>
        </w:rPr>
        <w:t>The signal given by these</w:t>
      </w:r>
      <w:r>
        <w:t xml:space="preserve"> human rights </w:t>
      </w:r>
      <w:r w:rsidRPr="00C46A6D">
        <w:rPr>
          <w:rStyle w:val="Emphasis"/>
        </w:rPr>
        <w:t>moments</w:t>
      </w:r>
      <w:r>
        <w:t xml:space="preserve">, however, </w:t>
      </w:r>
      <w:r w:rsidRPr="00C46A6D">
        <w:rPr>
          <w:rStyle w:val="Emphasis"/>
        </w:rPr>
        <w:t>creates an environment in which sympathetic</w:t>
      </w:r>
      <w:r>
        <w:rPr>
          <w:rStyle w:val="Emphasis"/>
        </w:rPr>
        <w:t xml:space="preserve"> </w:t>
      </w:r>
      <w:r w:rsidRPr="00C46A6D">
        <w:rPr>
          <w:rStyle w:val="Emphasis"/>
        </w:rPr>
        <w:t>legislators and policymakers can prioritize human rights concerns in</w:t>
      </w:r>
      <w:r>
        <w:rPr>
          <w:rStyle w:val="Emphasis"/>
        </w:rPr>
        <w:t xml:space="preserve"> </w:t>
      </w:r>
      <w:r>
        <w:t xml:space="preserve">other areas of </w:t>
      </w:r>
      <w:r w:rsidRPr="00C46A6D">
        <w:rPr>
          <w:rStyle w:val="Emphasis"/>
        </w:rPr>
        <w:t>foreign policy, knowing there is a constituency that</w:t>
      </w:r>
      <w:r>
        <w:rPr>
          <w:rStyle w:val="Emphasis"/>
        </w:rPr>
        <w:t xml:space="preserve"> </w:t>
      </w:r>
      <w:r w:rsidRPr="00C46A6D">
        <w:rPr>
          <w:rStyle w:val="Emphasis"/>
        </w:rPr>
        <w:t>generally supports this type of action</w:t>
      </w:r>
      <w:r>
        <w:t>.</w:t>
      </w:r>
    </w:p>
    <w:p w:rsidR="00CB4C8B" w:rsidRDefault="00CB4C8B" w:rsidP="00CB4C8B">
      <w:pPr>
        <w:pStyle w:val="Heading4"/>
      </w:pPr>
      <w:r>
        <w:t>State backlash turns this solvency deficit---without state buy-in the plan is perceived internationally as a hollow gesture</w:t>
      </w:r>
    </w:p>
    <w:p w:rsidR="00CB4C8B" w:rsidRPr="00340179" w:rsidRDefault="00CB4C8B" w:rsidP="00CB4C8B">
      <w:pPr>
        <w:rPr>
          <w:b/>
          <w:color w:val="000000"/>
        </w:rPr>
      </w:pPr>
      <w:r w:rsidRPr="001F0B87">
        <w:rPr>
          <w:rStyle w:val="Style13ptBold"/>
        </w:rPr>
        <w:t>Robinson 7</w:t>
      </w:r>
      <w:r w:rsidRPr="00932125">
        <w:rPr>
          <w:color w:val="000000"/>
        </w:rPr>
        <w:t xml:space="preserve"> </w:t>
      </w:r>
      <w:r>
        <w:rPr>
          <w:color w:val="000000"/>
        </w:rPr>
        <w:t>–</w:t>
      </w:r>
      <w:r w:rsidRPr="00932125">
        <w:rPr>
          <w:color w:val="000000"/>
        </w:rPr>
        <w:t xml:space="preserve"> </w:t>
      </w:r>
      <w:r>
        <w:rPr>
          <w:color w:val="000000"/>
        </w:rPr>
        <w:t xml:space="preserve">JD @ Yale (Nick, </w:t>
      </w:r>
      <w:r w:rsidRPr="00932125">
        <w:rPr>
          <w:color w:val="000000"/>
        </w:rPr>
        <w:t>“Citizens Not Subjects: U.S. Foreign Relations Law and the Dece</w:t>
      </w:r>
      <w:r>
        <w:rPr>
          <w:color w:val="000000"/>
        </w:rPr>
        <w:t xml:space="preserve">ntralization of Foreign Policy,” Akron Law Review, </w:t>
      </w:r>
      <w:r w:rsidRPr="00932125">
        <w:rPr>
          <w:color w:val="000000"/>
        </w:rPr>
        <w:t>Lexis)</w:t>
      </w:r>
      <w:r>
        <w:rPr>
          <w:color w:val="000000"/>
        </w:rPr>
        <w:t>//BB</w:t>
      </w:r>
    </w:p>
    <w:p w:rsidR="00CB4C8B" w:rsidRDefault="00CB4C8B" w:rsidP="00CB4C8B">
      <w:r>
        <w:t xml:space="preserve">A second critique of federalism is that if localities are given too much power they will pursue narrow-minded or unjust ends. Madison wrote in Federalist 10 that the tyranny of the majority could be checked more easily in a larger country because it was less likely they would share common enough interests to consistently suppress the rights of others.183 Indeed, </w:t>
      </w:r>
      <w:r w:rsidRPr="00C46A6D">
        <w:rPr>
          <w:rStyle w:val="StyleUnderline"/>
        </w:rPr>
        <w:t>many who grew up during the Civil Rights era in the</w:t>
      </w:r>
      <w:r>
        <w:rPr>
          <w:rStyle w:val="StyleUnderline"/>
        </w:rPr>
        <w:t xml:space="preserve"> </w:t>
      </w:r>
      <w:r w:rsidRPr="00C46A6D">
        <w:rPr>
          <w:rStyle w:val="StyleUnderline"/>
        </w:rPr>
        <w:t>United States associate state and local governments with racist laws in</w:t>
      </w:r>
      <w:r>
        <w:rPr>
          <w:rStyle w:val="StyleUnderline"/>
        </w:rPr>
        <w:t xml:space="preserve"> </w:t>
      </w:r>
      <w:r w:rsidRPr="00C46A6D">
        <w:rPr>
          <w:rStyle w:val="StyleUnderline"/>
        </w:rPr>
        <w:t>the American South that were entrenched in localities</w:t>
      </w:r>
      <w:r>
        <w:t xml:space="preserve">. These laws were only ultimately purged through the commitment of the national government. </w:t>
      </w:r>
      <w:r w:rsidRPr="00214A10">
        <w:rPr>
          <w:rStyle w:val="StyleUnderline"/>
        </w:rPr>
        <w:t>Many have argued for international human rights and trade</w:t>
      </w:r>
      <w:r>
        <w:rPr>
          <w:rStyle w:val="StyleUnderline"/>
        </w:rPr>
        <w:t xml:space="preserve"> </w:t>
      </w:r>
      <w:r w:rsidRPr="00214A10">
        <w:rPr>
          <w:rStyle w:val="StyleUnderline"/>
        </w:rPr>
        <w:t>regimes so that people and markets under localities’ control are not</w:t>
      </w:r>
      <w:r>
        <w:rPr>
          <w:rStyle w:val="StyleUnderline"/>
        </w:rPr>
        <w:t xml:space="preserve"> </w:t>
      </w:r>
      <w:r w:rsidRPr="00214A10">
        <w:rPr>
          <w:rStyle w:val="StyleUnderline"/>
        </w:rPr>
        <w:t>subject to parochial policie</w:t>
      </w:r>
      <w:r>
        <w:t xml:space="preserve">s. They claim that localities’ actions not in line with these commitments can only weaken the high standards of these international regimes. </w:t>
      </w:r>
      <w:r w:rsidRPr="00C46A6D">
        <w:rPr>
          <w:rStyle w:val="StyleUnderline"/>
        </w:rPr>
        <w:t>There are</w:t>
      </w:r>
      <w:r>
        <w:t xml:space="preserve"> at least two </w:t>
      </w:r>
      <w:r w:rsidRPr="00C46A6D">
        <w:rPr>
          <w:rStyle w:val="StyleUnderline"/>
        </w:rPr>
        <w:t>reasons to doubt the validity of this criticism</w:t>
      </w:r>
      <w:r>
        <w:t xml:space="preserve">. First, </w:t>
      </w:r>
      <w:r w:rsidRPr="00C46A6D">
        <w:rPr>
          <w:rStyle w:val="StyleUnderline"/>
        </w:rPr>
        <w:t>if localities are not involved in and do not accept the validity of</w:t>
      </w:r>
      <w:r>
        <w:rPr>
          <w:rStyle w:val="StyleUnderline"/>
        </w:rPr>
        <w:t xml:space="preserve"> </w:t>
      </w:r>
      <w:r>
        <w:t xml:space="preserve">international </w:t>
      </w:r>
      <w:r w:rsidRPr="00C46A6D">
        <w:rPr>
          <w:rStyle w:val="StyleUnderline"/>
        </w:rPr>
        <w:t>agreements, these agreements can seem hollow and</w:t>
      </w:r>
      <w:r>
        <w:rPr>
          <w:rStyle w:val="StyleUnderline"/>
        </w:rPr>
        <w:t xml:space="preserve"> </w:t>
      </w:r>
      <w:r w:rsidRPr="00C46A6D">
        <w:rPr>
          <w:rStyle w:val="StyleUnderline"/>
        </w:rPr>
        <w:t>illegitimate no matter how just their goals purport to be. International</w:t>
      </w:r>
      <w:r>
        <w:rPr>
          <w:rStyle w:val="StyleUnderline"/>
        </w:rPr>
        <w:t xml:space="preserve"> </w:t>
      </w:r>
      <w:r w:rsidRPr="00C46A6D">
        <w:rPr>
          <w:rStyle w:val="StyleUnderline"/>
        </w:rPr>
        <w:t>agreements and the norms they promote are not as likely to be</w:t>
      </w:r>
      <w:r>
        <w:rPr>
          <w:rStyle w:val="StyleUnderline"/>
        </w:rPr>
        <w:t xml:space="preserve"> </w:t>
      </w:r>
      <w:r w:rsidRPr="00C46A6D">
        <w:rPr>
          <w:rStyle w:val="StyleUnderline"/>
        </w:rPr>
        <w:t>successfully internalized without local involvement and participation in</w:t>
      </w:r>
      <w:r>
        <w:rPr>
          <w:rStyle w:val="StyleUnderline"/>
        </w:rPr>
        <w:t xml:space="preserve"> </w:t>
      </w:r>
      <w:r w:rsidRPr="00C46A6D">
        <w:rPr>
          <w:rStyle w:val="StyleUnderline"/>
        </w:rPr>
        <w:t>the development, contestation, and implementation of these agreements</w:t>
      </w:r>
      <w:r>
        <w:t xml:space="preserve">. </w:t>
      </w:r>
    </w:p>
    <w:p w:rsidR="002439A5" w:rsidRDefault="002439A5" w:rsidP="002439A5">
      <w:pPr>
        <w:pStyle w:val="Heading4"/>
      </w:pPr>
      <w:r>
        <w:t>State integration of international law can serve as the locus of transnational networks</w:t>
      </w:r>
    </w:p>
    <w:p w:rsidR="002439A5" w:rsidRPr="00AC17BE" w:rsidRDefault="002439A5" w:rsidP="002439A5">
      <w:r w:rsidRPr="00AC17BE">
        <w:rPr>
          <w:rStyle w:val="Style13ptBold"/>
        </w:rPr>
        <w:t>Wexler 06.</w:t>
      </w:r>
      <w:r>
        <w:t xml:space="preserve"> Lesley, Assistant Professor, Florida State University College of Law, Fall 2006, Michigan Journal of International Law, “Take The Long Way Home: Sub-Federal Integration Of Unratified And Non-Self-Executing Treaty Law,” 28 Mich. J. Int'l L. 1, Lexis-Nexis Academic//HL</w:t>
      </w:r>
    </w:p>
    <w:p w:rsidR="002439A5" w:rsidRPr="002439A5" w:rsidRDefault="002439A5" w:rsidP="002439A5">
      <w:r w:rsidRPr="00AC17BE">
        <w:rPr>
          <w:rStyle w:val="StyleUnderline"/>
        </w:rPr>
        <w:t>Treaties were once limited to seemingly external matters between countries,'3 but now that they include internal matters such as individual human rights and domestic environmental regulation, sub-federal actors play a greater role in treaty implementation.</w:t>
      </w:r>
      <w:r>
        <w:t xml:space="preserve"> 4 </w:t>
      </w:r>
      <w:r w:rsidRPr="00AC17BE">
        <w:rPr>
          <w:rStyle w:val="Emphasis"/>
          <w:sz w:val="28"/>
        </w:rPr>
        <w:t>Existing literature already recognizes that sub-federal actors often help integrate treaty law into domestic law and act as the locus of transnational networks</w:t>
      </w:r>
      <w:r>
        <w:t>.'5 This Article adds to that observation by contending that such integration does not always happen at the behest of the federal government. Rather, this Article examines several case studies in which sub-federal actors undertake this integrating role even as the federal government ignores or abandons a particular treaty.</w:t>
      </w:r>
    </w:p>
    <w:p w:rsidR="00C47278" w:rsidRPr="00AA0D15" w:rsidRDefault="00C47278" w:rsidP="00C47278">
      <w:pPr>
        <w:pStyle w:val="Heading4"/>
        <w:rPr>
          <w:rFonts w:cs="Times New Roman"/>
        </w:rPr>
      </w:pPr>
      <w:r w:rsidRPr="00AA0D15">
        <w:rPr>
          <w:rFonts w:cs="Times New Roman"/>
        </w:rPr>
        <w:t>States have more ties to other governments – their jurisdiction over education means the CP solves better for modeling</w:t>
      </w:r>
    </w:p>
    <w:p w:rsidR="00C47278" w:rsidRPr="00AA0D15" w:rsidRDefault="00C47278" w:rsidP="00C47278">
      <w:pPr>
        <w:rPr>
          <w:rStyle w:val="Style13ptBold"/>
        </w:rPr>
      </w:pPr>
      <w:r w:rsidRPr="00AA0D15">
        <w:rPr>
          <w:rStyle w:val="Style13ptBold"/>
        </w:rPr>
        <w:t>Fry 1998</w:t>
      </w:r>
    </w:p>
    <w:p w:rsidR="00C47278" w:rsidRPr="007C2097" w:rsidRDefault="00C47278" w:rsidP="007C2097">
      <w:r w:rsidRPr="007C2097">
        <w:t xml:space="preserve">(Earl H., professor of political science and Endowed Professor of Canadian Studies at Brigham Young University, Council of Foreign Affairs ,“Excerpt: The Expanding Role of State and Local Governments in U.S. Foreign Affairs,” </w:t>
      </w:r>
      <w:hyperlink r:id="rId21" w:history="1">
        <w:r w:rsidRPr="007C2097">
          <w:rPr>
            <w:rStyle w:val="Hyperlink"/>
          </w:rPr>
          <w:t>https://www.cfr.org/excerpt-expanding-role-state-and-local-governments-us-foreign-affairs</w:t>
        </w:r>
      </w:hyperlink>
      <w:r w:rsidRPr="007C2097">
        <w:t>, Date Accessed: 6/27/17 – KSA)</w:t>
      </w:r>
    </w:p>
    <w:p w:rsidR="00C47278" w:rsidRPr="00AA0D15" w:rsidRDefault="00C47278" w:rsidP="00C47278"/>
    <w:p w:rsidR="00C47278" w:rsidRPr="00AA0D15" w:rsidRDefault="00C47278" w:rsidP="00C47278">
      <w:r w:rsidRPr="007C2097">
        <w:rPr>
          <w:rStyle w:val="StyleUnderline"/>
        </w:rPr>
        <w:t>The</w:t>
      </w:r>
      <w:r w:rsidRPr="00AA0D15">
        <w:rPr>
          <w:rStyle w:val="StyleUnderline"/>
        </w:rPr>
        <w:t xml:space="preserve"> second major misperception of many Americans is that the White House and Congress enjoy a virtual monopoly in dictating every important detail related to U.S. foreign affairs</w:t>
      </w:r>
      <w:r w:rsidRPr="00AA0D15">
        <w:t xml:space="preserve"> and that this pattern will continue indefinitely into the 21st century. It is of course true that the U.S. Constitution grants the national government the authority to declare war, make treaties, and regulate international commerce. However, </w:t>
      </w:r>
      <w:r w:rsidRPr="00AA0D15">
        <w:rPr>
          <w:rStyle w:val="StyleUnderline"/>
        </w:rPr>
        <w:t>much latitude is provided to</w:t>
      </w:r>
      <w:r w:rsidRPr="00AA0D15">
        <w:t xml:space="preserve"> corporations, individuals, and </w:t>
      </w:r>
      <w:r w:rsidRPr="00AA0D15">
        <w:rPr>
          <w:rStyle w:val="StyleUnderline"/>
        </w:rPr>
        <w:t>state and local governments</w:t>
      </w:r>
      <w:r w:rsidRPr="00AA0D15">
        <w:t xml:space="preserve"> </w:t>
      </w:r>
      <w:r w:rsidRPr="00AA0D15">
        <w:rPr>
          <w:rStyle w:val="StyleUnderline"/>
        </w:rPr>
        <w:t xml:space="preserve">to be very much involved internationally, and their combined influence over the conduct of U.S. foreign affairs is likely to grow </w:t>
      </w:r>
      <w:r w:rsidRPr="00AA0D15">
        <w:t>in the decades ahead, especially if Washington continues to slash foreign affairs­-related budgets and increasingly shies away from foreign aid, U.N. dues, or more free trade agreements.</w:t>
      </w:r>
      <w:r w:rsidR="007C2097">
        <w:t xml:space="preserve"> </w:t>
      </w:r>
      <w:r w:rsidRPr="00AA0D15">
        <w:t>By the year 2000, 20 million American jobs will be linked to international trade, investment, and tourism. Approximately 7,000 multinational corporations (MNCs) existed a quarter of a century ago, compared with 40,000 today. The value of goods and services produced annually by the foreign affiliates of MNCs now exceeds the total value of cross-border trade in goods and services around the world.[9] Moreover, in the global trading arena itself, intrafirm transactions among MNCs are responsible for one-third of total merchandise trade and MNC exports to nonaffiliates for perhaps an additional one-third.[10] In the United States, intrafirm trade by U.S. and foreign-based MNCs accounts for almost 50 percent of total U.S. merchandise exports and over 50 percent of imports.[11] The capability of the White House or Capitol Hill to control the international activities of these MNCs is becoming increasingly limited.</w:t>
      </w:r>
      <w:r w:rsidR="007C2097">
        <w:t xml:space="preserve"> </w:t>
      </w:r>
      <w:r w:rsidR="00CB4C8B">
        <w:rPr>
          <w:rStyle w:val="StyleUnderline"/>
        </w:rPr>
        <w:t>State governments n</w:t>
      </w:r>
      <w:r w:rsidRPr="00AA0D15">
        <w:rPr>
          <w:rStyle w:val="StyleUnderline"/>
        </w:rPr>
        <w:t>w operate almost as many permanent offices overseas as the U.S. government operates embassies</w:t>
      </w:r>
      <w:r w:rsidRPr="00AA0D15">
        <w:t xml:space="preserve">. Governors lead far more international trade and investment missions on an annual basis than the president of the United States and the members of his cabinet. State governments also issue more export grants and loan guarantees than agencies of the U.S. government.[12] The federal government does not facilitate efforts by foreign firms to make direct investments in the United States, and provisions in the Exon-Florio amendment actually permit the president of the United States to block foreign investments when he considers them detrimental to U.S. national security. In contrast to Washington's overall neutrality or even periodic antipathy toward inward direct investment, </w:t>
      </w:r>
      <w:r w:rsidRPr="00AA0D15">
        <w:rPr>
          <w:rStyle w:val="StyleUnderline"/>
        </w:rPr>
        <w:t>state and local governments are spending millions of dollars tracking down potential</w:t>
      </w:r>
      <w:r w:rsidRPr="00AA0D15">
        <w:t xml:space="preserve"> overseas investors and then have been willing to ante up billions of dollars in incentives to attract foreign-based companies to their areas of jurisdiction. In addition, over the past quarter of a century, state and local governments have entered into thousands of accords, compacts, and agreements (but not "treaties") with national and subnational governments around the world. With the approval of Washington, state governments even have begun to dispatch their National Guard units abroad to train military and civilian leaders in a number of former Warsaw Pact nations.[13]</w:t>
      </w:r>
    </w:p>
    <w:p w:rsidR="00C47278" w:rsidRPr="00AA0D15" w:rsidRDefault="00C47278" w:rsidP="00C47278">
      <w:pPr>
        <w:pStyle w:val="Heading4"/>
        <w:rPr>
          <w:rFonts w:cs="Times New Roman"/>
        </w:rPr>
      </w:pPr>
      <w:r w:rsidRPr="00AA0D15">
        <w:rPr>
          <w:rFonts w:cs="Times New Roman"/>
        </w:rPr>
        <w:t>States create their own programs through multistate regionalism and cooperate across borders</w:t>
      </w:r>
    </w:p>
    <w:p w:rsidR="00C47278" w:rsidRPr="00AA0D15" w:rsidRDefault="00C47278" w:rsidP="00C47278">
      <w:pPr>
        <w:rPr>
          <w:rStyle w:val="Style13ptBold"/>
        </w:rPr>
      </w:pPr>
      <w:r w:rsidRPr="00AA0D15">
        <w:rPr>
          <w:rStyle w:val="Style13ptBold"/>
        </w:rPr>
        <w:t>Chi 1990</w:t>
      </w:r>
    </w:p>
    <w:p w:rsidR="00C47278" w:rsidRPr="007C2097" w:rsidRDefault="00C47278" w:rsidP="007C2097">
      <w:r w:rsidRPr="007C2097">
        <w:t xml:space="preserve">(Keon S., previously editor-in-chief of “The Book of the States,” director of the newly created National Center for State Governance Transformation, Member of the American Society for Public Administration, American Political Science Association, and World Future Society, Ph.D. in government from Claremont Graduate University, Professor at Georgetown College,“Interstate Cooperation: Resurgence of Multistate Regionalism,” </w:t>
      </w:r>
      <w:hyperlink r:id="rId22" w:history="1">
        <w:r w:rsidRPr="007C2097">
          <w:rPr>
            <w:rStyle w:val="Hyperlink"/>
          </w:rPr>
          <w:t>http://www.csg.org/knowledgecenter/docs/ncic/ResurgenceofMultistateRegionalism-KeonChi-Spectrum-July1990.pdf</w:t>
        </w:r>
      </w:hyperlink>
      <w:r w:rsidRPr="007C2097">
        <w:t>, Date Accessed: 6/28/17 – KSA)</w:t>
      </w:r>
    </w:p>
    <w:p w:rsidR="00C47278" w:rsidRPr="00AA0D15" w:rsidRDefault="00C47278" w:rsidP="00C47278">
      <w:r w:rsidRPr="00AA0D15">
        <w:t xml:space="preserve">Second, </w:t>
      </w:r>
      <w:r w:rsidRPr="00AA0D15">
        <w:rPr>
          <w:rStyle w:val="StyleUnderline"/>
        </w:rPr>
        <w:t xml:space="preserve">unlike multistate regional mechanisms initiated and administered by the federal government </w:t>
      </w:r>
      <w:r w:rsidRPr="00AA0D15">
        <w:t xml:space="preserve">during the 1960s and 1970s, </w:t>
      </w:r>
      <w:r w:rsidRPr="00AA0D15">
        <w:rPr>
          <w:rStyle w:val="StyleUnderline"/>
        </w:rPr>
        <w:t>states are developing regional strategies to tackle common problems without federal mandate or involvement</w:t>
      </w:r>
      <w:r w:rsidRPr="00AA0D15">
        <w:t xml:space="preserve">. Moreover, some </w:t>
      </w:r>
      <w:r w:rsidRPr="00AA0D15">
        <w:rPr>
          <w:rStyle w:val="StyleUnderline"/>
        </w:rPr>
        <w:t>regional programs have been initiated by states without creating additional layers of bureaucra</w:t>
      </w:r>
      <w:r w:rsidRPr="00AA0D15">
        <w:t xml:space="preserve">cy. Third, although the number of interstate compacts has declined to less than 10 in the 1980s compared to 50 in the 1960s and 20 in the 1970s, recent compacts tend to be more regional in scope. This is evidenced in the Great Lakes Interstate Sales Compact, Middle Atlantic Governors’ Compact on Alcohol and Drug Abuse, Northeast Interstate Low-level Radioactive Waste Compact and proposed compacts such as the Northwest compact for the Pacific Marine Resources Commission and the Midwestern Higher Education Compact. Fourth, states are initiating regional innovations in policy and management areas without using the traditional form of interstate compact. These interstate regional innovations do not require congressional approval and can be implemented more easily. Over the years, </w:t>
      </w:r>
      <w:r w:rsidRPr="00AA0D15">
        <w:rPr>
          <w:rStyle w:val="StyleUnderline"/>
        </w:rPr>
        <w:t>individual states have been management and policy innovators within the American federalism system</w:t>
      </w:r>
      <w:r w:rsidRPr="00AA0D15">
        <w:t xml:space="preserve">. Today states are contemplating regional innovations as well. And, fifth, developments in multistate regionalism extend beyond national borders. </w:t>
      </w:r>
      <w:r w:rsidRPr="00AA0D15">
        <w:rPr>
          <w:rStyle w:val="StyleUnderline"/>
        </w:rPr>
        <w:t>States and provinces in the US.-Canadian and US.-Mexican border areas have initiated regional approaches. One example of such “borderless” cooperation is the Pacific Northwest Legislative Leadership The Council of State Governments</w:t>
      </w:r>
      <w:r w:rsidRPr="00AA0D15">
        <w:t xml:space="preserve"> Page 59 Forum, established to explore greater regional unity for economic development. The forum consists of representatives from Alaska, Idaho, Montana, Oregon, Washington, Alberta and British Columbia. CSG’s Eastern and Midwestern regional conferences also have begun cooperative programs with several Canadian provinces.</w:t>
      </w:r>
    </w:p>
    <w:p w:rsidR="00C47278" w:rsidRPr="00AA0D15" w:rsidRDefault="00C47278" w:rsidP="00C47278">
      <w:pPr>
        <w:pStyle w:val="Heading3"/>
        <w:rPr>
          <w:rFonts w:cs="Times New Roman"/>
        </w:rPr>
      </w:pPr>
      <w:r w:rsidRPr="00AA0D15">
        <w:rPr>
          <w:rFonts w:cs="Times New Roman"/>
        </w:rPr>
        <w:t>AT modeling deficit – fed fails</w:t>
      </w:r>
    </w:p>
    <w:p w:rsidR="00C47278" w:rsidRPr="00AA0D15" w:rsidRDefault="00C47278" w:rsidP="00C47278">
      <w:pPr>
        <w:pStyle w:val="Heading4"/>
        <w:rPr>
          <w:rFonts w:cs="Times New Roman"/>
        </w:rPr>
      </w:pPr>
      <w:r w:rsidRPr="00AA0D15">
        <w:rPr>
          <w:rFonts w:cs="Times New Roman"/>
        </w:rPr>
        <w:t>U.S. education model not used by other countries – means that there wouldn’t be modeling in an incompatible system</w:t>
      </w:r>
    </w:p>
    <w:p w:rsidR="00C47278" w:rsidRPr="00AA0D15" w:rsidRDefault="00C47278" w:rsidP="00C47278">
      <w:pPr>
        <w:rPr>
          <w:rStyle w:val="Style13ptBold"/>
        </w:rPr>
      </w:pPr>
      <w:r w:rsidRPr="00AA0D15">
        <w:rPr>
          <w:rStyle w:val="Style13ptBold"/>
        </w:rPr>
        <w:t>Hatfield 2/23/15</w:t>
      </w:r>
    </w:p>
    <w:p w:rsidR="00C47278" w:rsidRPr="007C2097" w:rsidRDefault="00C47278" w:rsidP="007C2097">
      <w:r w:rsidRPr="007C2097">
        <w:t xml:space="preserve">(Jenn, Research Associate, Education Policy Studies at American Enterprise Institute, BA in Psychology and Government from Harvard College, “Here’s how different the US education system is vs. other nations,” </w:t>
      </w:r>
      <w:hyperlink r:id="rId23" w:history="1">
        <w:r w:rsidRPr="007C2097">
          <w:rPr>
            <w:rStyle w:val="Hyperlink"/>
          </w:rPr>
          <w:t>http://www.aei.org/publication/global-perspective-features-american-education/</w:t>
        </w:r>
      </w:hyperlink>
      <w:r w:rsidRPr="007C2097">
        <w:t>, Date Accessed: 6/27/17 – KSA)</w:t>
      </w:r>
    </w:p>
    <w:p w:rsidR="00C47278" w:rsidRPr="00AA0D15" w:rsidRDefault="00C47278" w:rsidP="00C47278">
      <w:r w:rsidRPr="00AA0D15">
        <w:rPr>
          <w:rStyle w:val="StyleUnderline"/>
        </w:rPr>
        <w:t>American education has</w:t>
      </w:r>
      <w:r w:rsidRPr="00AA0D15">
        <w:t xml:space="preserve"> historically </w:t>
      </w:r>
      <w:r w:rsidRPr="00AA0D15">
        <w:rPr>
          <w:rStyle w:val="StyleUnderline"/>
        </w:rPr>
        <w:t>made two sharp distinctions. The first is between local and national control of education</w:t>
      </w:r>
      <w:r w:rsidRPr="00AA0D15">
        <w:t xml:space="preserve">: our federalist system puts state and local governments in charge of education, not the federal government. </w:t>
      </w:r>
      <w:r w:rsidRPr="00AA0D15">
        <w:rPr>
          <w:rStyle w:val="StyleUnderline"/>
        </w:rPr>
        <w:t>The second is between private and public schools:</w:t>
      </w:r>
      <w:r w:rsidRPr="00AA0D15">
        <w:t xml:space="preserve"> public schools receive government funding and are subject to rules and regulations to ensure that the funds are used appropriately, whereas private schools do not receive government funding and are given more freedom over what their educational programs look like and how their funds are used. When the first distinction is blurred, the American right tends to take up arms, and when the second is blurred, the Amer</w:t>
      </w:r>
      <w:r w:rsidR="007C2097">
        <w:t>ican left tends to be incensed.</w:t>
      </w:r>
    </w:p>
    <w:p w:rsidR="00C47278" w:rsidRPr="00AA0D15" w:rsidRDefault="00C47278" w:rsidP="00C47278">
      <w:r w:rsidRPr="00AA0D15">
        <w:rPr>
          <w:rStyle w:val="StyleUnderline"/>
        </w:rPr>
        <w:t>How do other countries manage school choice?</w:t>
      </w:r>
      <w:r w:rsidRPr="00AA0D15">
        <w:t xml:space="preserve"> </w:t>
      </w:r>
      <w:r w:rsidRPr="00AA0D15">
        <w:rPr>
          <w:rStyle w:val="StyleUnderline"/>
        </w:rPr>
        <w:t>Are private and religious schools clearly distinguished from their public counterparts, or are there overlaps in funding and oversight?</w:t>
      </w:r>
      <w:r w:rsidRPr="00AA0D15">
        <w:t xml:space="preserve"> To answer this question, I researched four specific questions about how autonomous non-public schools are in 50 countrie</w:t>
      </w:r>
      <w:r w:rsidR="007C2097">
        <w:t>s, including the United States:</w:t>
      </w:r>
    </w:p>
    <w:p w:rsidR="00C47278" w:rsidRPr="00AA0D15" w:rsidRDefault="00C47278" w:rsidP="00C47278">
      <w:pPr>
        <w:rPr>
          <w:rStyle w:val="StyleUnderline"/>
        </w:rPr>
      </w:pPr>
      <w:r w:rsidRPr="00AA0D15">
        <w:rPr>
          <w:rStyle w:val="StyleUnderline"/>
        </w:rPr>
        <w:t>Does this country have private and/or religious schools that can receive public funds?</w:t>
      </w:r>
    </w:p>
    <w:p w:rsidR="00C47278" w:rsidRPr="00AA0D15" w:rsidRDefault="00C47278" w:rsidP="00C47278">
      <w:pPr>
        <w:rPr>
          <w:rStyle w:val="StyleUnderline"/>
        </w:rPr>
      </w:pPr>
      <w:r w:rsidRPr="00AA0D15">
        <w:t xml:space="preserve">Does this country have </w:t>
      </w:r>
      <w:r w:rsidRPr="00AA0D15">
        <w:rPr>
          <w:rStyle w:val="StyleUnderline"/>
        </w:rPr>
        <w:t>nationally-mandated exams?</w:t>
      </w:r>
    </w:p>
    <w:p w:rsidR="00C47278" w:rsidRPr="00AA0D15" w:rsidRDefault="00C47278" w:rsidP="00C47278">
      <w:pPr>
        <w:rPr>
          <w:rStyle w:val="StyleUnderline"/>
        </w:rPr>
      </w:pPr>
      <w:r w:rsidRPr="00AA0D15">
        <w:t xml:space="preserve">Does this country have a </w:t>
      </w:r>
      <w:r w:rsidRPr="00AA0D15">
        <w:rPr>
          <w:rStyle w:val="StyleUnderline"/>
        </w:rPr>
        <w:t>nationally-mandated curriculum?</w:t>
      </w:r>
    </w:p>
    <w:p w:rsidR="00C47278" w:rsidRPr="00AA0D15" w:rsidRDefault="00C47278" w:rsidP="00C47278">
      <w:r w:rsidRPr="00AA0D15">
        <w:t xml:space="preserve">Does this country have a </w:t>
      </w:r>
      <w:r w:rsidRPr="00AA0D15">
        <w:rPr>
          <w:rStyle w:val="StyleUnderline"/>
        </w:rPr>
        <w:t>nationally-mandated teacher pay scale?</w:t>
      </w:r>
    </w:p>
    <w:p w:rsidR="00C47278" w:rsidRPr="00AA0D15" w:rsidRDefault="00C47278" w:rsidP="00C47278">
      <w:r w:rsidRPr="00AA0D15">
        <w:rPr>
          <w:rStyle w:val="StyleUnderline"/>
        </w:rPr>
        <w:t>For all four questions, the modal response was overwhelmingly yes.</w:t>
      </w:r>
      <w:r w:rsidRPr="00AA0D15">
        <w:t xml:space="preserve"> In fact, all four responses were yes in 25 of the 50 countries, and in two others, three responses were yes and there was no information available about teacher pay. </w:t>
      </w:r>
      <w:r w:rsidRPr="007C2097">
        <w:rPr>
          <w:rStyle w:val="Emphasis"/>
        </w:rPr>
        <w:t>This contrasts markedly with the United States</w:t>
      </w:r>
      <w:r w:rsidRPr="00AA0D15">
        <w:rPr>
          <w:rStyle w:val="StyleUnderline"/>
        </w:rPr>
        <w:t>,</w:t>
      </w:r>
      <w:r w:rsidRPr="00AA0D15">
        <w:t xml:space="preserve"> which was one of only two countries—the other being Brazil—where the answer to all four questions was no. (In Taiwan, the answer was no to the first three, and no information was available about teacher pay.)</w:t>
      </w:r>
    </w:p>
    <w:p w:rsidR="00C47278" w:rsidRPr="00AA0D15" w:rsidRDefault="00C47278" w:rsidP="00C47278">
      <w:r w:rsidRPr="00AA0D15">
        <w:t>[chart omitted]</w:t>
      </w:r>
    </w:p>
    <w:p w:rsidR="00C47278" w:rsidRPr="00AA0D15" w:rsidRDefault="00C47278" w:rsidP="00C47278">
      <w:r w:rsidRPr="00AA0D15">
        <w:t>The breakdown of responses by country for each question can be seen in the charts below:</w:t>
      </w:r>
    </w:p>
    <w:p w:rsidR="00C47278" w:rsidRPr="00AA0D15" w:rsidRDefault="00C47278" w:rsidP="00C47278">
      <w:r w:rsidRPr="00AA0D15">
        <w:t xml:space="preserve">[chart omitted] There is often an urge to take results like these to mean that the United States needs to catch up to other countries. But that’s poor logic – </w:t>
      </w:r>
      <w:r w:rsidRPr="00AA0D15">
        <w:rPr>
          <w:rStyle w:val="StyleUnderline"/>
        </w:rPr>
        <w:t>some countries that outperform the United States have a national curriculum</w:t>
      </w:r>
      <w:r w:rsidRPr="00AA0D15">
        <w:t xml:space="preserve"> or nationally-mandated exams, but </w:t>
      </w:r>
      <w:r w:rsidRPr="00AA0D15">
        <w:rPr>
          <w:rStyle w:val="StyleUnderline"/>
        </w:rPr>
        <w:t>so do many that perform worse</w:t>
      </w:r>
      <w:r w:rsidRPr="00AA0D15">
        <w:t>. This information provides interesting descriptive data, but very little in the way of prescript</w:t>
      </w:r>
      <w:r w:rsidR="007C2097">
        <w:t>ive strategies for improvement.</w:t>
      </w:r>
    </w:p>
    <w:p w:rsidR="00C47278" w:rsidRPr="00AA0D15" w:rsidRDefault="00C47278" w:rsidP="00C47278">
      <w:pPr>
        <w:rPr>
          <w:rStyle w:val="StyleUnderline"/>
        </w:rPr>
      </w:pPr>
      <w:r w:rsidRPr="00AA0D15">
        <w:t xml:space="preserve">What’s clear is that </w:t>
      </w:r>
      <w:r w:rsidRPr="00AA0D15">
        <w:rPr>
          <w:rStyle w:val="StyleUnderline"/>
        </w:rPr>
        <w:t>other countries have radically different education systems</w:t>
      </w:r>
      <w:r w:rsidRPr="00AA0D15">
        <w:t xml:space="preserve"> from what currently exists in the United States, at least on these components. </w:t>
      </w:r>
      <w:r w:rsidRPr="00AA0D15">
        <w:rPr>
          <w:rStyle w:val="StyleUnderline"/>
        </w:rPr>
        <w:t>The United States puts heavy emphasis on decentralization</w:t>
      </w:r>
      <w:r w:rsidRPr="00AA0D15">
        <w:t xml:space="preserve"> and delineation between public and private options, while </w:t>
      </w:r>
      <w:r w:rsidRPr="00AA0D15">
        <w:rPr>
          <w:rStyle w:val="StyleUnderline"/>
        </w:rPr>
        <w:t>most other countries have private or religious schools that can receive public funds and have nationally-mandated exams, curricula, and teacher pay scale</w:t>
      </w:r>
      <w:r w:rsidRPr="00AA0D15">
        <w:t xml:space="preserve">s. For example, Germany—despite having a federalist system similar to the United States—has nationwide assessments. The Netherlands funds public and private schools using a single, nationally-determined formula. This does not mean that having national exams is better or worse than not having them, but </w:t>
      </w:r>
      <w:r w:rsidRPr="00AA0D15">
        <w:rPr>
          <w:rStyle w:val="StyleUnderline"/>
        </w:rPr>
        <w:t>it is a clear sign that</w:t>
      </w:r>
      <w:r w:rsidRPr="00AA0D15">
        <w:t xml:space="preserve">, unlike in other domains, </w:t>
      </w:r>
      <w:r w:rsidRPr="00AA0D15">
        <w:rPr>
          <w:rStyle w:val="StyleUnderline"/>
        </w:rPr>
        <w:t>the American education system is not one that other countries appear to use as a model.</w:t>
      </w:r>
    </w:p>
    <w:p w:rsidR="00C47278" w:rsidRPr="00AA0D15" w:rsidRDefault="00C47278" w:rsidP="00C47278">
      <w:pPr>
        <w:rPr>
          <w:rStyle w:val="StyleUnderline"/>
        </w:rPr>
      </w:pPr>
    </w:p>
    <w:p w:rsidR="00C47278" w:rsidRPr="00AA0D15" w:rsidRDefault="00C47278" w:rsidP="00C47278">
      <w:pPr>
        <w:pStyle w:val="Heading4"/>
        <w:rPr>
          <w:rFonts w:cs="Times New Roman"/>
        </w:rPr>
      </w:pPr>
      <w:r w:rsidRPr="00AA0D15">
        <w:rPr>
          <w:rFonts w:cs="Times New Roman"/>
        </w:rPr>
        <w:t>International modeling doesn’t make sense – it’s difficult to compare trends and apply them to different systems</w:t>
      </w:r>
    </w:p>
    <w:p w:rsidR="00C47278" w:rsidRPr="00AA0D15" w:rsidRDefault="00C47278" w:rsidP="00C47278">
      <w:pPr>
        <w:rPr>
          <w:rStyle w:val="Style13ptBold"/>
        </w:rPr>
      </w:pPr>
      <w:r w:rsidRPr="00AA0D15">
        <w:rPr>
          <w:rStyle w:val="Style13ptBold"/>
        </w:rPr>
        <w:t>Lastra-Anadón and Peterson 2012</w:t>
      </w:r>
    </w:p>
    <w:p w:rsidR="00C47278" w:rsidRPr="007C2097" w:rsidRDefault="00C47278" w:rsidP="007C2097">
      <w:r w:rsidRPr="007C2097">
        <w:t xml:space="preserve">(Carlos Xabel, research fellow at the Program on Education Policy and Governance at Harvard University, Paul E., Henry Lee Shattuck Professor of Government, Director of the Program on Education Policy and Governance at Harvard University, Senior Fellow at the Hoover Institution at Stanford University, Senior Editor of Education Next, Previously: director of the Center for American Political Studies at Harvard University and of the Governmental Studies Program at the Brookings Institution, Ph. D. in political science at the University of Chicago, Member of the American Academy of Arts and Sciences and the National Academy of Education, author of “Saving Schools: From Horace Mann to Virtual Learning,”  “School Choice International: Exploring public private partnerships,” Editor of: “School Money Trials: The Legal Pursuit of Educational Adequacy,” “Reforming Education in Florida: A Study Prepared by the Koret Task Force on K-12 Education,” “The Education Gap: Vouchers and Urban Schools,” “Generational Change: Closing the Test Score Gap,” “No Child Left Behind? The Politics and Practice of School Accountability,”  “The Future of School Choice,” “Our Schools and our Future,” “City Limits The Urban Underclass,” “Price of Federalism Welfare Magnets,” “The New American Democracy,” awarded the Martha Derthick Best Book Award for The Price of Federalism, Member of the independent review panel advising the Department of Education’s evaluation of the No Child Left Behind law, Member of the Hoover Institution’s Koret Task Force of K-12 Education at Stanford University, “The International Experience: What U.S. schools can and cannot learn from other countries,” Vol. 12, No. 1, </w:t>
      </w:r>
      <w:hyperlink r:id="rId24" w:history="1">
        <w:r w:rsidRPr="007C2097">
          <w:rPr>
            <w:rStyle w:val="Hyperlink"/>
          </w:rPr>
          <w:t>http://educationnext.org/the-international-experience/</w:t>
        </w:r>
      </w:hyperlink>
      <w:r w:rsidRPr="007C2097">
        <w:t>, Date Accessed: 6/28/17 – KSA)</w:t>
      </w:r>
    </w:p>
    <w:p w:rsidR="00C47278" w:rsidRPr="00AA0D15" w:rsidRDefault="00C47278" w:rsidP="00C47278">
      <w:r w:rsidRPr="00AA0D15">
        <w:rPr>
          <w:rStyle w:val="StyleUnderline"/>
        </w:rPr>
        <w:t>It is tempting to undertake an in-depth study of those places that are performing at the highest levels</w:t>
      </w:r>
      <w:r w:rsidRPr="00AA0D15">
        <w:t xml:space="preserve">—China’s Shanghai province, Korea, Finland, Singapore, Japan, the Netherlands, and Canada, for example. But </w:t>
      </w:r>
      <w:r w:rsidRPr="00AA0D15">
        <w:rPr>
          <w:rStyle w:val="StyleUnderline"/>
        </w:rPr>
        <w:t xml:space="preserve">a proper comparison requires that one contrast what successful countries do with the mistakes made by the less successful ones. International comparisons should look at information from all countries and adjust for factors that affect student performance, even though such rigorous studies </w:t>
      </w:r>
      <w:r w:rsidRPr="00AA0D15">
        <w:t>typically</w:t>
      </w:r>
      <w:r w:rsidRPr="00AA0D15">
        <w:rPr>
          <w:rStyle w:val="StyleUnderline"/>
        </w:rPr>
        <w:t xml:space="preserve"> face their own challenges</w:t>
      </w:r>
      <w:r w:rsidRPr="00AA0D15">
        <w:t xml:space="preserve">, </w:t>
      </w:r>
      <w:r w:rsidRPr="00AA0D15">
        <w:rPr>
          <w:rStyle w:val="StyleUnderline"/>
        </w:rPr>
        <w:t>including</w:t>
      </w:r>
      <w:r w:rsidRPr="00AA0D15">
        <w:t xml:space="preserve"> </w:t>
      </w:r>
      <w:r w:rsidRPr="00AA0D15">
        <w:rPr>
          <w:rStyle w:val="StyleUnderline"/>
        </w:rPr>
        <w:t xml:space="preserve">collecting the </w:t>
      </w:r>
      <w:r w:rsidRPr="00AA0D15">
        <w:t>requisite</w:t>
      </w:r>
      <w:r w:rsidRPr="00AA0D15">
        <w:rPr>
          <w:rStyle w:val="StyleUnderline"/>
        </w:rPr>
        <w:t xml:space="preserve"> data</w:t>
      </w:r>
      <w:r w:rsidRPr="00AA0D15">
        <w:t xml:space="preserve">. Moreover, </w:t>
      </w:r>
      <w:r w:rsidRPr="007C2097">
        <w:rPr>
          <w:rStyle w:val="Emphasis"/>
        </w:rPr>
        <w:t>countries are different across so many dimensions</w:t>
      </w:r>
      <w:r w:rsidRPr="00AA0D15">
        <w:t xml:space="preserve"> (</w:t>
      </w:r>
      <w:r w:rsidRPr="00AA0D15">
        <w:rPr>
          <w:rStyle w:val="StyleUnderline"/>
        </w:rPr>
        <w:t>from the political system to the cultural prestige of the teaching profession</w:t>
      </w:r>
      <w:r w:rsidRPr="00AA0D15">
        <w:t xml:space="preserve">) that </w:t>
      </w:r>
      <w:r w:rsidRPr="00AA0D15">
        <w:rPr>
          <w:rStyle w:val="StyleUnderline"/>
        </w:rPr>
        <w:t>it is</w:t>
      </w:r>
      <w:r w:rsidRPr="00AA0D15">
        <w:t xml:space="preserve"> typically </w:t>
      </w:r>
      <w:r w:rsidRPr="007C2097">
        <w:rPr>
          <w:rStyle w:val="Emphasis"/>
        </w:rPr>
        <w:t>difficult to attribute differences between countries to any specific factors</w:t>
      </w:r>
      <w:r w:rsidRPr="00AA0D15">
        <w:rPr>
          <w:rStyle w:val="StyleUnderline"/>
        </w:rPr>
        <w:t>.</w:t>
      </w:r>
      <w:r w:rsidR="007C2097">
        <w:rPr>
          <w:rStyle w:val="StyleUnderline"/>
        </w:rPr>
        <w:t xml:space="preserve"> </w:t>
      </w:r>
      <w:r w:rsidRPr="00AA0D15">
        <w:t xml:space="preserve">For these reasons, </w:t>
      </w:r>
      <w:r w:rsidRPr="00AA0D15">
        <w:rPr>
          <w:rStyle w:val="StyleUnderline"/>
        </w:rPr>
        <w:t>learning from international experience can be</w:t>
      </w:r>
      <w:r w:rsidRPr="00AA0D15">
        <w:t xml:space="preserve"> a bit</w:t>
      </w:r>
      <w:r w:rsidRPr="00AA0D15">
        <w:rPr>
          <w:rStyle w:val="StyleUnderline"/>
        </w:rPr>
        <w:t xml:space="preserve"> like reading tea leaves</w:t>
      </w:r>
      <w:r w:rsidRPr="00AA0D15">
        <w:t xml:space="preserve">: </w:t>
      </w:r>
      <w:r w:rsidRPr="00AA0D15">
        <w:rPr>
          <w:rStyle w:val="StyleUnderline"/>
        </w:rPr>
        <w:t xml:space="preserve">People are </w:t>
      </w:r>
      <w:r w:rsidRPr="007C2097">
        <w:rPr>
          <w:rStyle w:val="Emphasis"/>
        </w:rPr>
        <w:t>tempted to see in the patterns whatever they think they should see</w:t>
      </w:r>
      <w:r w:rsidRPr="00AA0D15">
        <w:rPr>
          <w:rStyle w:val="StyleUnderline"/>
        </w:rPr>
        <w:t>.</w:t>
      </w:r>
      <w:r w:rsidRPr="00AA0D15">
        <w:t xml:space="preserve"> But for all the hazards associated with drawing on international experience, </w:t>
      </w:r>
      <w:r w:rsidRPr="00AA0D15">
        <w:rPr>
          <w:rStyle w:val="StyleUnderline"/>
        </w:rPr>
        <w:t>the greatest risk lies in ignoring such information altogether</w:t>
      </w:r>
      <w:r w:rsidRPr="00AA0D15">
        <w:t>. Steadfastly insisting that the United States is unique and that nothing is to be learned from other lands might appeal to those on the campaign trail. But it is a perilous course of action for those who wish to understand—and improve—the state of American education. If nothing else, reflection on international experience encourages one to think more carefully about practices and proposals at home. It is not so much specific answers that come from conversing with educators from around the world, as it is gaining some intellectual humility. Such conversations provide opportunities to learn the multiple ways in which common questions are posed and answered, and to consider how policies that have proved successful elsewhere might be adapted to the unique context of U.S. education.</w:t>
      </w:r>
    </w:p>
    <w:p w:rsidR="00C47278" w:rsidRPr="00AA0D15" w:rsidRDefault="00C47278" w:rsidP="00C47278">
      <w:pPr>
        <w:pStyle w:val="Heading3"/>
        <w:rPr>
          <w:rFonts w:cs="Times New Roman"/>
        </w:rPr>
      </w:pPr>
      <w:r w:rsidRPr="00AA0D15">
        <w:rPr>
          <w:rFonts w:cs="Times New Roman"/>
        </w:rPr>
        <w:t>AT modeling deficit – fed fails – Trump takeout</w:t>
      </w:r>
    </w:p>
    <w:p w:rsidR="00C47278" w:rsidRPr="00AA0D15" w:rsidRDefault="00C47278" w:rsidP="00C47278">
      <w:pPr>
        <w:pStyle w:val="Heading4"/>
        <w:rPr>
          <w:rFonts w:cs="Times New Roman"/>
        </w:rPr>
      </w:pPr>
      <w:r w:rsidRPr="00AA0D15">
        <w:rPr>
          <w:rFonts w:cs="Times New Roman"/>
        </w:rPr>
        <w:t>Trump has decked the nation’s credibility – there’s no incentive for international modeling</w:t>
      </w:r>
    </w:p>
    <w:p w:rsidR="00C47278" w:rsidRPr="00AA0D15" w:rsidRDefault="00C47278" w:rsidP="00C47278">
      <w:pPr>
        <w:rPr>
          <w:rStyle w:val="Style13ptBold"/>
        </w:rPr>
      </w:pPr>
      <w:r w:rsidRPr="00AA0D15">
        <w:rPr>
          <w:rStyle w:val="Style13ptBold"/>
        </w:rPr>
        <w:t>Korte 5/30/17</w:t>
      </w:r>
    </w:p>
    <w:p w:rsidR="00C47278" w:rsidRPr="007C2097" w:rsidRDefault="00C47278" w:rsidP="007C2097">
      <w:r w:rsidRPr="007C2097">
        <w:t xml:space="preserve">(Gregory, White House Correspondent at USA Today, Congress and Politics Reporter for USA Today, Professional in residence E.W. Scripps School of Journalism, Staff Writer for the Cincinnati Enquirer, Staff Writer for the Akron Beacon Journal, BSJ in Journalism from Ohio University, BA in Political Science from Ohio University, “Allies distance themselves from US after Trump's first foreign trip,” </w:t>
      </w:r>
      <w:hyperlink r:id="rId25" w:history="1">
        <w:r w:rsidRPr="007C2097">
          <w:rPr>
            <w:rStyle w:val="Hyperlink"/>
          </w:rPr>
          <w:t>http://www.stuff.co.nz/world/americas/donald-trumps-america/93160452/allies-distance-themselves-from-us-after-trumps-first-foreign-trip</w:t>
        </w:r>
      </w:hyperlink>
      <w:r w:rsidRPr="007C2097">
        <w:t>, Date Accessed: 6/28/17 – KSA)</w:t>
      </w:r>
    </w:p>
    <w:p w:rsidR="00C47278" w:rsidRPr="00AA0D15" w:rsidRDefault="00C47278" w:rsidP="00C47278">
      <w:r w:rsidRPr="00AA0D15">
        <w:t xml:space="preserve">President </w:t>
      </w:r>
      <w:r w:rsidRPr="00AA0D15">
        <w:rPr>
          <w:rStyle w:val="StyleUnderline"/>
        </w:rPr>
        <w:t xml:space="preserve">Trump received a largely cordial welcome on the first overseas trip of his presidency. </w:t>
      </w:r>
      <w:r w:rsidRPr="00AA0D15">
        <w:t xml:space="preserve">But now that he's returned to Washington, </w:t>
      </w:r>
      <w:r w:rsidRPr="00AA0D15">
        <w:rPr>
          <w:rStyle w:val="StyleUnderline"/>
        </w:rPr>
        <w:t>the foreign leaders he met with are increasingly blunt in their reviews of the American president.</w:t>
      </w:r>
      <w:r w:rsidR="007C2097">
        <w:rPr>
          <w:rStyle w:val="StyleUnderline"/>
        </w:rPr>
        <w:t xml:space="preserve"> </w:t>
      </w:r>
      <w:r w:rsidRPr="00AA0D15">
        <w:t xml:space="preserve">In separate remarks intended mostly for domestic consumption, </w:t>
      </w:r>
      <w:r w:rsidRPr="00AA0D15">
        <w:rPr>
          <w:rStyle w:val="StyleUnderline"/>
        </w:rPr>
        <w:t>leaders of Germany, France and Israel all sought to distance themselves from Trump</w:t>
      </w:r>
      <w:r w:rsidRPr="00AA0D15">
        <w:t>, just days after meeting with the president during his nine-day foreign trip to Saudi Arabia, Israel, Vatican City, Brussels and Italy.</w:t>
      </w:r>
      <w:r w:rsidR="007C2097">
        <w:t xml:space="preserve"> </w:t>
      </w:r>
      <w:r w:rsidRPr="00AA0D15">
        <w:t xml:space="preserve">Among the sources of friction: </w:t>
      </w:r>
      <w:r w:rsidRPr="00AA0D15">
        <w:rPr>
          <w:rStyle w:val="StyleUnderline"/>
        </w:rPr>
        <w:t>Trump's reluctance to unreservedly commit to the North Atlantic alliance</w:t>
      </w:r>
      <w:r w:rsidRPr="00AA0D15">
        <w:t xml:space="preserve">, his skepticism of a climate change accord signed on to by his predecessor, President Obama, </w:t>
      </w:r>
      <w:r w:rsidRPr="00AA0D15">
        <w:rPr>
          <w:rStyle w:val="StyleUnderline"/>
        </w:rPr>
        <w:t>and outreach to Palestinians in pursuit of a Middle East peace agreement</w:t>
      </w:r>
      <w:r w:rsidRPr="00AA0D15">
        <w:t xml:space="preserve">. It's clear that in Europe at least, </w:t>
      </w:r>
      <w:r w:rsidRPr="00AA0D15">
        <w:rPr>
          <w:rStyle w:val="StyleUnderline"/>
        </w:rPr>
        <w:t>that anti-Trump position plays</w:t>
      </w:r>
      <w:r w:rsidRPr="00AA0D15">
        <w:t xml:space="preserve"> well domestically," said Ivo Daalder, a former US ambassador to NATO in the Obama administration. "But the larger issue is that the trip didn't go well in Europe." The dynamic is partly one of Trump's brash style. "I think what grates on European leaders is the sense that he does not treat them as equals, let alone as allies," Daalder said. "He approaches them in this confrontational way, in an attempt to constantly get a better deal out of them." T he reaction abroad was more cautious:</w:t>
      </w:r>
      <w:r w:rsidR="007C2097">
        <w:t xml:space="preserve"> </w:t>
      </w:r>
      <w:r w:rsidRPr="00AA0D15">
        <w:rPr>
          <w:rStyle w:val="StyleUnderline"/>
        </w:rPr>
        <w:t>France</w:t>
      </w:r>
      <w:r w:rsidRPr="00AA0D15">
        <w:t xml:space="preserve">: New French President </w:t>
      </w:r>
      <w:r w:rsidRPr="00AA0D15">
        <w:rPr>
          <w:rStyle w:val="StyleUnderline"/>
        </w:rPr>
        <w:t>Emmanuel Macron said his now-famous white-knuckled handshake with Trump was a deliberate attempt to demonstrate that he wouldn't be bullied by the American president.</w:t>
      </w:r>
      <w:r w:rsidRPr="00AA0D15">
        <w:t xml:space="preserve"> "One must show that you won't make small concessions, even symbolic ones, but also not over-publicize things, either," he told the French newspaper Journal du Dimanche</w:t>
      </w:r>
      <w:r w:rsidRPr="00AA0D15">
        <w:rPr>
          <w:rStyle w:val="StyleUnderline"/>
        </w:rPr>
        <w:t>.</w:t>
      </w:r>
      <w:r w:rsidRPr="00AA0D15">
        <w:t xml:space="preserve"> "My handshake with him -- it wasn't innocent."</w:t>
      </w:r>
      <w:r w:rsidR="007C2097">
        <w:t xml:space="preserve"> </w:t>
      </w:r>
      <w:r w:rsidRPr="00AA0D15">
        <w:t xml:space="preserve">Germany: Chancellor Angela </w:t>
      </w:r>
      <w:r w:rsidRPr="00AA0D15">
        <w:rPr>
          <w:rStyle w:val="StyleUnderline"/>
        </w:rPr>
        <w:t>Merkel</w:t>
      </w:r>
      <w:r w:rsidRPr="00AA0D15">
        <w:t xml:space="preserve"> </w:t>
      </w:r>
      <w:r w:rsidRPr="00AA0D15">
        <w:rPr>
          <w:rStyle w:val="StyleUnderline"/>
        </w:rPr>
        <w:t>said</w:t>
      </w:r>
      <w:r w:rsidRPr="00AA0D15">
        <w:t xml:space="preserve"> Sunday at a Bavarian beer hall that Europe </w:t>
      </w:r>
      <w:r w:rsidRPr="00AA0D15">
        <w:rPr>
          <w:rStyle w:val="StyleUnderline"/>
        </w:rPr>
        <w:t xml:space="preserve">can no longer "fully rely" on its overseas allies. </w:t>
      </w:r>
      <w:r w:rsidRPr="00AA0D15">
        <w:t>On climate issues, she said, the Group of Seven meeting was "seven against one" -- counting the European Union as part of the seven (and the United States as the one). Her chief political rival took umbrage at the way Trump sought to "humiliate" Merkel in Brussels. "I reject with outrage the way this man takes it upon himself to treat the head of our country's government," said Martin Schulz, who is challenging Merkel for the chancellorship as an "anti-Trump" candidate. He said Trump was "acting like an autocratic leader."</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AT social movements deficit – states solve</w:t>
      </w:r>
    </w:p>
    <w:p w:rsidR="00C47278" w:rsidRPr="00AA0D15" w:rsidRDefault="00C47278" w:rsidP="00C47278">
      <w:pPr>
        <w:pStyle w:val="Heading4"/>
        <w:rPr>
          <w:rFonts w:cs="Times New Roman"/>
        </w:rPr>
      </w:pPr>
      <w:r w:rsidRPr="00AA0D15">
        <w:rPr>
          <w:rFonts w:cs="Times New Roman"/>
        </w:rPr>
        <w:t>Resource inequality between activists in social movements mean resources from the state are necessary</w:t>
      </w:r>
    </w:p>
    <w:p w:rsidR="00C47278" w:rsidRPr="00AA0D15" w:rsidRDefault="00C47278" w:rsidP="00C47278">
      <w:pPr>
        <w:rPr>
          <w:rStyle w:val="Style13ptBold"/>
        </w:rPr>
      </w:pPr>
      <w:r w:rsidRPr="00AA0D15">
        <w:rPr>
          <w:rStyle w:val="Style13ptBold"/>
        </w:rPr>
        <w:t>Edwards and McCarthy 2004</w:t>
      </w:r>
    </w:p>
    <w:p w:rsidR="00C47278" w:rsidRPr="007C2097" w:rsidRDefault="00C47278" w:rsidP="007C2097">
      <w:r w:rsidRPr="007C2097">
        <w:t xml:space="preserve">(Bob, Associate Professor of Sociology and Coastal Resources Management at East Carolina, co-editor of “Beyond Tocqueville: Civil Society and the Social Capital Debate in Comparative Perspective” and author of articles and chapters on social movement organizations, environmental justice, civil society, and social capital, John D., Professor of Sociology and Graduate Director at Pennsylvania State University, co-author of “Social Movements in an Organizational Society,” “Resources and Social Movement Mobilization,” </w:t>
      </w:r>
      <w:hyperlink r:id="rId26" w:anchor="page=132" w:history="1">
        <w:r w:rsidRPr="007C2097">
          <w:rPr>
            <w:rStyle w:val="Hyperlink"/>
          </w:rPr>
          <w:t>http://voidnetwork.gr/wp-content/uploads/2016/09/The-Blackwell-Companion-to-Social-Movements-Edited-by-David-A.-Snow-Sarah-A.-Soule-and-Hanspeter-Kriesi.pdf#page=132</w:t>
        </w:r>
      </w:hyperlink>
      <w:r w:rsidRPr="007C2097">
        <w:t>, Date Accessed: 6/29/17 – KSA)</w:t>
      </w:r>
    </w:p>
    <w:p w:rsidR="00C47278" w:rsidRPr="00AA0D15" w:rsidRDefault="00C47278" w:rsidP="00C47278">
      <w:r w:rsidRPr="00AA0D15">
        <w:t xml:space="preserve">In what follows we provide </w:t>
      </w:r>
      <w:r w:rsidRPr="00AA0D15">
        <w:rPr>
          <w:rStyle w:val="StyleUnderline"/>
        </w:rPr>
        <w:t>a comprehensive perspective on the nature and role of resources in the mobilization of collective action</w:t>
      </w:r>
      <w:r w:rsidRPr="00AA0D15">
        <w:t xml:space="preserve">. First, we want to strongly reemphasize to students of social movements how unequally distributed many kinds of resources are among social groups. </w:t>
      </w:r>
      <w:r w:rsidRPr="00AA0D15">
        <w:rPr>
          <w:rStyle w:val="StyleUnderline"/>
        </w:rPr>
        <w:t>Durable patterns of resource inequality in the broader society shape the differential availability of those resources to particular social groups. Efforts by agencies of the state</w:t>
      </w:r>
      <w:r w:rsidRPr="00AA0D15">
        <w:t xml:space="preserve">, nongovernmental organizations, and individuals </w:t>
      </w:r>
      <w:r w:rsidRPr="00AA0D15">
        <w:rPr>
          <w:rStyle w:val="StyleUnderline"/>
        </w:rPr>
        <w:t xml:space="preserve">to alter prevailing patterns of resource stratification and redirect resources serve to channel </w:t>
      </w:r>
      <w:r w:rsidRPr="007C2097">
        <w:rPr>
          <w:rStyle w:val="Emphasis"/>
        </w:rPr>
        <w:t>substantial</w:t>
      </w:r>
      <w:r w:rsidRPr="00AA0D15">
        <w:rPr>
          <w:rStyle w:val="StyleUnderline"/>
        </w:rPr>
        <w:t xml:space="preserve"> resources to social movements. </w:t>
      </w:r>
      <w:r w:rsidRPr="00AA0D15">
        <w:t>Nevertheless, middle-class groups remain privileged in their access to many kinds of resources, and, therefore, not surprisingly social movements that resonate with the concerns of relatively privileged social groups predominate and the mobilizations of the poor groups are quite rare in advanced industrial democracies.</w:t>
      </w:r>
    </w:p>
    <w:p w:rsidR="00C47278" w:rsidRPr="00AA0D15" w:rsidRDefault="00C47278" w:rsidP="00C47278">
      <w:pPr>
        <w:pStyle w:val="Heading4"/>
        <w:rPr>
          <w:rFonts w:cs="Times New Roman"/>
        </w:rPr>
      </w:pPr>
      <w:r w:rsidRPr="00AA0D15">
        <w:rPr>
          <w:rFonts w:cs="Times New Roman"/>
        </w:rPr>
        <w:t>States key to social movements – they provide resources and give organizational legitimacy to movements – draws in more supporters</w:t>
      </w:r>
    </w:p>
    <w:p w:rsidR="00C47278" w:rsidRPr="00AA0D15" w:rsidRDefault="00C47278" w:rsidP="00C47278">
      <w:pPr>
        <w:rPr>
          <w:rStyle w:val="Style13ptBold"/>
        </w:rPr>
      </w:pPr>
      <w:r w:rsidRPr="00AA0D15">
        <w:rPr>
          <w:rStyle w:val="Style13ptBold"/>
        </w:rPr>
        <w:t>Edwards and McCarthy 2004</w:t>
      </w:r>
    </w:p>
    <w:p w:rsidR="00C47278" w:rsidRPr="007C2097" w:rsidRDefault="00C47278" w:rsidP="007C2097">
      <w:r w:rsidRPr="007C2097">
        <w:t xml:space="preserve">(Bob, Associate Professor of Sociology and Coastal Resources Management at East Carolina, co-editor of “Beyond Tocqueville: Civil Society and the Social Capital Debate in Comparative Perspective” and author of articles and chapters on social movement organizations, environmental justice, civil society, and social capital, John D., Professor of Sociology and Graduate Director at Pennsylvania State University, co-author of “Social Movements in an Organizational Society,” “Resources and Social Movement Mobilization,” </w:t>
      </w:r>
      <w:hyperlink r:id="rId27" w:anchor="page=132" w:history="1">
        <w:r w:rsidRPr="007C2097">
          <w:rPr>
            <w:rStyle w:val="Hyperlink"/>
          </w:rPr>
          <w:t>http://voidnetwork.gr/wp-content/uploads/2016/09/The-Blackwell-Companion-to-Social-Movements-Edited-by-David-A.-Snow-Sarah-A.-Soule-and-Hanspeter-Kriesi.pdf#page=132</w:t>
        </w:r>
      </w:hyperlink>
      <w:r w:rsidRPr="007C2097">
        <w:t>, Date Accessed: 6/29/17 – KSA)</w:t>
      </w:r>
    </w:p>
    <w:p w:rsidR="00C47278" w:rsidRPr="00AA0D15" w:rsidRDefault="00C47278" w:rsidP="00C47278">
      <w:r w:rsidRPr="00AA0D15">
        <w:rPr>
          <w:rStyle w:val="StyleUnderline"/>
        </w:rPr>
        <w:t>States redistribute resources to social movements in three ways</w:t>
      </w:r>
      <w:r w:rsidRPr="00AA0D15">
        <w:t xml:space="preserve">, which can be broadly differentiated by the kinds of resources provided and what movement actors must do to gain access to those resources.4 First, </w:t>
      </w:r>
      <w:r w:rsidRPr="00AA0D15">
        <w:rPr>
          <w:rStyle w:val="StyleUnderline"/>
        </w:rPr>
        <w:t>monetary resources and technical assistance are provided directly to organizations that meet specific criteria</w:t>
      </w:r>
      <w:r w:rsidRPr="00AA0D15">
        <w:t xml:space="preserve"> and agree to operate within government guidelines. Second, </w:t>
      </w:r>
      <w:r w:rsidRPr="00AA0D15">
        <w:rPr>
          <w:rStyle w:val="StyleUnderline"/>
        </w:rPr>
        <w:t xml:space="preserve">in the US, legitimacy and overt fundraising facilitation are provided through the granting of nonprofit status by state governments </w:t>
      </w:r>
      <w:r w:rsidRPr="00AA0D15">
        <w:t xml:space="preserve">and tax-exempt status by the IRS in exchange </w:t>
      </w:r>
      <w:r w:rsidRPr="00AA0D15">
        <w:rPr>
          <w:rStyle w:val="StyleUnderline"/>
        </w:rPr>
        <w:t xml:space="preserve">for the group adopting certain constraints upon their activities </w:t>
      </w:r>
      <w:r w:rsidRPr="00AA0D15">
        <w:t xml:space="preserve">(McCarthy et al. 1991). Both of these statuses </w:t>
      </w:r>
      <w:r w:rsidRPr="00AA0D15">
        <w:rPr>
          <w:rStyle w:val="StyleUnderline"/>
        </w:rPr>
        <w:t xml:space="preserve">augment organizational legitimacy in the eyes of potential supporters, </w:t>
      </w:r>
      <w:r w:rsidRPr="00AA0D15">
        <w:t xml:space="preserve">including foundations that typically require these before making grants. Third, </w:t>
      </w:r>
      <w:r w:rsidRPr="00AA0D15">
        <w:rPr>
          <w:rStyle w:val="StyleUnderline"/>
        </w:rPr>
        <w:t xml:space="preserve">states </w:t>
      </w:r>
      <w:r w:rsidRPr="00AA0D15">
        <w:t>sometimes</w:t>
      </w:r>
      <w:r w:rsidRPr="00AA0D15">
        <w:rPr>
          <w:rStyle w:val="StyleUnderline"/>
        </w:rPr>
        <w:t xml:space="preserve"> allow social movement actors access to state decision-making processes. </w:t>
      </w:r>
      <w:r w:rsidRPr="00AA0D15">
        <w:t xml:space="preserve">US </w:t>
      </w:r>
      <w:r w:rsidRPr="00AA0D15">
        <w:rPr>
          <w:rStyle w:val="StyleUnderline"/>
        </w:rPr>
        <w:t>feminist SMOs illustrate the mix of facilitation and constraint that may face groups benefiting directly from the redistribution of state resources</w:t>
      </w:r>
      <w:r w:rsidRPr="00AA0D15">
        <w:t xml:space="preserve">. Since the mid- 1960s a large number of local women’s movement groups have taken on social service functions as federally regulated nonprofits, </w:t>
      </w:r>
      <w:r w:rsidRPr="00AA0D15">
        <w:rPr>
          <w:rStyle w:val="StyleUnderline"/>
        </w:rPr>
        <w:t>many often contracting with local government to provide an array of services broadly consistent with feminist goals</w:t>
      </w:r>
      <w:r w:rsidRPr="00AA0D15">
        <w:t xml:space="preserve"> (Ferree and Martin 1995). Of course, such resources may be accompanied by constraints. Matthews’ (1995) analysis of state funded rape crisis centers in the 1970s makes clear that the state and the feminist SMOs they funded agreed that rape crisis work should be done, but eventually clashed over what rape crisis work consisted of and how it should be carried out. Hyde’s (1995) analysis of New Right efforts to leverage the government to defund feminist SMOs during the 1980s documents the range of impacts resulting from the withdrawal of state funding. Some of the feminist SMOs retained state funding by emphasizing their identity as human service providers and professionalizing their image. Others became more confrontational and mobilized against the New Right by raising scholarship funds for low-income gynecological services and using the threat of New Right initiatives to broaden and radicalize their membership base. 1980s and 1990s (Edwards 1995; Peterson 2002).</w:t>
      </w:r>
    </w:p>
    <w:p w:rsidR="00C47278" w:rsidRPr="00AA0D15" w:rsidRDefault="00C47278" w:rsidP="00C47278">
      <w:pPr>
        <w:pStyle w:val="Heading4"/>
        <w:rPr>
          <w:rFonts w:cs="Times New Roman"/>
        </w:rPr>
      </w:pPr>
      <w:r w:rsidRPr="00AA0D15">
        <w:rPr>
          <w:rFonts w:cs="Times New Roman"/>
        </w:rPr>
        <w:t>Social Mobilization works better in a system of federalism with more decentralized power</w:t>
      </w:r>
    </w:p>
    <w:p w:rsidR="00C47278" w:rsidRPr="00AA0D15" w:rsidRDefault="00C47278" w:rsidP="00C47278">
      <w:pPr>
        <w:rPr>
          <w:rStyle w:val="Style13ptBold"/>
        </w:rPr>
      </w:pPr>
      <w:r w:rsidRPr="00AA0D15">
        <w:rPr>
          <w:rStyle w:val="Style13ptBold"/>
        </w:rPr>
        <w:t>Amenta and Young 1999</w:t>
      </w:r>
    </w:p>
    <w:p w:rsidR="00C47278" w:rsidRPr="007C2097" w:rsidRDefault="00C47278" w:rsidP="007C2097">
      <w:r w:rsidRPr="007C2097">
        <w:t xml:space="preserve">(Edwin, New York University, Michael P., New York University, “Democratic States and Social Movements: Theoretical Arguments and Hypotheses*,” </w:t>
      </w:r>
      <w:hyperlink r:id="rId28" w:history="1">
        <w:r w:rsidRPr="007C2097">
          <w:rPr>
            <w:rStyle w:val="Hyperlink"/>
          </w:rPr>
          <w:t>http://www.socsci.uci.edu/~ea3/Democratic%20States%20and%20Social%20Movements%20Social%20Problems%201999.pdf</w:t>
        </w:r>
      </w:hyperlink>
      <w:r w:rsidRPr="007C2097">
        <w:t>, Date Accessed: 6/29/17 – KSA)</w:t>
      </w:r>
    </w:p>
    <w:p w:rsidR="00C47278" w:rsidRPr="00AA0D15" w:rsidRDefault="00C47278" w:rsidP="00C47278">
      <w:pPr>
        <w:rPr>
          <w:rStyle w:val="StyleUnderline"/>
        </w:rPr>
      </w:pPr>
      <w:r w:rsidRPr="00AA0D15">
        <w:t xml:space="preserve">However, </w:t>
      </w:r>
      <w:r w:rsidRPr="00AA0D15">
        <w:rPr>
          <w:rStyle w:val="StyleUnderline"/>
        </w:rPr>
        <w:t>federalism</w:t>
      </w:r>
      <w:r w:rsidRPr="00AA0D15">
        <w:t xml:space="preserve"> in itself does </w:t>
      </w:r>
      <w:r w:rsidRPr="00AA0D15">
        <w:rPr>
          <w:rStyle w:val="StyleUnderline"/>
        </w:rPr>
        <w:t>not necessarily increase the chances of winning collective benefit</w:t>
      </w:r>
      <w:r w:rsidRPr="00AA0D15">
        <w:t xml:space="preserve">s for challengers, and so we would not expect it to increase their mobilization overall. </w:t>
      </w:r>
      <w:r w:rsidRPr="00AA0D15">
        <w:rPr>
          <w:rStyle w:val="StyleUnderline"/>
        </w:rPr>
        <w:t>But if these policies have power and vary among themselves in how and the degree to which they are susceptible to the goals of challengers</w:t>
      </w:r>
      <w:r w:rsidRPr="00AA0D15">
        <w:t xml:space="preserve">, </w:t>
      </w:r>
      <w:r w:rsidRPr="00AA0D15">
        <w:rPr>
          <w:rStyle w:val="StyleUnderline"/>
        </w:rPr>
        <w:t xml:space="preserve">they provide a variety of incentives to mobilize in them </w:t>
      </w:r>
      <w:r w:rsidRPr="00AA0D15">
        <w:t xml:space="preserve">and about them. </w:t>
      </w:r>
      <w:r w:rsidRPr="00AA0D15">
        <w:rPr>
          <w:rStyle w:val="StyleUnderline"/>
        </w:rPr>
        <w:t>In more centralized polities, the mobilization of challengers is likely to be less diverse because they face limited targets of action</w:t>
      </w:r>
      <w:r w:rsidRPr="00AA0D15">
        <w:t xml:space="preserve">. And so we argue that </w:t>
      </w:r>
      <w:r w:rsidRPr="00AA0D15">
        <w:rPr>
          <w:rStyle w:val="StyleUnderline"/>
        </w:rPr>
        <w:t>federalism will have a greater impact on the forms of mobilization and action</w:t>
      </w:r>
      <w:r w:rsidRPr="00AA0D15">
        <w:t xml:space="preserve"> than on its overall level. Hypothesis 1: </w:t>
      </w:r>
      <w:r w:rsidRPr="00AA0D15">
        <w:rPr>
          <w:rStyle w:val="StyleUnderline"/>
        </w:rPr>
        <w:t>Decentralized polities encourage a wider variety of challengers to form and a diversity of forms of collective action aimed at lower-level targets. What does this mean for the American case? The United States is highly federal,</w:t>
      </w:r>
      <w:r w:rsidRPr="00AA0D15">
        <w:t xml:space="preserve"> like Switzerland and Canada, because </w:t>
      </w:r>
      <w:r w:rsidRPr="00AA0D15">
        <w:rPr>
          <w:rStyle w:val="StyleUnderline"/>
        </w:rPr>
        <w:t>of the great authority granted to states, which is compounded by authority granted to municipalitie</w:t>
      </w:r>
      <w:r w:rsidRPr="00AA0D15">
        <w:t xml:space="preserve">s. Over time, however, </w:t>
      </w:r>
      <w:r w:rsidRPr="00AA0D15">
        <w:rPr>
          <w:rStyle w:val="StyleUnderline"/>
        </w:rPr>
        <w:t>the U.S. central government has become increasingly important relative to its sub-national polities</w:t>
      </w:r>
      <w:r w:rsidRPr="00AA0D15">
        <w:t xml:space="preserve"> and, </w:t>
      </w:r>
      <w:r w:rsidRPr="00AA0D15">
        <w:rPr>
          <w:rStyle w:val="StyleUnderline"/>
        </w:rPr>
        <w:t xml:space="preserve">since the </w:t>
      </w:r>
      <w:r w:rsidRPr="00AA0D15">
        <w:t xml:space="preserve">Second World War, </w:t>
      </w:r>
      <w:r w:rsidRPr="00AA0D15">
        <w:rPr>
          <w:rStyle w:val="StyleUnderline"/>
        </w:rPr>
        <w:t>has commanded a greater share of fiscal resources. The implications are that its relative decentralization would likely encourage a wider variety of mobilizations and forms of collective action, an effect somewhat tempered over time as power has become more centralized.</w:t>
      </w:r>
    </w:p>
    <w:p w:rsidR="00C47278" w:rsidRPr="00AA0D15" w:rsidRDefault="00C47278" w:rsidP="00C47278">
      <w:pPr>
        <w:pStyle w:val="Heading4"/>
        <w:rPr>
          <w:rFonts w:cs="Times New Roman"/>
        </w:rPr>
      </w:pPr>
      <w:r w:rsidRPr="00AA0D15">
        <w:rPr>
          <w:rFonts w:cs="Times New Roman"/>
        </w:rPr>
        <w:t>States shape movements</w:t>
      </w:r>
    </w:p>
    <w:p w:rsidR="00C47278" w:rsidRPr="00AA0D15" w:rsidRDefault="00C47278" w:rsidP="00C47278">
      <w:pPr>
        <w:rPr>
          <w:rStyle w:val="Style13ptBold"/>
        </w:rPr>
      </w:pPr>
      <w:r w:rsidRPr="00AA0D15">
        <w:rPr>
          <w:rStyle w:val="Style13ptBold"/>
        </w:rPr>
        <w:t>Amenta and Young 1999</w:t>
      </w:r>
    </w:p>
    <w:p w:rsidR="00C47278" w:rsidRPr="007C2097" w:rsidRDefault="00C47278" w:rsidP="007C2097">
      <w:r w:rsidRPr="007C2097">
        <w:t xml:space="preserve">(Edwin, New York University, Michael P., New York University, “Democratic States and Social Movements: Theoretical Arguments and Hypotheses*,” </w:t>
      </w:r>
      <w:hyperlink r:id="rId29" w:history="1">
        <w:r w:rsidRPr="007C2097">
          <w:rPr>
            <w:rStyle w:val="Hyperlink"/>
          </w:rPr>
          <w:t>http://www.socsci.uci.edu/~ea3/Democratic%20States%20and%20Social%20Movements%20Social%20Problems%201999.pdf</w:t>
        </w:r>
      </w:hyperlink>
      <w:r w:rsidRPr="007C2097">
        <w:t>, Date Accessed: 6/29/17 – KSA)</w:t>
      </w:r>
    </w:p>
    <w:p w:rsidR="00C47278" w:rsidRPr="00AA0D15" w:rsidRDefault="00C47278" w:rsidP="00C47278">
      <w:r w:rsidRPr="00AA0D15">
        <w:t xml:space="preserve">We also argue that </w:t>
      </w:r>
      <w:r w:rsidRPr="00AA0D15">
        <w:rPr>
          <w:rStyle w:val="StyleUnderline"/>
        </w:rPr>
        <w:t>state policies and programs can encourage, discourage, shape, or transform challengers because policies themselves influence the future flow of collective benefits to the constituencies of challenger</w:t>
      </w:r>
      <w:r w:rsidRPr="00AA0D15">
        <w:t xml:space="preserve">s. The effects work in the following ways. </w:t>
      </w:r>
      <w:r w:rsidRPr="00AA0D15">
        <w:rPr>
          <w:rStyle w:val="StyleUnderline"/>
        </w:rPr>
        <w:t>Policies and programs developed prior to challenges can influence the formation and geographical pattern of national and international challenges</w:t>
      </w:r>
      <w:r w:rsidRPr="00AA0D15">
        <w:t xml:space="preserve">. Moreover, an existing challenger may be encouraged inadvertently by programs-developed for other reasons-that benefit its followers. To achieve their own aims state actors and politicians may also devise public policy to promote challengers. </w:t>
      </w:r>
      <w:r w:rsidRPr="00AA0D15">
        <w:rPr>
          <w:rStyle w:val="StyleUnderline"/>
        </w:rPr>
        <w:t>State actors might do so to increase the power of bureaus in charge of such programs</w:t>
      </w:r>
      <w:r w:rsidRPr="00AA0D15">
        <w:t xml:space="preserve">. Politicians might do so to increase their electoral prospects. </w:t>
      </w:r>
      <w:r w:rsidRPr="00AA0D15">
        <w:rPr>
          <w:rStyle w:val="StyleUnderline"/>
        </w:rPr>
        <w:t>New programs may also aid potential activists by freeing their time for movement work or by providing resources for movement organization</w:t>
      </w:r>
      <w:r w:rsidRPr="00AA0D15">
        <w:t xml:space="preserve">s. Hypothesis 11: New programs aiding a challenger </w:t>
      </w:r>
      <w:r w:rsidRPr="00AA0D15">
        <w:rPr>
          <w:rStyle w:val="StyleUnderline"/>
        </w:rPr>
        <w:t>will help to sustain its mobilization, and new programs aiding a potential challenger will encourage its mobilization. In addition, by designating officially sanctioned and legitimated beneficiaries, policies also help to define and redefine social groups.</w:t>
      </w:r>
      <w:r w:rsidRPr="00AA0D15">
        <w:t xml:space="preserve"> Hypothesis 12: Programs will influence forms of challengers by inducing a closer correspondence between programs and challengers. Thus, to the degree that policies are relatively inclusive they will likely lead to more inclusive challenges, and policies that are fragmented will lead to more fragmented challenges.</w:t>
      </w:r>
    </w:p>
    <w:p w:rsidR="00C47278" w:rsidRPr="00AA0D15" w:rsidRDefault="00C47278" w:rsidP="00C47278">
      <w:pPr>
        <w:pStyle w:val="Heading3"/>
        <w:rPr>
          <w:rFonts w:cs="Times New Roman"/>
        </w:rPr>
      </w:pPr>
      <w:r w:rsidRPr="00AA0D15">
        <w:rPr>
          <w:rFonts w:cs="Times New Roman"/>
        </w:rPr>
        <w:t>AT social movements deficit – fed fails</w:t>
      </w:r>
    </w:p>
    <w:p w:rsidR="00C47278" w:rsidRPr="00AA0D15" w:rsidRDefault="00C47278" w:rsidP="00C47278">
      <w:pPr>
        <w:pStyle w:val="Heading4"/>
        <w:rPr>
          <w:rFonts w:cs="Times New Roman"/>
        </w:rPr>
      </w:pPr>
      <w:r w:rsidRPr="00AA0D15">
        <w:rPr>
          <w:rFonts w:cs="Times New Roman"/>
        </w:rPr>
        <w:t>Constitutional Litigation is too slow changing to influence movements</w:t>
      </w:r>
    </w:p>
    <w:p w:rsidR="00C47278" w:rsidRPr="00AA0D15" w:rsidRDefault="00C47278" w:rsidP="00C47278">
      <w:pPr>
        <w:rPr>
          <w:rStyle w:val="Style13ptBold"/>
        </w:rPr>
      </w:pPr>
      <w:r w:rsidRPr="00AA0D15">
        <w:rPr>
          <w:rStyle w:val="Style13ptBold"/>
        </w:rPr>
        <w:t xml:space="preserve">Turner 2013 </w:t>
      </w:r>
    </w:p>
    <w:p w:rsidR="00C47278" w:rsidRPr="007C2097" w:rsidRDefault="00C47278" w:rsidP="007C2097">
      <w:r w:rsidRPr="007C2097">
        <w:t xml:space="preserve">(Sarah, Senior Thesis for the Department of Political Science at Indiana University, Since then: BA in Political Science and Government from the University of Indiana Bloomington, M.A. in Public Policy at the College of William and Mary, Legislative Eligibility Center Analyst at NCAA, Graduate Research Assistant for the College of William and Mary, Digital government affairs manager, at Eli Lilly and Company, Intern at the U.S. Department of Homeland Security, “Success in Social Movements: LOOKING AT CONSTITUTIONAL-BASED DEMANDS TO DETERMINE THE POTENTIAL SUCCESS OF SOCIAL MOVEMENTS,” </w:t>
      </w:r>
      <w:hyperlink r:id="rId30" w:history="1">
        <w:r w:rsidRPr="007C2097">
          <w:rPr>
            <w:rStyle w:val="Hyperlink"/>
          </w:rPr>
          <w:t>https://pdfs.semanticscholar.org/2240/629c654338ec7e2a4b392b99131be7f64115.pdf</w:t>
        </w:r>
      </w:hyperlink>
      <w:r w:rsidRPr="007C2097">
        <w:t>, Date Accessed: 6/28/17 – KSA)</w:t>
      </w:r>
    </w:p>
    <w:p w:rsidR="00C47278" w:rsidRPr="00AA0D15" w:rsidRDefault="00C47278" w:rsidP="00C47278">
      <w:pPr>
        <w:rPr>
          <w:rStyle w:val="StyleUnderline"/>
        </w:rPr>
      </w:pPr>
      <w:r w:rsidRPr="00AA0D15">
        <w:t xml:space="preserve">In addition, </w:t>
      </w:r>
      <w:r w:rsidRPr="00AA0D15">
        <w:rPr>
          <w:rStyle w:val="StyleUnderline"/>
        </w:rPr>
        <w:t>Siegel</w:t>
      </w:r>
      <w:r w:rsidRPr="00AA0D15">
        <w:t xml:space="preserve"> (2006) </w:t>
      </w:r>
      <w:r w:rsidRPr="00AA0D15">
        <w:rPr>
          <w:rStyle w:val="StyleUnderline"/>
        </w:rPr>
        <w:t>looks at the power of the constitution in social movement conflict</w:t>
      </w:r>
      <w:r w:rsidRPr="00AA0D15">
        <w:t xml:space="preserve">. He argues the </w:t>
      </w:r>
      <w:r w:rsidRPr="00AA0D15">
        <w:rPr>
          <w:rStyle w:val="StyleUnderline"/>
        </w:rPr>
        <w:t>conflict can be both enabled and constrained by the constitutional culture</w:t>
      </w:r>
      <w:r w:rsidRPr="00AA0D15">
        <w:t xml:space="preserve">. The </w:t>
      </w:r>
      <w:r w:rsidRPr="00AA0D15">
        <w:rPr>
          <w:rStyle w:val="StyleUnderline"/>
        </w:rPr>
        <w:t>constitutional culture enables interaction between the movement and the political actors</w:t>
      </w:r>
      <w:r w:rsidRPr="00AA0D15">
        <w:t xml:space="preserve"> once the movement begins to work outside of the traditional political structure, but </w:t>
      </w:r>
      <w:r w:rsidRPr="00AA0D15">
        <w:rPr>
          <w:rStyle w:val="StyleUnderline"/>
        </w:rPr>
        <w:t>constitutional tradition is slow changing. It is against this tradition that movements must work.</w:t>
      </w:r>
    </w:p>
    <w:p w:rsidR="00C47278" w:rsidRPr="00AA0D15" w:rsidRDefault="00C47278" w:rsidP="00C47278">
      <w:pPr>
        <w:pStyle w:val="Heading4"/>
        <w:rPr>
          <w:rFonts w:cs="Times New Roman"/>
        </w:rPr>
      </w:pPr>
      <w:r w:rsidRPr="00AA0D15">
        <w:rPr>
          <w:rFonts w:cs="Times New Roman"/>
        </w:rPr>
        <w:t>The constitution and federal protections is not enough to ensure that social movements attain goals – the civil rights movement proves</w:t>
      </w:r>
    </w:p>
    <w:p w:rsidR="00C47278" w:rsidRPr="00AA0D15" w:rsidRDefault="00C47278" w:rsidP="00C47278">
      <w:pPr>
        <w:rPr>
          <w:rStyle w:val="Style13ptBold"/>
        </w:rPr>
      </w:pPr>
      <w:r w:rsidRPr="00AA0D15">
        <w:rPr>
          <w:rStyle w:val="Style13ptBold"/>
        </w:rPr>
        <w:t xml:space="preserve">Turner 2013 </w:t>
      </w:r>
    </w:p>
    <w:p w:rsidR="00C47278" w:rsidRPr="00AA0D15" w:rsidRDefault="00C47278" w:rsidP="00C47278">
      <w:r w:rsidRPr="00AA0D15">
        <w:t xml:space="preserve">(Sarah, Senior Thesis for the Department of Political Science at Indiana University, Since then: BA in Political Science and Government from the University of Indiana Bloomington, M.A. in Public Policy at the College of William and Mary, Legislative Eligibility Center Analyst at NCAA, Graduate Research Assistant for the College of William and Mary, Digital government affairs manager, at Eli Lilly and Company, Intern at the U.S. Department of Homeland Security, “Success in Social Movements: LOOKING AT CONSTITUTIONAL-BASED DEMANDS TO DETERMINE THE POTENTIAL SUCCESS OF SOCIAL MOVEMENTS,” </w:t>
      </w:r>
      <w:hyperlink r:id="rId31" w:history="1">
        <w:r w:rsidRPr="00AA0D15">
          <w:rPr>
            <w:rStyle w:val="Hyperlink"/>
          </w:rPr>
          <w:t>https://pdfs.semanticscholar.org/2240/629c654338ec7e2a4b392b99131be7f64115.pdf</w:t>
        </w:r>
      </w:hyperlink>
      <w:r w:rsidRPr="00AA0D15">
        <w:t>, Date Accessed: 6/28/17 – KSA)</w:t>
      </w:r>
    </w:p>
    <w:p w:rsidR="00C47278" w:rsidRPr="00AA0D15" w:rsidRDefault="00C47278" w:rsidP="00C47278">
      <w:r w:rsidRPr="00AA0D15">
        <w:t xml:space="preserve">AFRICAN AMERICAN CIVIL RIGHTS MOVEMENT </w:t>
      </w:r>
      <w:r w:rsidRPr="00AA0D15">
        <w:rPr>
          <w:rStyle w:val="StyleUnderline"/>
        </w:rPr>
        <w:t xml:space="preserve">The Civil Rights Movement grew out of a grassroots effort determined to achieve racial justice </w:t>
      </w:r>
      <w:r w:rsidRPr="00AA0D15">
        <w:t xml:space="preserve">for African Americans. </w:t>
      </w:r>
      <w:r w:rsidRPr="00AA0D15">
        <w:rPr>
          <w:rStyle w:val="StyleUnderline"/>
        </w:rPr>
        <w:t>Despite ratification of the XIII Amendment</w:t>
      </w:r>
      <w:r w:rsidRPr="00AA0D15">
        <w:t xml:space="preserve"> (outlawed slavery), XIV</w:t>
      </w:r>
      <w:r w:rsidRPr="00AA0D15">
        <w:rPr>
          <w:rStyle w:val="StyleUnderline"/>
        </w:rPr>
        <w:t xml:space="preserve"> </w:t>
      </w:r>
      <w:r w:rsidRPr="00AA0D15">
        <w:t xml:space="preserve">13 While not directly quoted, the articles within the Spanish constitution have been translated by the author. 14 http://www.basques.euskadi.net/t32- 448/en/contenidos/informacion/estatuto_guernica/en_455/adjuntos/estatu_i.pdf  17 </w:t>
      </w:r>
      <w:r w:rsidRPr="00AA0D15">
        <w:rPr>
          <w:rStyle w:val="StyleUnderline"/>
        </w:rPr>
        <w:t>Amendment</w:t>
      </w:r>
      <w:r w:rsidRPr="00AA0D15">
        <w:t xml:space="preserve"> (gave citizenship to all people born within the United States and provided equal protection under the law to all citizens) </w:t>
      </w:r>
      <w:r w:rsidRPr="00AA0D15">
        <w:rPr>
          <w:rStyle w:val="StyleUnderline"/>
        </w:rPr>
        <w:t>and</w:t>
      </w:r>
      <w:r w:rsidRPr="00AA0D15">
        <w:t xml:space="preserve"> </w:t>
      </w:r>
      <w:r w:rsidRPr="00AA0D15">
        <w:rPr>
          <w:rStyle w:val="StyleUnderline"/>
        </w:rPr>
        <w:t>XV Amendment</w:t>
      </w:r>
      <w:r w:rsidRPr="00AA0D15">
        <w:t xml:space="preserve"> (right to vote to all male citizens regardless of race), </w:t>
      </w:r>
      <w:r w:rsidRPr="00AA0D15">
        <w:rPr>
          <w:rStyle w:val="StyleUnderline"/>
        </w:rPr>
        <w:t>African Americans were denied</w:t>
      </w:r>
      <w:r w:rsidRPr="00AA0D15">
        <w:t xml:space="preserve"> political, economic, educational and social </w:t>
      </w:r>
      <w:r w:rsidRPr="00AA0D15">
        <w:rPr>
          <w:rStyle w:val="StyleUnderline"/>
        </w:rPr>
        <w:t>equality</w:t>
      </w:r>
      <w:r w:rsidRPr="00AA0D15">
        <w:t xml:space="preserve"> </w:t>
      </w:r>
      <w:r w:rsidRPr="00AA0D15">
        <w:rPr>
          <w:rStyle w:val="StyleUnderline"/>
        </w:rPr>
        <w:t>by prejudice laws and social customs</w:t>
      </w:r>
      <w:r w:rsidRPr="00AA0D15">
        <w:t xml:space="preserve">, particularly laws and customs in the South (Morris 1984). The Movement formed in an effort to fight for desegregation and against discrimination. </w:t>
      </w:r>
      <w:r w:rsidRPr="00AA0D15">
        <w:rPr>
          <w:rStyle w:val="StyleUnderline"/>
        </w:rPr>
        <w:t>The Civil Rights Movement worked under a diverse network of support.</w:t>
      </w:r>
      <w:r w:rsidRPr="00AA0D15">
        <w:t xml:space="preserve"> </w:t>
      </w:r>
      <w:r w:rsidRPr="00AA0D15">
        <w:rPr>
          <w:rStyle w:val="StyleUnderline"/>
        </w:rPr>
        <w:t>The</w:t>
      </w:r>
      <w:r w:rsidRPr="00AA0D15">
        <w:t xml:space="preserve"> National Association for the Advancement of Colored People (</w:t>
      </w:r>
      <w:r w:rsidRPr="00AA0D15">
        <w:rPr>
          <w:rStyle w:val="StyleUnderline"/>
        </w:rPr>
        <w:t>NAACP</w:t>
      </w:r>
      <w:r w:rsidRPr="00AA0D15">
        <w:t xml:space="preserve">), </w:t>
      </w:r>
      <w:r w:rsidRPr="00AA0D15">
        <w:rPr>
          <w:rStyle w:val="StyleUnderline"/>
        </w:rPr>
        <w:t>the National Urban League and</w:t>
      </w:r>
      <w:r w:rsidRPr="00AA0D15">
        <w:t xml:space="preserve"> the Congress of Racial Equality (</w:t>
      </w:r>
      <w:r w:rsidRPr="00AA0D15">
        <w:rPr>
          <w:rStyle w:val="StyleUnderline"/>
        </w:rPr>
        <w:t>CORE</w:t>
      </w:r>
      <w:r w:rsidRPr="00AA0D15">
        <w:t xml:space="preserve">) </w:t>
      </w:r>
      <w:r w:rsidRPr="00AA0D15">
        <w:rPr>
          <w:rStyle w:val="StyleUnderline"/>
        </w:rPr>
        <w:t>used the political system</w:t>
      </w:r>
      <w:r w:rsidRPr="00AA0D15">
        <w:t xml:space="preserve"> as a means to gain full citizenship rights for African Americans (Meier 1973). However, </w:t>
      </w:r>
      <w:r w:rsidRPr="00AA0D15">
        <w:rPr>
          <w:rStyle w:val="StyleUnderline"/>
        </w:rPr>
        <w:t>ineffective legislation and the failure to win segregation through Brown</w:t>
      </w:r>
      <w:r w:rsidRPr="00AA0D15">
        <w:t xml:space="preserve"> v. the Board of Education </w:t>
      </w:r>
      <w:r w:rsidRPr="00AA0D15">
        <w:rPr>
          <w:rStyle w:val="StyleUnderline"/>
        </w:rPr>
        <w:t>showed that the Movement had to move outside of the traditional political system by using direct action tactics such as bus boycotts, sit-ins, freedom rides and marches</w:t>
      </w:r>
      <w:r w:rsidRPr="00AA0D15">
        <w:t xml:space="preserve">. </w:t>
      </w:r>
      <w:r w:rsidRPr="00AA0D15">
        <w:rPr>
          <w:rStyle w:val="StyleUnderline"/>
        </w:rPr>
        <w:t>Using the</w:t>
      </w:r>
      <w:r w:rsidRPr="00AA0D15">
        <w:t xml:space="preserve"> Southern Christian Leadership Conference (</w:t>
      </w:r>
      <w:r w:rsidRPr="00AA0D15">
        <w:rPr>
          <w:rStyle w:val="StyleUnderline"/>
        </w:rPr>
        <w:t>SCLC</w:t>
      </w:r>
      <w:r w:rsidRPr="00AA0D15">
        <w:t xml:space="preserve">), </w:t>
      </w:r>
      <w:r w:rsidRPr="00AA0D15">
        <w:rPr>
          <w:rStyle w:val="StyleUnderline"/>
        </w:rPr>
        <w:t>the</w:t>
      </w:r>
      <w:r w:rsidRPr="00AA0D15">
        <w:t xml:space="preserve"> Student Nonviolence Coordinating Committee (</w:t>
      </w:r>
      <w:r w:rsidRPr="00AA0D15">
        <w:rPr>
          <w:rStyle w:val="StyleUnderline"/>
        </w:rPr>
        <w:t>SNCC</w:t>
      </w:r>
      <w:r w:rsidRPr="00AA0D15">
        <w:t xml:space="preserve">) </w:t>
      </w:r>
      <w:r w:rsidRPr="00AA0D15">
        <w:rPr>
          <w:rStyle w:val="StyleUnderline"/>
        </w:rPr>
        <w:t>and the</w:t>
      </w:r>
      <w:r w:rsidRPr="00AA0D15">
        <w:t xml:space="preserve"> Council of Federated Organizations (</w:t>
      </w:r>
      <w:r w:rsidRPr="00AA0D15">
        <w:rPr>
          <w:rStyle w:val="StyleUnderline"/>
        </w:rPr>
        <w:t>COFO</w:t>
      </w:r>
      <w:r w:rsidRPr="00AA0D15">
        <w:t xml:space="preserve">), </w:t>
      </w:r>
      <w:r w:rsidRPr="00AA0D15">
        <w:rPr>
          <w:rStyle w:val="StyleUnderline"/>
        </w:rPr>
        <w:t xml:space="preserve">the Movement’s switch of tactics in the 1960s solidified it as a social movement (Ness 2004). </w:t>
      </w:r>
      <w:r w:rsidRPr="00AA0D15">
        <w:t xml:space="preserve">It is important to note that unlike the other social movements focused on in this paper, the Civil Rights Movement’s opponent was not just the government; the Movement was opposing society as well. Previous constitutional amendments and federal legislation failed to provide African Americans with the equality they were seeking because there was a lack of societal support for the changes, especially in the South. 15 </w:t>
      </w:r>
      <w:r w:rsidRPr="00AA0D15">
        <w:rPr>
          <w:rStyle w:val="StyleUnderline"/>
        </w:rPr>
        <w:t>The major campaigns of civil resistance were an attempt to influence public opinion</w:t>
      </w:r>
      <w:r w:rsidRPr="00AA0D15">
        <w:t xml:space="preserve"> and put pressure on the government to change societal-based laws (Branch 1998). The opponent helped to influence the demands and the tactics the supports used. The goals of the Civil Rights Movement fluctuated throughout the long history of the Movement, but the focus remained on demanding equal human and civil rights. From 1960 to 1968, six official demands came out of the movement. These demands included the end to “Jim Crow” 15 This resistance can be seen with the prevalence of the Jim Crow Laws and the use of literacy tests in determining voter eligibility in the South</w:t>
      </w:r>
      <w:r w:rsidRPr="00AA0D15">
        <w:rPr>
          <w:rStyle w:val="StyleUnderline"/>
        </w:rPr>
        <w:t xml:space="preserve">. Federal efforts to end those failed </w:t>
      </w:r>
      <w:r w:rsidRPr="00AA0D15">
        <w:t xml:space="preserve">until the mid-1960s with more stringent federal laws that threatened federal influence. – Ness (2004)  18 </w:t>
      </w:r>
      <w:r w:rsidRPr="00AA0D15">
        <w:rPr>
          <w:rStyle w:val="StyleUnderline"/>
        </w:rPr>
        <w:t>segregation laws, a massive federal works program</w:t>
      </w:r>
      <w:r w:rsidRPr="00AA0D15">
        <w:t>, full and fair employment, decent housing, the right to vote regardless of race and adequate</w:t>
      </w:r>
      <w:r w:rsidRPr="00AA0D15">
        <w:rPr>
          <w:rStyle w:val="StyleUnderline"/>
        </w:rPr>
        <w:t xml:space="preserve"> integrated education</w:t>
      </w:r>
      <w:r w:rsidRPr="00AA0D15">
        <w:t xml:space="preserve"> (Ness 2004). </w:t>
      </w:r>
      <w:r w:rsidRPr="00AA0D15">
        <w:rPr>
          <w:rStyle w:val="StyleUnderline"/>
        </w:rPr>
        <w:t>While the American Constitution was an attempt to “promote the general welfare” of American citizens, the Constitution did not realize African Americans as people in genera</w:t>
      </w:r>
      <w:r w:rsidRPr="00AA0D15">
        <w:t>l. In Article 1, Section 2, slaves are to be counted as three-fifths of a person. Amendments therefore are the focus of the constitutional connection of the demands. Amendment 13 abolishes slavery and involuntary servitude. Amendment 14 defines citizens, recognizes African Americans as whole people and leads to the creation of the Equal Protection Clause. Amendment 15 provided suffrage for all men regardless of race. Amendment 24 called for voting without a poll tax to deal with laws in the South. From the Amendments, three of the six demands do come from the Constitution; the right to vote, the end of segregation laws and adequate integrated education.</w:t>
      </w:r>
      <w:r w:rsidRPr="00AA0D15">
        <w:rPr>
          <w:rStyle w:val="StyleUnderline"/>
        </w:rPr>
        <w:t xml:space="preserve"> </w:t>
      </w:r>
      <w:r w:rsidRPr="00AA0D15">
        <w:t>The latter two were achieved with the Civil Rights Act of 1964</w:t>
      </w:r>
      <w:r w:rsidRPr="00AA0D15">
        <w:rPr>
          <w:rStyle w:val="StyleUnderline"/>
        </w:rPr>
        <w:t xml:space="preserve">, </w:t>
      </w:r>
      <w:r w:rsidRPr="00AA0D15">
        <w:t xml:space="preserve">which mandated equal access to public places16. This Act also addressed full and fair employment as it outlawed discrimination in employment.17 The most important success came with the Voting Rights Act of 1965, which suspended literacy tests and other voter tests, such as a poll tax, and authorized federal supervision of voter registration if such tests were being used.18 The Movement failed to achieve its demands of a federal works program and decent housing.19 </w:t>
      </w:r>
    </w:p>
    <w:p w:rsidR="00C47278" w:rsidRPr="00AA0D15" w:rsidRDefault="00C47278" w:rsidP="00C47278">
      <w:pPr>
        <w:pStyle w:val="Heading3"/>
        <w:rPr>
          <w:rFonts w:cs="Times New Roman"/>
        </w:rPr>
      </w:pPr>
      <w:r w:rsidRPr="00AA0D15">
        <w:rPr>
          <w:rFonts w:cs="Times New Roman"/>
        </w:rPr>
        <w:t>AT state courts racist</w:t>
      </w:r>
    </w:p>
    <w:p w:rsidR="00C47278" w:rsidRPr="00AA0D15" w:rsidRDefault="00C47278" w:rsidP="00C47278">
      <w:pPr>
        <w:pStyle w:val="Heading4"/>
        <w:rPr>
          <w:rFonts w:cs="Times New Roman"/>
        </w:rPr>
      </w:pPr>
      <w:r w:rsidRPr="00AA0D15">
        <w:rPr>
          <w:rFonts w:cs="Times New Roman"/>
        </w:rPr>
        <w:t>Have you met the federal courts?</w:t>
      </w:r>
    </w:p>
    <w:p w:rsidR="00C47278" w:rsidRPr="00AA0D15" w:rsidRDefault="00C47278" w:rsidP="00C47278">
      <w:pPr>
        <w:pStyle w:val="Heading4"/>
        <w:numPr>
          <w:ilvl w:val="0"/>
          <w:numId w:val="18"/>
        </w:numPr>
        <w:spacing w:before="40" w:line="259" w:lineRule="auto"/>
        <w:rPr>
          <w:rFonts w:cs="Times New Roman"/>
        </w:rPr>
      </w:pPr>
      <w:r w:rsidRPr="00AA0D15">
        <w:rPr>
          <w:rFonts w:cs="Times New Roman"/>
        </w:rPr>
        <w:t>Sentencing Disparity</w:t>
      </w:r>
    </w:p>
    <w:p w:rsidR="00C47278" w:rsidRPr="00AA0D15" w:rsidRDefault="00C47278" w:rsidP="00C47278">
      <w:r w:rsidRPr="00AA0D15">
        <w:rPr>
          <w:b/>
        </w:rPr>
        <w:t>ACLU 14</w:t>
      </w:r>
      <w:r w:rsidRPr="00AA0D15">
        <w:t xml:space="preserve"> – The American Civil Liberties Union is a national organization with over 2 million members that fights legislative battles in the court system everyday (“Written Submission of the American Civil Liberties Union on Racial Disparities in Sentencing,” 10-27-14, ACLU, https://www.aclu.org/sites/default/files/assets/141027_iachr_racial_disparities_aclu_submission_0.pdf)//jkuffour</w:t>
      </w:r>
    </w:p>
    <w:p w:rsidR="00C47278" w:rsidRPr="00AA0D15" w:rsidRDefault="00C47278" w:rsidP="00C47278">
      <w:r w:rsidRPr="00AA0D15">
        <w:t xml:space="preserve">There are significant racial disparities in sentencing decisions in the United States.1 </w:t>
      </w:r>
      <w:r w:rsidRPr="00AA0D15">
        <w:rPr>
          <w:rStyle w:val="Emphasis"/>
        </w:rPr>
        <w:t>Sentences imposed on Black males in the federal system are nearly 20 percent longer</w:t>
      </w:r>
      <w:r w:rsidRPr="00AA0D15">
        <w:rPr>
          <w:rStyle w:val="StyleUnderline"/>
        </w:rPr>
        <w:t xml:space="preserve"> than those imposed on white males convicted of similar crimes.</w:t>
      </w:r>
      <w:r w:rsidRPr="00AA0D15">
        <w:t xml:space="preserve">2 Black and Latino offenders sentenced in state and federal courts face significantly greater odds of incarceration than similarly situated white offenders and receive longer sentences than their white counterparts in some jurisdictions.3 </w:t>
      </w:r>
      <w:r w:rsidRPr="00AA0D15">
        <w:rPr>
          <w:rStyle w:val="StyleUnderline"/>
        </w:rPr>
        <w:t>B</w:t>
      </w:r>
      <w:r w:rsidRPr="00AA0D15">
        <w:rPr>
          <w:rStyle w:val="Emphasis"/>
        </w:rPr>
        <w:t>lack male federal defendants receive longer sentences than whites</w:t>
      </w:r>
      <w:r w:rsidRPr="00AA0D15">
        <w:rPr>
          <w:rStyle w:val="StyleUnderline"/>
        </w:rPr>
        <w:t xml:space="preserve"> arrested for the same offenses and with comparable criminal histories</w:t>
      </w:r>
      <w:r w:rsidRPr="00AA0D15">
        <w:t xml:space="preserve">.4 Research has also shown that </w:t>
      </w:r>
      <w:r w:rsidRPr="00AA0D15">
        <w:rPr>
          <w:rStyle w:val="StyleUnderline"/>
        </w:rPr>
        <w:t>race plays a significant role in the determination of which homicide cases result in death sentences</w:t>
      </w:r>
      <w:r w:rsidRPr="00AA0D15">
        <w:t>.5 2 The racial disparities increase with the severity of the sentence imposed. The level of disproportionate representation of Blacks among prisoners who are serving life sentences without the possibility of parole (LWOP) is higher than that among parole-eligible prisoners serving life sentences. The disparity is even higher for juvenile offenders sentenced to LWOP, and higher still among prisoners sentenced to LWOP for nonviolent offenses. Although Blacks constitute only about 13 percent of the U.S. population, as of 2009, Blacks constitute 28.3 percent of all lifers, 56.4 percent of those serving LWOP, and 56.1 percent of those who received LWOP for offenses committed as a juvenile.6 As of 2012, the ACLU’s research shows that 65.4 percent of prisoners serving LWOP for nonviolent offenses are Black.7 The racial disparities are even worse in some states. In 13 states and the federal system, the percentage of Blacks serving life sentences is over 60 percent.8 In Georgia and Louisiana, the proportion of Blacks serving LWOP sentences is as high as 73.9 and 73.3 percent, respectively.</w:t>
      </w:r>
      <w:r w:rsidRPr="00AA0D15">
        <w:rPr>
          <w:rStyle w:val="StyleUnderline"/>
          <w:sz w:val="16"/>
          <w:u w:val="none"/>
        </w:rPr>
        <w:t>9</w:t>
      </w:r>
      <w:r w:rsidRPr="00AA0D15">
        <w:rPr>
          <w:rStyle w:val="StyleUnderline"/>
        </w:rPr>
        <w:t xml:space="preserve"> </w:t>
      </w:r>
      <w:r w:rsidRPr="00AA0D15">
        <w:rPr>
          <w:rStyle w:val="Emphasis"/>
        </w:rPr>
        <w:t>In the federal system, 71.3 percent of the 1,230 LWOP prisoners are Black</w:t>
      </w:r>
      <w:r w:rsidRPr="00AA0D15">
        <w:rPr>
          <w:rStyle w:val="StyleUnderline"/>
        </w:rPr>
        <w:t>.</w:t>
      </w:r>
      <w:r w:rsidRPr="00AA0D15">
        <w:t>10</w:t>
      </w:r>
      <w:r w:rsidRPr="00AA0D15">
        <w:rPr>
          <w:rStyle w:val="StyleUnderline"/>
        </w:rPr>
        <w:t xml:space="preserve"> These racial disparities result from disparate treatment of Blacks at every stage of the criminal justice system, </w:t>
      </w:r>
      <w:r w:rsidRPr="00AA0D15">
        <w:t xml:space="preserve">including stops and searches, arrests, prosecutions and plea negotiations, trials, and sentencing.11 Race matters at all phases and aspects of the criminal process, including the quality of representation, the charging phase, and the availability of plea agreements, each of which impact whether juvenile and adult defendants face a potential LWOP sentence. In addition, racial disparities in sentencing can result from theoretically “race neutral” sentencing policies that have significant disparate racial effects, particularly in the cases of habitual offender laws and many drug policies, including mandatory minimums, school zone drug enhancements, and federal policies adopted by Congress in 1986 and 1996 that at the time established a 100-toone sentencing disparity between crack and powder cocaine offenses.12 Racial disparities in sentencing also result in part from prosecutors’ decisions at the initial charging stage, suggesting that racial bias affects the exercise of prosecutorial discretion with respect to certain crimes. One study found that Black defendants face significantly more severe charges than whites, even after controlling for characteristics of the offense, criminal history, defense counsel type, age and education of the offender, and crime rates and economic characteristics of the jurisdiction.13 Available data also suggests that there are racial disparities in prosecutors’ exercise of discretion in seeking sentencing enhancements under three-strikes and other habitual offender laws.14 For instance, a 1995 legal challenge revealed the racially biased role of prosecutorial discretion in the application of Georgia’s two-strikes law. Georgia prosecutors have discretion to decide whether to charge offenders under the state’s two-strikes sentencing scheme, which imposes life imprisonment for a second drug offense. They invoked the law against only 1 percent of white defendants facing a second drug conviction, compared to 16 percent of Black defendants.15 As a result, 98.4 percent of prisoners serving life sentences under the law were 3 Black.16 In California, studies similarly show that Blacks are sentenced under the state’s threestrikes law at far higher rates than their white counterparts.17 </w:t>
      </w:r>
      <w:r w:rsidRPr="00AA0D15">
        <w:rPr>
          <w:rStyle w:val="StyleUnderline"/>
        </w:rPr>
        <w:t xml:space="preserve">Scholars have also noted that </w:t>
      </w:r>
      <w:r w:rsidRPr="00AA0D15">
        <w:rPr>
          <w:rStyle w:val="Emphasis"/>
        </w:rPr>
        <w:t>federal</w:t>
      </w:r>
      <w:r w:rsidRPr="00AA0D15">
        <w:rPr>
          <w:rStyle w:val="StyleUnderline"/>
        </w:rPr>
        <w:t xml:space="preserve"> § 851 </w:t>
      </w:r>
      <w:r w:rsidRPr="00AA0D15">
        <w:rPr>
          <w:rStyle w:val="Emphasis"/>
        </w:rPr>
        <w:t>sentencing enhancements,</w:t>
      </w:r>
      <w:r w:rsidRPr="00AA0D15">
        <w:rPr>
          <w:rStyle w:val="StyleUnderline"/>
        </w:rPr>
        <w:t xml:space="preserve"> which at a minimum double a federal drug defendant’s mandatory minimum sentence and may raise the maximum sentence from 40 years to life </w:t>
      </w:r>
      <w:r w:rsidRPr="00AA0D15">
        <w:rPr>
          <w:rStyle w:val="StyleUnderline"/>
          <w:sz w:val="16"/>
          <w:u w:val="none"/>
        </w:rPr>
        <w:t xml:space="preserve">without parole if the defendant has two prior qualifying drug convictions in state or federal courts, </w:t>
      </w:r>
      <w:r w:rsidRPr="00AA0D15">
        <w:rPr>
          <w:rStyle w:val="Emphasis"/>
        </w:rPr>
        <w:t xml:space="preserve">are applied by federal prosecutors in an arbitrary and racially discriminatory manner </w:t>
      </w:r>
      <w:r w:rsidRPr="00AA0D15">
        <w:rPr>
          <w:rStyle w:val="StyleUnderline"/>
        </w:rPr>
        <w:t>and exacerbate racial disparities in the criminal justice system</w:t>
      </w:r>
      <w:r w:rsidRPr="00AA0D15">
        <w:t>.18 While the U.S. Department of Justice and U.S. Sentencing Commission do not develop or publicize data on racial disparities in prosecutors’ application of this federal drug sentencing enhancement, the U.S. Sentencing Commission has reported that “[b]lack offenders qualified for the [§ 851] enhancement at higher rates than any other racial group.”19</w:t>
      </w:r>
    </w:p>
    <w:p w:rsidR="00C47278" w:rsidRPr="00AA0D15" w:rsidRDefault="00C47278" w:rsidP="00C47278">
      <w:pPr>
        <w:pStyle w:val="Heading4"/>
        <w:numPr>
          <w:ilvl w:val="0"/>
          <w:numId w:val="18"/>
        </w:numPr>
        <w:spacing w:before="40" w:line="259" w:lineRule="auto"/>
        <w:rPr>
          <w:rFonts w:cs="Times New Roman"/>
        </w:rPr>
      </w:pPr>
      <w:r w:rsidRPr="00AA0D15">
        <w:rPr>
          <w:rFonts w:cs="Times New Roman"/>
        </w:rPr>
        <w:t>Empirics</w:t>
      </w:r>
    </w:p>
    <w:p w:rsidR="00C47278" w:rsidRPr="00AA0D15" w:rsidRDefault="00C47278" w:rsidP="00C47278">
      <w:r w:rsidRPr="007C2097">
        <w:rPr>
          <w:rStyle w:val="Style13ptBold"/>
        </w:rPr>
        <w:t>Reinhardt 93</w:t>
      </w:r>
      <w:r w:rsidRPr="00AA0D15">
        <w:t xml:space="preserve"> – Stephen R. Reinhardt is a circuit judge on the United States Court of Appeals (“Riots, Racism, and the Courts,” January 1993, Golden Gate University Law Review, http://digitalcommons.law.ggu.edu/cgi/viewcontent.cgi?article=1573&amp;context=ggulrev)//jkuffour</w:t>
      </w:r>
    </w:p>
    <w:p w:rsidR="00C47278" w:rsidRPr="00AA0D15" w:rsidRDefault="00C47278" w:rsidP="00C47278">
      <w:r w:rsidRPr="00AA0D15">
        <w:t>All that has changed</w:t>
      </w:r>
      <w:r w:rsidRPr="00AA0D15">
        <w:rPr>
          <w:rStyle w:val="StyleUnderline"/>
        </w:rPr>
        <w:t>. The message the</w:t>
      </w:r>
      <w:r w:rsidRPr="00AA0D15">
        <w:t xml:space="preserve"> new Supreme Court </w:t>
      </w:r>
      <w:r w:rsidRPr="00AA0D15">
        <w:rPr>
          <w:rStyle w:val="StyleUnderline"/>
        </w:rPr>
        <w:t>has delivered to minority communities is clear: we no longer care</w:t>
      </w:r>
      <w:r w:rsidRPr="00AA0D15">
        <w:t xml:space="preserve">. We have other concerns. Look elsewhere for help. In 1989, in a series of major civil rights decisions, the Rehnquist Court let minorities know of its attitude toward civil rights laws. </w:t>
      </w:r>
      <w:r w:rsidRPr="00AA0D15">
        <w:rPr>
          <w:rStyle w:val="Emphasis"/>
        </w:rPr>
        <w:t>The Court made it far more difficult for minorities to win discrimination cases</w:t>
      </w:r>
      <w:r w:rsidRPr="00AA0D15">
        <w:rPr>
          <w:rStyle w:val="StyleUnderline"/>
        </w:rPr>
        <w:t>, while making it much easier for white males to challenge the legality of consent decrees regulating hiring practices</w:t>
      </w:r>
      <w:r w:rsidRPr="00AA0D15">
        <w:t xml:space="preserve">. A judicial revolution has occurred-a revolution that will not easily be reversed. A Court that once served the poor, the oppressed, and the disadvantaged now has entirely different clients, entirely different interests, an entirely different agenda. </w:t>
      </w:r>
      <w:r w:rsidRPr="00AA0D15">
        <w:rPr>
          <w:rStyle w:val="StyleUnderline"/>
        </w:rPr>
        <w:t>The Supreme Court continued on its anti-civil rights course this term</w:t>
      </w:r>
      <w:r w:rsidRPr="00AA0D15">
        <w:t xml:space="preserve">. In Presley v. Etowah County Commission, 1 the Court overruled the Justice Department, the agency charged with administering the voting rights laws. </w:t>
      </w:r>
      <w:r w:rsidRPr="00AA0D15">
        <w:rPr>
          <w:rStyle w:val="StyleUnderline"/>
        </w:rPr>
        <w:t>African-Americans in Etowah County, Alabama, had, for the first time in recent memory, accumulated enough political strength to elect a Black to their county board of supervisors. The white majority on the board responded by removing from individual supervisors all power to make decisions</w:t>
      </w:r>
      <w:r w:rsidRPr="00AA0D15">
        <w:t xml:space="preserve"> regarding their respective districts and giving that power to the board as a whole. </w:t>
      </w:r>
      <w:r w:rsidRPr="00AA0D15">
        <w:rPr>
          <w:rStyle w:val="StyleUnderline"/>
        </w:rPr>
        <w:t>The Supreme Court held that the Voting Rights Act was not violated</w:t>
      </w:r>
      <w:r w:rsidRPr="00AA0D15">
        <w:t xml:space="preserve">. Is it any wonder Blacks believe they are not treated fairly in our courts? And civil rights decisions are not the only cases in which the Rehnquist Court has demonstrated its hostility to the pursuit of individual rights in federal courts. The Court has erected a series of procedural barriers-some in the name of federalism-that serve to limit the opportunity of minorities and poor people to have their grievances redressed. </w:t>
      </w:r>
      <w:r w:rsidRPr="00AA0D15">
        <w:rPr>
          <w:rStyle w:val="Emphasis"/>
        </w:rPr>
        <w:t>Concepts such as mootness, ripeness, abstention, and standing have been employed to close off access to the federal courts</w:t>
      </w:r>
      <w:r w:rsidRPr="00AA0D15">
        <w:rPr>
          <w:rStyle w:val="StyleUnderline"/>
        </w:rPr>
        <w:t xml:space="preserve"> and to deny federal remedies to people whose constitutional rights have been violated</w:t>
      </w:r>
      <w:r w:rsidRPr="00AA0D15">
        <w:t>. Illustrative of these procedural techniques is the Court's decision in City of Los Angeles v. Lyons. 2 Lyons held that a black victim of a police chokehold could not sue to bar further use of that technique because he could not prove that he would be choked again. Of course, Lyons was not the only one who could not meet that standard. No one else could either. After Lyons came McCleskey v. Kemp.</w:t>
      </w:r>
      <w:r w:rsidRPr="00AA0D15">
        <w:rPr>
          <w:rStyle w:val="StyleUnderline"/>
        </w:rPr>
        <w:t xml:space="preserve"> In McCleskey</w:t>
      </w:r>
      <w:r w:rsidRPr="00AA0D15">
        <w:t xml:space="preserve">, the Court said, openly and unashamedly, </w:t>
      </w:r>
      <w:r w:rsidRPr="00AA0D15">
        <w:rPr>
          <w:rStyle w:val="StyleUnderline"/>
        </w:rPr>
        <w:t>that institutional racism in our courts is of little consequence as far as individual black defendants are concerned</w:t>
      </w:r>
      <w:r w:rsidRPr="00AA0D15">
        <w:t>. Unless a black man about to be executed can prove that racism was the specific cause of his conviction or sentence-another standard that can rarely, if ever, be met</w:t>
      </w:r>
      <w:r w:rsidRPr="00AA0D15">
        <w:rPr>
          <w:rStyle w:val="StyleUnderline"/>
        </w:rPr>
        <w:t>-</w:t>
      </w:r>
      <w:r w:rsidRPr="00AA0D15">
        <w:rPr>
          <w:rStyle w:val="Emphasis"/>
        </w:rPr>
        <w:t>the Court will not consider a challenge based on the fact that Blacks are treated differently from Whites</w:t>
      </w:r>
      <w:r w:rsidRPr="00AA0D15">
        <w:rPr>
          <w:rStyle w:val="StyleUnderline"/>
        </w:rPr>
        <w:t>, no matter how persuasive the evidence.</w:t>
      </w:r>
      <w:r w:rsidRPr="00AA0D15">
        <w:t xml:space="preserve"> These decisions showed the African-American community that </w:t>
      </w:r>
      <w:r w:rsidRPr="00AA0D15">
        <w:rPr>
          <w:rStyle w:val="StyleUnderline"/>
        </w:rPr>
        <w:t>the federal judiciary is no longer interested in protecting the rights of minorities,</w:t>
      </w:r>
      <w:r w:rsidRPr="00AA0D15">
        <w:t xml:space="preserve"> that federal judges are far more concerned with protecting the interest of white males. To minorities-and particularly to black Americans-this was a bitter blow. The age of Earl Warren, William Brennan, and Thurgood Marshall was the golden age of civil rights. Minorities were given the feeling that someone cared, that government cared, that the law was on their side. Understandably, with the Rehnquist Court in full sway, they no longer believe that. Their earlier belief gave them hope. Their current belief leads only to despair-and to disrespect for the law. There are other aspects of our laws and sentencing procedures that have undermined the faith of minorities in the judicial system</w:t>
      </w:r>
      <w:r w:rsidRPr="00AA0D15">
        <w:rPr>
          <w:rStyle w:val="StyleUnderline"/>
        </w:rPr>
        <w:t>: the disparity between sentenced for possession of crack</w:t>
      </w:r>
      <w:r w:rsidRPr="00AA0D15">
        <w:t xml:space="preserve">, a substance used principally by minorities, </w:t>
      </w:r>
      <w:r w:rsidRPr="00AA0D15">
        <w:rPr>
          <w:rStyle w:val="StyleUnderline"/>
        </w:rPr>
        <w:t>and possession of cocaine</w:t>
      </w:r>
      <w:r w:rsidRPr="00AA0D15">
        <w:t xml:space="preserve">, a favorite of wealthy Caucasians; </w:t>
      </w:r>
      <w:r w:rsidRPr="00AA0D15">
        <w:rPr>
          <w:rStyle w:val="StyleUnderline"/>
        </w:rPr>
        <w:t xml:space="preserve">the harshness of some of our other narcotics laws and their disparate impact on young, unemployed black males; and the </w:t>
      </w:r>
      <w:r w:rsidRPr="00AA0D15">
        <w:rPr>
          <w:rStyle w:val="Emphasis"/>
        </w:rPr>
        <w:t>drastic difference in treatment of the types of offense</w:t>
      </w:r>
      <w:r w:rsidRPr="00AA0D15">
        <w:t xml:space="preserve"> most frequently committed by minorities and those of which Caucasians are most often the perpetrators-lenient sentences for white-collar fraud or theft of millions of dollars, and harsh punishment for more traditional crimes involving far smaller amounts of money or property. There is a final, overriding reason why Blacks lack confidence in the federal courts</w:t>
      </w:r>
      <w:r w:rsidRPr="00AA0D15">
        <w:rPr>
          <w:rStyle w:val="StyleUnderline"/>
        </w:rPr>
        <w:t>. By their appointments</w:t>
      </w:r>
      <w:r w:rsidRPr="00AA0D15">
        <w:t xml:space="preserve">, Presidents Reagan and Bush have ensured that </w:t>
      </w:r>
      <w:r w:rsidRPr="00AA0D15">
        <w:rPr>
          <w:rStyle w:val="Emphasis"/>
        </w:rPr>
        <w:t>the federal courts will not be representative</w:t>
      </w:r>
      <w:r w:rsidRPr="00AA0D15">
        <w:t xml:space="preserve">. Instead, they are a bastion of white America. </w:t>
      </w:r>
      <w:r w:rsidRPr="00AA0D15">
        <w:rPr>
          <w:rStyle w:val="StyleUnderline"/>
        </w:rPr>
        <w:t>They stand as a symbol of white power</w:t>
      </w:r>
      <w:r w:rsidRPr="00AA0D15">
        <w:t>. I will report only on the courts I am most familiar with-the federal appellate courts, the second-highest courts in the land. Because Blacks were rarely appointed to so rarefied a position in the past-only Presidents Truman, Kennedy, and Johnson had made any such appointments-President Carter made a herculean effort to redress the existin</w:t>
      </w:r>
      <w:r w:rsidR="007C2097">
        <w:t>g inequity when he took office.</w:t>
      </w:r>
    </w:p>
    <w:p w:rsidR="00C47278" w:rsidRPr="00AA0D15" w:rsidRDefault="00C47278" w:rsidP="00C47278">
      <w:pPr>
        <w:pStyle w:val="Heading3"/>
        <w:rPr>
          <w:rFonts w:cs="Times New Roman"/>
        </w:rPr>
      </w:pPr>
      <w:r w:rsidRPr="00AA0D15">
        <w:rPr>
          <w:rFonts w:cs="Times New Roman"/>
        </w:rPr>
        <w:t>AT data deficit</w:t>
      </w:r>
    </w:p>
    <w:p w:rsidR="00C47278" w:rsidRPr="00AA0D15" w:rsidRDefault="00C47278" w:rsidP="00C47278">
      <w:pPr>
        <w:pStyle w:val="Heading4"/>
        <w:rPr>
          <w:rFonts w:cs="Times New Roman"/>
        </w:rPr>
      </w:pPr>
      <w:r w:rsidRPr="00AA0D15">
        <w:rPr>
          <w:rFonts w:cs="Times New Roman"/>
        </w:rPr>
        <w:t>States solve data – they have the resources and capabilities</w:t>
      </w:r>
    </w:p>
    <w:p w:rsidR="00C47278" w:rsidRPr="00AA0D15" w:rsidRDefault="00C47278" w:rsidP="00C47278">
      <w:r w:rsidRPr="00AA0D15">
        <w:rPr>
          <w:rStyle w:val="Style13ptBold"/>
        </w:rPr>
        <w:t>Carson et. al 10</w:t>
      </w:r>
      <w:r w:rsidRPr="00AA0D15">
        <w:t xml:space="preserve"> (Rebecca Carson and Elizabeth Laird, Data Quality Campaign; Elizabeth Gaines and Thaddeus Ferber, The Forum for Youth Investment, Rebecca Carson is a partner in the Newport Beach office of Irell &amp; Manella LLP, where she is a member of the litigation and intellectual property practice groups., The Data Quality Campaign (DQC) is the nation’s leading voice on education data policy and use., March 2010, "Linking Data across Agencies: States That Are Making It Work," DATA QUALITY CAMPAIGN, http://forumfyi.org/files/States.That.Are.Making.It.Work.pdf, Accessed: 6-28-2017 /Kent Denver-NK)</w:t>
      </w:r>
    </w:p>
    <w:p w:rsidR="00C47278" w:rsidRPr="00AA0D15" w:rsidRDefault="00C47278" w:rsidP="00C47278">
      <w:r w:rsidRPr="00AA0D15">
        <w:t xml:space="preserve">Now that </w:t>
      </w:r>
      <w:r w:rsidRPr="00AA0D15">
        <w:rPr>
          <w:rStyle w:val="StyleUnderline"/>
        </w:rPr>
        <w:t xml:space="preserve">a growing number of </w:t>
      </w:r>
      <w:r w:rsidRPr="00AA0D15">
        <w:rPr>
          <w:rStyle w:val="Emphasis"/>
        </w:rPr>
        <w:t>states have the technical capacity</w:t>
      </w:r>
      <w:r w:rsidRPr="00AA0D15">
        <w:rPr>
          <w:rStyle w:val="StyleUnderline"/>
        </w:rPr>
        <w:t xml:space="preserve"> to collect, share, link and analyze longitudinal data within and across multiple systems and agencies, governors, legislators, boards and agency heads must work collaboratively to define common goals and create a single vision that spans the various sectors and systems to ensure data are linked for a clear purpose and not simply for “data’s sake</w:t>
      </w:r>
      <w:r w:rsidRPr="00AA0D15">
        <w:t xml:space="preserve">.” Rather than leading with the abstract goal of “aligning cross-agency data systems,” </w:t>
      </w:r>
      <w:r w:rsidRPr="00AA0D15">
        <w:rPr>
          <w:rStyle w:val="StyleUnderline"/>
        </w:rPr>
        <w:t>progress will be expedited by prioritizing key policy questions to inform which data are linked and for what purposes,</w:t>
      </w:r>
      <w:r w:rsidRPr="00AA0D15">
        <w:t xml:space="preserve"> such as: u To what degree does participation in early childhood programs increase kindergarten readiness? Are these gains sustained through 3rd grade? u What indicators provide early warning that students are at risk of dropping out? On track for college and career readiness? u How many high school graduates require remediation in their first year of postsecondary education? u Which industries employ the majority of our state’s high school and college graduates? State Examples </w:t>
      </w:r>
      <w:r w:rsidRPr="00AA0D15">
        <w:rPr>
          <w:rStyle w:val="StyleUnderline"/>
        </w:rPr>
        <w:t>The Massachusetts Child and Youth Readiness Cabinet, jointly chaired by the secretary of education and the secretary of health and human services, developed a strategic plan for its statewide integrated data sharing system</w:t>
      </w:r>
      <w:r w:rsidRPr="00AA0D15">
        <w:t xml:space="preserve">. The project vision incorporates three parts: (1) a dropout early warning, identification and intervention system to target at-risk youth; (2) a readiness passport to chronicle a child’s educational experiences and other services and supports that can follow that child anywhere; and (3) a school support coordinator/readiness coach responsible for using these tools to intervene. To </w:t>
      </w:r>
      <w:r w:rsidRPr="00AA0D15">
        <w:rPr>
          <w:rStyle w:val="StyleUnderline"/>
        </w:rPr>
        <w:t>meet the governor of Minnesota’s goal of connecting the K–12 and postsecondary systems, the state worked through the P–16 Education Partnership, a voluntary advisory group tasked with improving student transitions from P–12 to postsecondary education and creating a common vision for P–20 data sharing</w:t>
      </w:r>
      <w:r w:rsidRPr="00AA0D15">
        <w:t xml:space="preserve">. The full P–16 Education Partnership, including private and public postsecondary systems, teachers unions, the Career College Association, and </w:t>
      </w:r>
      <w:r w:rsidRPr="00AA0D15">
        <w:rPr>
          <w:rStyle w:val="StyleUnderline"/>
        </w:rPr>
        <w:t>the Minnesota Department of Education, defined a clear vision and determined the questions that this data sharing would answer.</w:t>
      </w:r>
      <w:r w:rsidRPr="00AA0D15">
        <w:t xml:space="preserve"> The P–16 Student Identification System Working Group was developed to help determine which P–12 and higher education data should be collected and potentially shared to provide these answers and fulfill this vision. To drive the design of its longitudinal data system, </w:t>
      </w:r>
      <w:r w:rsidRPr="00AA0D15">
        <w:rPr>
          <w:rStyle w:val="StyleUnderline"/>
        </w:rPr>
        <w:t>South Carolina identified key questions by first conducting a landscape review of existing questions from a variety of sources</w:t>
      </w:r>
      <w:r w:rsidRPr="00AA0D15">
        <w:t xml:space="preserve"> (e.g., National Center for Education Statistics, various state stakeholder groups and state legislation) and then prioritizing the resulting list of almost 400 questions to narrow it down to six critical questions </w:t>
      </w:r>
      <w:r w:rsidRPr="00AA0D15">
        <w:rPr>
          <w:rStyle w:val="StyleUnderline"/>
        </w:rPr>
        <w:t>based on the ease and availability to access the data needed to answer them.</w:t>
      </w:r>
      <w:r w:rsidRPr="00AA0D15">
        <w:t xml:space="preserve"> </w:t>
      </w:r>
      <w:r w:rsidRPr="00AA0D15">
        <w:rPr>
          <w:rStyle w:val="StyleUnderline"/>
        </w:rPr>
        <w:t xml:space="preserve">The South Carolina team then </w:t>
      </w:r>
      <w:r w:rsidRPr="00AA0D15">
        <w:rPr>
          <w:rStyle w:val="Emphasis"/>
        </w:rPr>
        <w:t>built and enhanced its data system</w:t>
      </w:r>
      <w:r w:rsidRPr="00AA0D15">
        <w:rPr>
          <w:rStyle w:val="StyleUnderline"/>
        </w:rPr>
        <w:t xml:space="preserve"> with this set of six questions as the primary driver.</w:t>
      </w:r>
      <w:r w:rsidRPr="00AA0D15">
        <w:t xml:space="preserve"> Staff from </w:t>
      </w:r>
      <w:r w:rsidRPr="00AA0D15">
        <w:rPr>
          <w:rStyle w:val="StyleUnderline"/>
        </w:rPr>
        <w:t>the New Mexico Office of Education Accountability developed the notion of “killer questions” in conjunction with several other states to describe the key policy questions that come up over and over again across districts and states when confronted with quality data.</w:t>
      </w:r>
      <w:r w:rsidRPr="00AA0D15">
        <w:t xml:space="preserve"> In an effort to begin to identify and prioritize these “killer questions</w:t>
      </w:r>
      <w:r w:rsidRPr="00AA0D15">
        <w:rPr>
          <w:rStyle w:val="Emphasis"/>
        </w:rPr>
        <w:t>,” New Mexico developed a template</w:t>
      </w:r>
      <w:r w:rsidRPr="00AA0D15">
        <w:rPr>
          <w:rStyle w:val="StyleUnderline"/>
        </w:rPr>
        <w:t xml:space="preserve"> to help categorize its policy questions and to then develop the corresponding data and political questions it would need to answer to help solve a given policy problem</w:t>
      </w:r>
      <w:r w:rsidRPr="00AA0D15">
        <w:t xml:space="preserve">. n </w:t>
      </w:r>
      <w:r w:rsidRPr="00AA0D15">
        <w:rPr>
          <w:rStyle w:val="StyleUnderline"/>
        </w:rPr>
        <w:t>Ensure data systems are interoperable within and across agencies and sectors by adopting common data standards, definitions and language</w:t>
      </w:r>
      <w:r w:rsidRPr="00AA0D15">
        <w:t xml:space="preserve">. </w:t>
      </w:r>
      <w:r w:rsidRPr="00AA0D15">
        <w:rPr>
          <w:rStyle w:val="StyleUnderline"/>
        </w:rPr>
        <w:t>States currently have multiple data systems that often were built in silos and have been used primarily for accountability and compliance reporting within individual sectors</w:t>
      </w:r>
      <w:r w:rsidRPr="00AA0D15">
        <w:t xml:space="preserve">. As a result, </w:t>
      </w:r>
      <w:r w:rsidRPr="00AA0D15">
        <w:rPr>
          <w:rStyle w:val="StyleUnderline"/>
        </w:rPr>
        <w:t>state agencies have established data standards, definitions and language in isolation or by adopting sector-specific standards to meet their unique collection and reporting needs without ensuring data can be linked across systems and, if a state priority, across state lines</w:t>
      </w:r>
      <w:r w:rsidRPr="00AA0D15">
        <w:t xml:space="preserve">. But students are mobile, moving between schools and grade spans and from state to state, and states must be able to link data across traditional boundaries to answer questions such as “Where do our students go after high school, and were they adequately prepared?” </w:t>
      </w:r>
      <w:r w:rsidRPr="00AA0D15">
        <w:rPr>
          <w:rStyle w:val="Emphasis"/>
        </w:rPr>
        <w:t>Common data standards are essential</w:t>
      </w:r>
      <w:r w:rsidRPr="00AA0D15">
        <w:rPr>
          <w:rStyle w:val="StyleUnderline"/>
        </w:rPr>
        <w:t xml:space="preserve"> to creating interoperability, which makes data sharing among districts, between districts and states, and within and among agencies and states more efficient. The lack of common data definitions and technical specifications not only limits the ability of data analysis and use to inform critical questions but also makes linking data across multiple systems costly and inefficient and inhibits the development of new tools and services</w:t>
      </w:r>
      <w:r w:rsidRPr="00AA0D15">
        <w:t>. Without commonly agreed-to voluntary data standards, vendors are forced to tailor products to each system or state’s specifications, increasing time and costs.</w:t>
      </w:r>
    </w:p>
    <w:p w:rsidR="00C47278" w:rsidRPr="00AA0D15" w:rsidRDefault="00C47278" w:rsidP="00C47278">
      <w:pPr>
        <w:pStyle w:val="Heading4"/>
        <w:rPr>
          <w:rFonts w:cs="Times New Roman"/>
        </w:rPr>
      </w:pPr>
      <w:r w:rsidRPr="00AA0D15">
        <w:rPr>
          <w:rFonts w:cs="Times New Roman"/>
        </w:rPr>
        <w:t>States are improving data sharing – it’s just a question of exchanging info</w:t>
      </w:r>
    </w:p>
    <w:p w:rsidR="00C47278" w:rsidRPr="00AA0D15" w:rsidRDefault="00C47278" w:rsidP="00C47278">
      <w:r w:rsidRPr="00AA0D15">
        <w:rPr>
          <w:rStyle w:val="Style13ptBold"/>
        </w:rPr>
        <w:t>Carson et. al 10</w:t>
      </w:r>
      <w:r w:rsidRPr="00AA0D15">
        <w:t xml:space="preserve"> (Rebecca Carson and Elizabeth Laird, Data Quality Campaign; Elizabeth Gaines and Thaddeus Ferber, The Forum for Youth Investment, Rebecca Carson is a partner in the Newport Beach office of Irell &amp; Manella LLP, where she is a member of the litigation and intellectual property practice groups., The Data Quality Campaign (DQC) is the nation’s leading voice on education data policy and use., March 2010, "Linking Data across Agencies: States That Are Making It Work," DATA QUALITY CAMPAIGN, </w:t>
      </w:r>
      <w:r w:rsidRPr="00AA0D15">
        <w:tab/>
        <w:t>, Accessed: 6-28-2017 /Kent Denver-NK)</w:t>
      </w:r>
    </w:p>
    <w:p w:rsidR="00C47278" w:rsidRPr="00AA0D15" w:rsidRDefault="00C47278" w:rsidP="00C47278">
      <w:r w:rsidRPr="00AA0D15">
        <w:rPr>
          <w:rStyle w:val="StyleUnderline"/>
        </w:rPr>
        <w:t>For policymakers, educators, parents and students to have the information they need to improve student and system performance, states must ensure that as they build and enhance state K–12 longitudinal data systems</w:t>
      </w:r>
      <w:r w:rsidRPr="00AA0D15">
        <w:t xml:space="preserve">, </w:t>
      </w:r>
      <w:r w:rsidRPr="00AA0D15">
        <w:rPr>
          <w:rStyle w:val="StyleUnderline"/>
        </w:rPr>
        <w:t>they also continue building linkages to exchange and use information across early childhood, postsecondary and the workforce</w:t>
      </w:r>
      <w:r w:rsidRPr="00AA0D15">
        <w:t xml:space="preserve"> (P–20/workforce) and </w:t>
      </w:r>
      <w:r w:rsidRPr="00AA0D15">
        <w:rPr>
          <w:rStyle w:val="StyleUnderline"/>
        </w:rPr>
        <w:t>with other critical agencies, such as health, social services and criminal justice systems</w:t>
      </w:r>
      <w:r w:rsidRPr="00AA0D15">
        <w:t xml:space="preserve"> (crossagency), </w:t>
      </w:r>
      <w:r w:rsidRPr="00AA0D15">
        <w:rPr>
          <w:rStyle w:val="StyleUnderline"/>
        </w:rPr>
        <w:t>to answer key policy questions</w:t>
      </w:r>
      <w:r w:rsidRPr="00AA0D15">
        <w:t xml:space="preserve">. This issue brief captures the current status of </w:t>
      </w:r>
      <w:r w:rsidRPr="00AA0D15">
        <w:rPr>
          <w:rStyle w:val="StyleUnderline"/>
        </w:rPr>
        <w:t>states’ ability to link data across agencies</w:t>
      </w:r>
      <w:r w:rsidRPr="00AA0D15">
        <w:t xml:space="preserve">, the opportunities and challenges they face, and how </w:t>
      </w:r>
      <w:r w:rsidRPr="00AA0D15">
        <w:rPr>
          <w:rStyle w:val="StyleUnderline"/>
        </w:rPr>
        <w:t>leading states are breaking down silos to ensure data follow individual students over time to improve success</w:t>
      </w:r>
      <w:r w:rsidRPr="00AA0D15">
        <w:t xml:space="preserve">. It also describes processes states can use in developing and implementing their cross-agency data sharing efforts. This brief is co-authored by the Data Quality Campaign (DQC) and the Forum for Youth Investment, whose research on interagency collaborations, including children’s cabinets, was leveraged to illustrate how </w:t>
      </w:r>
      <w:r w:rsidRPr="00AA0D15">
        <w:rPr>
          <w:rStyle w:val="StyleUnderline"/>
        </w:rPr>
        <w:t>agencies can work together to implement a single vision for data sharing, especially between education and social services</w:t>
      </w:r>
      <w:r w:rsidRPr="00AA0D15">
        <w:t xml:space="preserve">. </w:t>
      </w:r>
    </w:p>
    <w:p w:rsidR="00C47278" w:rsidRPr="00AA0D15" w:rsidRDefault="00C47278" w:rsidP="00C47278">
      <w:pPr>
        <w:pStyle w:val="Heading3"/>
        <w:rPr>
          <w:rFonts w:cs="Times New Roman"/>
        </w:rPr>
      </w:pPr>
      <w:r w:rsidRPr="00AA0D15">
        <w:rPr>
          <w:rFonts w:cs="Times New Roman"/>
        </w:rPr>
        <w:t>AT block grants deficit</w:t>
      </w:r>
    </w:p>
    <w:p w:rsidR="00C47278" w:rsidRPr="00AA0D15" w:rsidRDefault="00C47278" w:rsidP="00C47278">
      <w:pPr>
        <w:pStyle w:val="Heading4"/>
        <w:rPr>
          <w:rFonts w:cs="Times New Roman"/>
        </w:rPr>
      </w:pPr>
      <w:r w:rsidRPr="00AA0D15">
        <w:rPr>
          <w:rFonts w:cs="Times New Roman"/>
        </w:rPr>
        <w:t>States control where block grants go</w:t>
      </w:r>
      <w:r w:rsidRPr="00AA0D15">
        <w:rPr>
          <w:rFonts w:cs="Times New Roman"/>
        </w:rPr>
        <w:tab/>
      </w:r>
    </w:p>
    <w:p w:rsidR="00C47278" w:rsidRPr="00AA0D15" w:rsidRDefault="00C47278" w:rsidP="00C47278">
      <w:pPr>
        <w:rPr>
          <w:rStyle w:val="Style13ptBold"/>
        </w:rPr>
      </w:pPr>
      <w:r w:rsidRPr="00AA0D15">
        <w:rPr>
          <w:rStyle w:val="Style13ptBold"/>
        </w:rPr>
        <w:t xml:space="preserve">Finegold et. al. 4 </w:t>
      </w:r>
      <w:r w:rsidRPr="00AA0D15">
        <w:t>(Kenneth Finegold, Laura Wherry, and Stephanie Schardin. Finegold is a senior research associate with the Urban Institute’s Assessing the New Federalism project, Wherry, PhD is an assistant professor of medicine at UCLA. Schardin, research assistant with the Urban Institute’s Assessing the New Federalism project.  The Urban Institute, “Block Grants: Historical Overview and Lessons Learned”, Series A, No. A-63, April 2004) GG</w:t>
      </w:r>
    </w:p>
    <w:p w:rsidR="00C47278" w:rsidRPr="00AA0D15" w:rsidRDefault="00C47278" w:rsidP="00C47278">
      <w:r w:rsidRPr="00AA0D15">
        <w:rPr>
          <w:rStyle w:val="StyleUnderline"/>
        </w:rPr>
        <w:t>Block grants are fixed-sum federal grants to state and local governments that give them broad flexibility to design and implement designated programs</w:t>
      </w:r>
      <w:r w:rsidRPr="00AA0D15">
        <w:t xml:space="preserve">. </w:t>
      </w:r>
      <w:r w:rsidRPr="00AA0D15">
        <w:rPr>
          <w:rStyle w:val="StyleUnderline"/>
        </w:rPr>
        <w:t>Federal oversight</w:t>
      </w:r>
      <w:r w:rsidRPr="00AA0D15">
        <w:t xml:space="preserve"> and requirements </w:t>
      </w:r>
      <w:r w:rsidRPr="00AA0D15">
        <w:rPr>
          <w:rStyle w:val="StyleUnderline"/>
        </w:rPr>
        <w:t>are light, and funds are allocated among recipient governments by formula.</w:t>
      </w:r>
      <w:r w:rsidRPr="00AA0D15">
        <w:t xml:space="preserve"> Most federal aid is currently distributed to state and local governments as categorical grants, which may also be allocated by formula but can only be used for rather narrowly defined purposes. Block grants have been part of the American federal system since 1966, but their role in federal assistance to state and local governments would expand greatly if current proposals were enacted. These proposals, summarized in table 1, would have particularly dramatic effects on programs in health, where an optional block grant would replace both Medicaid and the State Children’s Health Insurance Program (SCHIP), and income security, where new block grants would replace Section 8 housing vouchers, restructure child welfare funding, and allow states to test an alternative to Food Stamps.1 Other </w:t>
      </w:r>
      <w:r w:rsidRPr="00AA0D15">
        <w:rPr>
          <w:rStyle w:val="StyleUnderline"/>
        </w:rPr>
        <w:t>block grant proposals address preschool education, job training, transportation, and justice.</w:t>
      </w:r>
      <w:r w:rsidRPr="00AA0D15">
        <w:t xml:space="preserve"> In addition, the administration’s proposal for reauthorizing the Temporary Assistance for Needy Families (TANF) program—already approved by the House—includes a “superwaiver” provision that could effectively transform certain programs into block grants upon application by a state and approval by the secretary of the administering department (Waller 2003; Greenstein, Fremstad, and Parrott 2002</w:t>
      </w:r>
      <w:r w:rsidRPr="00AA0D15">
        <w:rPr>
          <w:rStyle w:val="StyleUnderline"/>
        </w:rPr>
        <w:t>). Proponents of block grants typically argue that programs will be more effective and better suited to each state’s needs when decisionmaking shifts to the states</w:t>
      </w:r>
      <w:r w:rsidRPr="00AA0D15">
        <w:t xml:space="preserve">.2 Opponents usually respond that state flexibility will be misused, and that the block grant mechanism will provide an indirect means of reducing funding for key social programs. Rather than rely solely on conjecture to evaluate these claims, researchers can draw on nearly 40 years of experience with current and former block grants in a wide range of policy areas. </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AT federalism bad DA – no modeling</w:t>
      </w:r>
    </w:p>
    <w:p w:rsidR="00C47278" w:rsidRPr="00AA0D15" w:rsidRDefault="00C47278" w:rsidP="00C47278">
      <w:pPr>
        <w:pStyle w:val="Heading4"/>
        <w:rPr>
          <w:rFonts w:cs="Times New Roman"/>
        </w:rPr>
      </w:pPr>
      <w:r w:rsidRPr="00AA0D15">
        <w:rPr>
          <w:rFonts w:cs="Times New Roman"/>
        </w:rPr>
        <w:t>Other countries won’t imitate federalism even if it works</w:t>
      </w:r>
    </w:p>
    <w:p w:rsidR="00C47278" w:rsidRPr="00AA0D15" w:rsidRDefault="00C47278" w:rsidP="00C47278">
      <w:r w:rsidRPr="00AA0D15">
        <w:rPr>
          <w:rStyle w:val="Style13ptBold"/>
        </w:rPr>
        <w:t>Hoven 12</w:t>
      </w:r>
      <w:r w:rsidRPr="00AA0D15">
        <w:t xml:space="preserve"> (Randall, Contributor at the American Thinker. “Why Doesn't the World Imitate the U.S.?”, </w:t>
      </w:r>
      <w:r w:rsidRPr="00AA0D15">
        <w:rPr>
          <w:i/>
        </w:rPr>
        <w:t>American Thinker</w:t>
      </w:r>
      <w:r w:rsidRPr="00AA0D15">
        <w:t xml:space="preserve">, October 30, 2012. </w:t>
      </w:r>
      <w:hyperlink r:id="rId32" w:history="1">
        <w:r w:rsidRPr="00AA0D15">
          <w:rPr>
            <w:rStyle w:val="Hyperlink"/>
          </w:rPr>
          <w:t>http://www.americanthinker.com/articles/2012/10/why_doesnt_the_world_imitate_the_us.html</w:t>
        </w:r>
      </w:hyperlink>
      <w:r w:rsidRPr="00AA0D15">
        <w:t xml:space="preserve"> )//tbrooks</w:t>
      </w:r>
    </w:p>
    <w:p w:rsidR="00C47278" w:rsidRDefault="00C47278" w:rsidP="00C47278">
      <w:r w:rsidRPr="007C2097">
        <w:t xml:space="preserve">Again, </w:t>
      </w:r>
      <w:r w:rsidRPr="007C2097">
        <w:rPr>
          <w:sz w:val="22"/>
          <w:u w:val="single"/>
        </w:rPr>
        <w:t>why isn't everyone trying to imitate the U.S</w:t>
      </w:r>
      <w:r w:rsidRPr="007C2097">
        <w:t xml:space="preserve">., instead of the U.S. electing politicians who seem ever more determined to imitate Europe? One reason is what I pointed out in a </w:t>
      </w:r>
      <w:hyperlink r:id="rId33" w:history="1">
        <w:r w:rsidRPr="007C2097">
          <w:rPr>
            <w:rStyle w:val="Hyperlink"/>
          </w:rPr>
          <w:t>previous article</w:t>
        </w:r>
      </w:hyperlink>
      <w:r w:rsidRPr="007C2097">
        <w:t xml:space="preserve">. </w:t>
      </w:r>
      <w:r w:rsidRPr="007C2097">
        <w:rPr>
          <w:sz w:val="22"/>
          <w:u w:val="single"/>
        </w:rPr>
        <w:t>Due to the distribution of wealth, the bottom 40%-50% of the people in many European countries are better off in their countries than the U.S.,</w:t>
      </w:r>
      <w:r w:rsidRPr="007C2097">
        <w:t xml:space="preserve"> even though the U.S. is, on average, one third richer. That same concept could explain why a near-majority in the U.S. would support less overall wealth if that wealth were spread more evenly. When I wrote about that earlier, I said there was "a fly in that ointment." The fly is this: </w:t>
      </w:r>
      <w:r w:rsidRPr="007C2097">
        <w:rPr>
          <w:sz w:val="22"/>
          <w:u w:val="single"/>
        </w:rPr>
        <w:t xml:space="preserve">Europe and much of the rest of the world are freeloading off the U.S., which is generating the real wealth largely because of its inequality. </w:t>
      </w:r>
      <w:r w:rsidRPr="007C2097">
        <w:t xml:space="preserve">That is actually a pretty bold statement, so I will cite an authority: an </w:t>
      </w:r>
      <w:hyperlink r:id="rId34" w:history="1">
        <w:r w:rsidRPr="007C2097">
          <w:rPr>
            <w:rStyle w:val="Hyperlink"/>
          </w:rPr>
          <w:t>MIT Department of Economics</w:t>
        </w:r>
      </w:hyperlink>
      <w:r w:rsidRPr="007C2097">
        <w:t xml:space="preserve"> paper by Daron Acemoglu of MIT, James A. Robinson of Harvard, and Thierry Verdier of the Paris School of Economics. We show that, under plausible assumptions, </w:t>
      </w:r>
      <w:r w:rsidRPr="007C2097">
        <w:rPr>
          <w:sz w:val="22"/>
          <w:u w:val="single"/>
        </w:rPr>
        <w:t>the world equilibrium is asymmetric: some countries will opt for a type of 'cutthroat' capitalism that generates greater inequality and more innovation and will become the technology leaders, while others will free-ride on the</w:t>
      </w:r>
      <w:r w:rsidRPr="007C2097">
        <w:t xml:space="preserve"> cutthroat </w:t>
      </w:r>
      <w:r w:rsidRPr="007C2097">
        <w:rPr>
          <w:sz w:val="22"/>
          <w:u w:val="single"/>
        </w:rPr>
        <w:t>incentives of the leaders and choose a more cuddly form of capitalism.</w:t>
      </w:r>
      <w:r w:rsidRPr="007C2097">
        <w:t xml:space="preserve"> Paradoxically, those with cuddly reward structures, though poorer, may have higher welfare than cutthroat capitalists; but in the world equilibrium, it is not a best response for the cutthroat capitalists to switch to a more cuddly form of capitalism. [My emphasis.] Why would this be so? Why is inequality "good"? A greater gap of incomes between successful and unsuccessful entrepreneurs (thus greater inequality) increases entrepreneurial effort and hence a country's contribution to the world technology frontier. We all know that the U.S. has been defending Europe and the "free world" since World War II. But the U.S. spends just 4.06% of its GDP on defense, according to the </w:t>
      </w:r>
      <w:hyperlink r:id="rId35" w:anchor="us" w:history="1">
        <w:r w:rsidRPr="007C2097">
          <w:rPr>
            <w:rStyle w:val="Hyperlink"/>
          </w:rPr>
          <w:t>CIA World Factbook</w:t>
        </w:r>
      </w:hyperlink>
      <w:r w:rsidRPr="007C2097">
        <w:t xml:space="preserve">. France spends 2.6%, and the U.K. spends 2.7%. That 1.5%-of-GDP gap is not significant in explaining the differences in wealth. Take Canada, which spends only 1.1% of its GDP on defense and is one of the wealthier large countries. It is 83.9% as wealthy as the U.S. If you net out what we both spend on defense, it is still only 86.5% as wealthy as the U.S. Defense spending does not explain the large differences in wealth between the U.S. and most of the world. So, yes, </w:t>
      </w:r>
      <w:r w:rsidRPr="007C2097">
        <w:rPr>
          <w:sz w:val="22"/>
          <w:u w:val="single"/>
        </w:rPr>
        <w:t>the free world freeloads off us for defense</w:t>
      </w:r>
      <w:r w:rsidRPr="007C2097">
        <w:t>. But that's a minor part of its total freeloading portfolio. We often hear things like "Americans constitute 5% of the world's population but consume 24% of the w</w:t>
      </w:r>
      <w:hyperlink r:id="rId36" w:history="1">
        <w:r w:rsidRPr="007C2097">
          <w:rPr>
            <w:rStyle w:val="Hyperlink"/>
          </w:rPr>
          <w:t>orld's energy</w:t>
        </w:r>
      </w:hyperlink>
      <w:r w:rsidRPr="007C2097">
        <w:t xml:space="preserve">." What you don't hear as often is how much we produce. From 1982 to 2007, more than half (51% to 60%) of all </w:t>
      </w:r>
      <w:hyperlink r:id="rId37" w:history="1">
        <w:r w:rsidRPr="007C2097">
          <w:rPr>
            <w:rStyle w:val="Hyperlink"/>
          </w:rPr>
          <w:t>U.S. patents</w:t>
        </w:r>
      </w:hyperlink>
      <w:r w:rsidRPr="007C2097">
        <w:t xml:space="preserve"> were of U.S. origin. Europe is quick to brag about its health care system compared to the U.S. Europe simply buys the drugs that we in the U.S. paid to develop. According to </w:t>
      </w:r>
      <w:hyperlink r:id="rId38" w:history="1">
        <w:r w:rsidRPr="007C2097">
          <w:rPr>
            <w:rStyle w:val="Hyperlink"/>
          </w:rPr>
          <w:t>Health Affairs</w:t>
        </w:r>
      </w:hyperlink>
      <w:r w:rsidRPr="007C2097">
        <w:t xml:space="preserve">: Country-level analyses for 1993-2003 indicate that U.S. firms overtook their European counterparts in innovative performance or the introduction of first-in-class, biotech, and orphan products. The United States also became the leading market for first launch... It is striking that the United States accounted for 68 percent of first-in-class launches, 45 percent of biotech launches, and 69 percent of orphan launches after 1993. There was a real "Green Revolution," but it wasn't "green" energy; it was things that are truly green -- things that grow and that we can eat. The Green Revolution, born in the U.S., is credited with saving a billion people from starvation. The U.S. grows enough to feed itself and still export another 10% to 30% for the rest of the world. Only about 2% of us use about 2% of the land to feed 120% of us. </w:t>
      </w:r>
      <w:r w:rsidRPr="007C2097">
        <w:rPr>
          <w:sz w:val="22"/>
          <w:u w:val="single"/>
        </w:rPr>
        <w:t>With the U.S. defending it, Europe is free to foster its "cuddly capitalism."</w:t>
      </w:r>
      <w:r w:rsidRPr="007C2097">
        <w:t xml:space="preserve"> After the U.S. innovates something, Europe can copy it. It copies our agriculture, our drugs, our health care, our aerospace, almost everything. In return, we got the Beatles, Abba, and IKEA. Oh, and World Wars I and II.</w:t>
      </w:r>
    </w:p>
    <w:p w:rsidR="007C2097" w:rsidRPr="000E085F" w:rsidRDefault="007C2097" w:rsidP="007C2097">
      <w:pPr>
        <w:pStyle w:val="Heading4"/>
        <w:rPr>
          <w:rFonts w:cs="Times New Roman"/>
        </w:rPr>
      </w:pPr>
      <w:r w:rsidRPr="000E085F">
        <w:rPr>
          <w:rFonts w:cs="Times New Roman"/>
        </w:rPr>
        <w:t xml:space="preserve">Democratic peace theory is a farce---history proves---there were multiple major wars between democracies--DPT supporters </w:t>
      </w:r>
      <w:r w:rsidRPr="000E085F">
        <w:rPr>
          <w:rFonts w:cs="Times New Roman"/>
          <w:u w:val="single"/>
        </w:rPr>
        <w:t>severely restrict</w:t>
      </w:r>
      <w:r w:rsidRPr="000E085F">
        <w:rPr>
          <w:rFonts w:cs="Times New Roman"/>
          <w:i/>
        </w:rPr>
        <w:t xml:space="preserve"> </w:t>
      </w:r>
      <w:r w:rsidRPr="000E085F">
        <w:rPr>
          <w:rFonts w:cs="Times New Roman"/>
        </w:rPr>
        <w:t>their definition of democracies to support the theory</w:t>
      </w:r>
    </w:p>
    <w:p w:rsidR="007C2097" w:rsidRPr="000E085F" w:rsidRDefault="007C2097" w:rsidP="007C2097">
      <w:r w:rsidRPr="000E085F">
        <w:rPr>
          <w:rStyle w:val="Style13ptBold"/>
        </w:rPr>
        <w:t>Rosato 11</w:t>
      </w:r>
      <w:r w:rsidRPr="000E085F">
        <w:t xml:space="preserve"> - Assistant Professor of Political Science at the University of Notre Dame</w:t>
      </w:r>
    </w:p>
    <w:p w:rsidR="007C2097" w:rsidRPr="000E085F" w:rsidRDefault="007C2097" w:rsidP="007C2097">
      <w:r w:rsidRPr="000E085F">
        <w:t xml:space="preserve">(Sebastian, PhD, Department of Political Science, The University of Chicago, “The Handbook on the Political Economy of War” By Christopher J. Coyne, Rachel L. Mathers, Chapter 15, </w:t>
      </w:r>
      <w:r w:rsidRPr="000E085F">
        <w:rPr>
          <w:u w:val="single"/>
        </w:rPr>
        <w:t>On the democratic peace</w:t>
      </w:r>
      <w:r w:rsidRPr="000E085F">
        <w:t>, p. 287-290)</w:t>
      </w:r>
    </w:p>
    <w:p w:rsidR="007C2097" w:rsidRPr="007C2097" w:rsidRDefault="007C2097" w:rsidP="00C47278">
      <w:pPr>
        <w:rPr>
          <w:sz w:val="22"/>
          <w:u w:val="single"/>
        </w:rPr>
      </w:pPr>
      <w:r w:rsidRPr="000E085F">
        <w:t xml:space="preserve">Democratic wars </w:t>
      </w:r>
      <w:r w:rsidRPr="000E085F">
        <w:rPr>
          <w:rStyle w:val="StyleUnderline"/>
        </w:rPr>
        <w:t>There is considerable evidence that the absence of war claim is incorrect</w:t>
      </w:r>
      <w:r w:rsidRPr="000E085F">
        <w:t xml:space="preserve">. As Christopher Layne (2001, p. 801) notes, 'The most damning indictment of democratic peace theory, is that it happens not to be true: </w:t>
      </w:r>
      <w:r w:rsidRPr="000E085F">
        <w:rPr>
          <w:rStyle w:val="StyleUnderline"/>
          <w:highlight w:val="yellow"/>
        </w:rPr>
        <w:t>democratic states have gone to war with one another</w:t>
      </w:r>
      <w:r w:rsidRPr="000E085F">
        <w:t xml:space="preserve">." For example, categorizing a state as democratic if it achieves a democracy score of six or more in </w:t>
      </w:r>
      <w:r w:rsidRPr="000E085F">
        <w:rPr>
          <w:rStyle w:val="StyleUnderline"/>
        </w:rPr>
        <w:t>the Polity dataset</w:t>
      </w:r>
      <w:r w:rsidRPr="000E085F">
        <w:t xml:space="preserve"> on regime type - as several analysts do - </w:t>
      </w:r>
      <w:r w:rsidRPr="000E085F">
        <w:rPr>
          <w:rStyle w:val="StyleUnderline"/>
        </w:rPr>
        <w:t xml:space="preserve">yields three inter-democratic wars: </w:t>
      </w:r>
      <w:r w:rsidRPr="000E085F">
        <w:rPr>
          <w:rStyle w:val="StyleUnderline"/>
          <w:highlight w:val="yellow"/>
        </w:rPr>
        <w:t>the American Civil War, the Spanish American War and the Boer War</w:t>
      </w:r>
      <w:r w:rsidRPr="000E085F">
        <w:t xml:space="preserve">. This is something defenders of the theory readily admit - adopting relatively inclusive definitions of democracy, </w:t>
      </w:r>
      <w:r w:rsidRPr="000E085F">
        <w:rPr>
          <w:rStyle w:val="StyleUnderline"/>
        </w:rPr>
        <w:t>they themselves generate anywhere between a dozen and three dozen cases of inter-democratic war</w:t>
      </w:r>
      <w:r w:rsidRPr="000E085F">
        <w:t xml:space="preserve">. In order </w:t>
      </w:r>
      <w:r w:rsidRPr="000E085F">
        <w:rPr>
          <w:rStyle w:val="StyleUnderline"/>
        </w:rPr>
        <w:t>to exclude these anomalies</w:t>
      </w:r>
      <w:r w:rsidRPr="000E085F">
        <w:t xml:space="preserve"> and thereby preserve the absence of war claim, </w:t>
      </w:r>
      <w:r w:rsidRPr="000E085F">
        <w:rPr>
          <w:rStyle w:val="StyleUnderline"/>
        </w:rPr>
        <w:t>the</w:t>
      </w:r>
      <w:r w:rsidRPr="000E085F">
        <w:t xml:space="preserve"> theory's </w:t>
      </w:r>
      <w:r w:rsidRPr="000E085F">
        <w:rPr>
          <w:rStyle w:val="StyleUnderline"/>
        </w:rPr>
        <w:t xml:space="preserve">defenders restrict their definitions of democracy. </w:t>
      </w:r>
      <w:r w:rsidRPr="000E085F">
        <w:t xml:space="preserve">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vole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no war claim rests on defining democracy as a stale wilh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(Russett 1993, pp. 14-16). </w:t>
      </w:r>
      <w:r w:rsidRPr="000E085F">
        <w:rPr>
          <w:rStyle w:val="StyleUnderline"/>
        </w:rPr>
        <w:t xml:space="preserve">Despite imposing these definitional restrictions, </w:t>
      </w:r>
      <w:r w:rsidRPr="000E085F">
        <w:rPr>
          <w:rStyle w:val="StyleUnderline"/>
          <w:highlight w:val="yellow"/>
        </w:rPr>
        <w:t xml:space="preserve">proponents of the democratic peace cannot exclude up to </w:t>
      </w:r>
      <w:r w:rsidRPr="000E085F">
        <w:rPr>
          <w:rStyle w:val="Emphasis"/>
          <w:highlight w:val="yellow"/>
        </w:rPr>
        <w:t>five major wars</w:t>
      </w:r>
      <w:r w:rsidRPr="000E085F">
        <w:rPr>
          <w:highlight w:val="yellow"/>
        </w:rPr>
        <w:t xml:space="preserve">, </w:t>
      </w:r>
      <w:r w:rsidRPr="000E085F">
        <w:rPr>
          <w:rStyle w:val="StyleUnderline"/>
          <w:highlight w:val="yellow"/>
        </w:rPr>
        <w:t>a figure which</w:t>
      </w:r>
      <w:r w:rsidRPr="000E085F">
        <w:t xml:space="preserve">, if confirmed, </w:t>
      </w:r>
      <w:r w:rsidRPr="000E085F">
        <w:rPr>
          <w:rStyle w:val="StyleUnderline"/>
          <w:highlight w:val="yellow"/>
        </w:rPr>
        <w:t xml:space="preserve">would </w:t>
      </w:r>
      <w:r w:rsidRPr="000E085F">
        <w:rPr>
          <w:rStyle w:val="Emphasis"/>
          <w:highlight w:val="yellow"/>
        </w:rPr>
        <w:t>invalidate the democratic peace</w:t>
      </w:r>
      <w:r w:rsidRPr="000E085F">
        <w:rPr>
          <w:rStyle w:val="Emphasis"/>
        </w:rPr>
        <w:t xml:space="preserve"> </w:t>
      </w:r>
      <w:r w:rsidRPr="000E085F">
        <w:rPr>
          <w:rStyle w:val="StyleUnderline"/>
        </w:rPr>
        <w:t>by their own admission</w:t>
      </w:r>
      <w:r w:rsidRPr="000E085F">
        <w:t xml:space="preserve"> (Ray 1995, p. 27). The first is the War of 1812 between Britain and the United States. Ray argues that it does not contradict the claim because Britain does not meet bis suffrage requirement. Yet this does not make Britain any less democratic than the United States at the time where less than half the adult population was eligible to vote. In fact, as Laync (2001, p. 801) notes, "the United States was not appreciably more democratic than un re formed Britain." This poses a problem for the democratic peace; </w:t>
      </w:r>
      <w:r w:rsidRPr="000E085F">
        <w:rPr>
          <w:rStyle w:val="StyleUnderline"/>
        </w:rPr>
        <w:t>if the United States was a democracy</w:t>
      </w:r>
      <w:r w:rsidRPr="000E085F">
        <w:t>, and Ray believes it was</w:t>
      </w:r>
      <w:r w:rsidRPr="000E085F">
        <w:rPr>
          <w:rStyle w:val="StyleUnderline"/>
        </w:rPr>
        <w:t xml:space="preserve">, then Britain was also a democracy and the </w:t>
      </w:r>
      <w:r w:rsidRPr="000E085F">
        <w:rPr>
          <w:rStyle w:val="StyleUnderline"/>
          <w:highlight w:val="yellow"/>
        </w:rPr>
        <w:t>War of 1812 was an inter-democratic wa</w:t>
      </w:r>
      <w:r w:rsidRPr="000E085F">
        <w:rPr>
          <w:rStyle w:val="StyleUnderline"/>
        </w:rPr>
        <w:t xml:space="preserve">r. </w:t>
      </w:r>
      <w:r w:rsidRPr="000E085F">
        <w:t xml:space="preserve">The second case is the American Civil War. Democratic peace theorists believe the United States was a democracy in 1861, but exclude the case on the grounds that it was a civil rather than interstate war (Russett 1993, pp. 16-17). However, a plausible argument can be made that </w:t>
      </w:r>
      <w:r w:rsidRPr="000E085F">
        <w:rPr>
          <w:rStyle w:val="StyleUnderline"/>
        </w:rPr>
        <w:t>the United Stales was not a state but a union of states, and that this was therefore a war between states rather than within one</w:t>
      </w:r>
      <w:r w:rsidRPr="000E085F">
        <w:t>. Note, for example, that the term "United States" was plural rather than singular at the time and the conflict was known as the "War Between the States."7 This being the case, the Civil War also contradicts the claim.8 The Spanish-American and Boer wars constitute two further exceptions to the rule.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w:t>
      </w:r>
      <w:r w:rsidRPr="000E085F">
        <w:rPr>
          <w:rStyle w:val="StyleUnderline"/>
        </w:rPr>
        <w:t xml:space="preserve"> defenders of the democratic peace can only rescue their core claim through the selective application of highly restrictive criteria</w:t>
      </w:r>
      <w:r w:rsidRPr="000E085F">
        <w:t xml:space="preserve">. Perhaps </w:t>
      </w:r>
      <w:r w:rsidRPr="000E085F">
        <w:rPr>
          <w:rStyle w:val="StyleUnderline"/>
        </w:rPr>
        <w:t>the most important exception is World War I,</w:t>
      </w:r>
      <w:r w:rsidRPr="000E085F">
        <w:t xml:space="preserve"> which, by virtue of the fact that </w:t>
      </w:r>
      <w:r w:rsidRPr="000E085F">
        <w:rPr>
          <w:rStyle w:val="StyleUnderline"/>
        </w:rPr>
        <w:t>Germany fought against Britain, France, Italy, Belgium and the United States</w:t>
      </w:r>
      <w:r w:rsidRPr="000E085F">
        <w:t xml:space="preserve">, would count as five instances of war between liberal states in most analyses of the democratic peace.9 As Ido Oren (1995, pp. 178-9) has shown. Germany was widely considered lo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w:t>
      </w:r>
      <w:r w:rsidRPr="000E085F">
        <w:rPr>
          <w:rStyle w:val="StyleUnderline"/>
        </w:rPr>
        <w:t>Doyle*s assertion that the case ought to be excluded because Germany was liberal domestically, but not in foreign affairs, does not stand up to scrutiny.</w:t>
      </w:r>
      <w:r w:rsidRPr="000E085F">
        <w:t xml:space="preserve"> As Layne (1994, p. 42) points out. foreign policy was "insulated from parliamentary control" in both France and Britain, two purportedly liberal states (see also Mcarshcimcr 1990, p. 51, fn. 77; Layne 2001, pp. 803 807). Thus </w:t>
      </w:r>
      <w:r w:rsidRPr="000E085F">
        <w:rPr>
          <w:rStyle w:val="StyleUnderline"/>
        </w:rPr>
        <w:t>it is difficult to classify Germany as non-liberal and World War I constitutes an imporiant exception to Ihe finding</w:t>
      </w:r>
      <w:r w:rsidRPr="000E085F">
        <w:t xml:space="preserve">. Small numbers Even if restrictive definitions of democracy enable democratic peace theorists to uphold their claim, they render it unsurprising by reducing the number of democracies in any analysis. As several scholars have noted, </w:t>
      </w:r>
      <w:r w:rsidRPr="000E085F">
        <w:rPr>
          <w:rStyle w:val="StyleUnderline"/>
        </w:rPr>
        <w:t>there were only a dozen or so democracies in the world prior to World War I, and even fewer in a position to fight one another. Therefore, since war is a rare event for any pair of states, the fact that democracies did not fight one another should occasion little surprise</w:t>
      </w:r>
      <w:r w:rsidRPr="000E085F">
        <w:t xml:space="preserve"> (Mearsheimer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Using a Polity score of six or more to designate a state as a democracy yields 716 purely democratic dyads out of a total 23240 politically relevant dyads between 1816 and 1913. Assuming that wars arc distributed according to the proportion of democratic dyads in the population and knowing that there were 86 dyads at war during this period, we should expect to observe three democratic-democratic wars between the Congress of Vienna and World War I. If we actually observed no wars between democracies, the democratic peace phenomenon might be worth investigating further even though the difference between three and zero wars is barely statistically significant." Increasing the score required for a state to be coded as a democracy to eight - a score that would make Britain democratic from 1901 onwards only and eliminate states like Spain and the Orange Free State from the ranks of the democracies - makes a dramatic difference. The number of democratic dyads falls to 171. and the expected number of wars is now between zero and one. Now the absence of war finding is to be expected. In short, </w:t>
      </w:r>
      <w:r w:rsidRPr="000E085F">
        <w:rPr>
          <w:rStyle w:val="StyleUnderline"/>
        </w:rPr>
        <w:t>by adopting restrictive definitions of democracy, proponents of the democratic peace render their central claim wholly unexceptional</w:t>
      </w:r>
      <w:r w:rsidRPr="000E085F">
        <w:t xml:space="preserve">. In sum, </w:t>
      </w:r>
      <w:r w:rsidRPr="000E085F">
        <w:rPr>
          <w:rStyle w:val="StyleUnderline"/>
          <w:highlight w:val="yellow"/>
        </w:rPr>
        <w:t>proponents of the democratic peace</w:t>
      </w:r>
      <w:r w:rsidRPr="000E085F">
        <w:rPr>
          <w:rStyle w:val="StyleUnderline"/>
        </w:rPr>
        <w:t xml:space="preserve"> have unsuccessfully attempted to tread a fine line in order to substantiate their claim that democracies have rarely if ever waged war against one another</w:t>
      </w:r>
      <w:r w:rsidRPr="000E085F">
        <w:t xml:space="preserve">. On the one hand, </w:t>
      </w:r>
      <w:r w:rsidRPr="000E085F">
        <w:rPr>
          <w:rStyle w:val="StyleUnderline"/>
        </w:rPr>
        <w:t xml:space="preserve">they </w:t>
      </w:r>
      <w:r w:rsidRPr="000E085F">
        <w:rPr>
          <w:rStyle w:val="StyleUnderline"/>
          <w:highlight w:val="yellow"/>
        </w:rPr>
        <w:t>admit that inter-democratic war is not an unusual phenomenon if they adopt relatively inclusive definitions of democracy</w:t>
      </w:r>
      <w:r w:rsidRPr="000E085F">
        <w:t xml:space="preserve">. On the other hand, </w:t>
      </w:r>
      <w:r w:rsidRPr="000E085F">
        <w:rPr>
          <w:rStyle w:val="StyleUnderline"/>
        </w:rPr>
        <w:t>in their attempts to restrict the definition of democracy and thereby save the finding they inadvertently make the absence of war between democracies trivial.</w:t>
      </w:r>
    </w:p>
    <w:p w:rsidR="00B04324" w:rsidRPr="00AA0D15" w:rsidRDefault="00B04324" w:rsidP="00B04324">
      <w:pPr>
        <w:pStyle w:val="Heading3"/>
        <w:rPr>
          <w:rFonts w:cs="Times New Roman"/>
        </w:rPr>
      </w:pPr>
      <w:bookmarkStart w:id="0" w:name="_Hlk486596735"/>
      <w:r w:rsidRPr="00AA0D15">
        <w:rPr>
          <w:rFonts w:cs="Times New Roman"/>
        </w:rPr>
        <w:t>AT health care tradeoff DA</w:t>
      </w:r>
    </w:p>
    <w:bookmarkEnd w:id="0"/>
    <w:p w:rsidR="00B04324" w:rsidRPr="00AA0D15" w:rsidRDefault="00B04324" w:rsidP="00B04324">
      <w:pPr>
        <w:pStyle w:val="Heading4"/>
        <w:rPr>
          <w:rFonts w:cs="Times New Roman"/>
        </w:rPr>
      </w:pPr>
      <w:r w:rsidRPr="00AA0D15">
        <w:rPr>
          <w:rFonts w:cs="Times New Roman"/>
        </w:rPr>
        <w:t>No crowding out – only competes with higher education and states give it more discretion to other issues</w:t>
      </w:r>
    </w:p>
    <w:p w:rsidR="00B04324" w:rsidRPr="00AA0D15" w:rsidRDefault="00B04324" w:rsidP="00B04324">
      <w:r w:rsidRPr="00AA0D15">
        <w:rPr>
          <w:rStyle w:val="Style13ptBold"/>
        </w:rPr>
        <w:t xml:space="preserve">Rizzo 4 </w:t>
      </w:r>
      <w:r w:rsidRPr="00AA0D15">
        <w:t>(Michael John Rizzo, Ph. D. Cornell University, August 2004, “A (LESS THAN) ZERO SUM GAME? STATE FUNDING FOR PUBLIC EDUCATION: HOW PUBLIC HIGHER EDUCATION INSTITUTIONS HAVE LOST”, http://digitalcommons.ilr.cornell.edu/cgi/viewcontent.cgi?article=1007&amp;context=student) GG</w:t>
      </w:r>
    </w:p>
    <w:p w:rsidR="00B04324" w:rsidRPr="00B04324" w:rsidRDefault="00B04324" w:rsidP="00B04324">
      <w:pPr>
        <w:rPr>
          <w:sz w:val="22"/>
          <w:u w:val="single"/>
        </w:rPr>
      </w:pPr>
      <w:r w:rsidRPr="00AA0D15">
        <w:t xml:space="preserve">This dissertation studies the long-term decline in state preferences for education spending in the United States. It constructs an expansive state-level panel data set spanning the fiscal years 1976-77 through 2000-2001 to examine how three budget share measures have changed within states over time and across states at a point in time. </w:t>
      </w:r>
      <w:r w:rsidRPr="00AA0D15">
        <w:rPr>
          <w:rStyle w:val="StyleUnderline"/>
        </w:rPr>
        <w:t>The share of state discretionary expenditures allocated to public education has fallen by four percentage points since 1977, while the share of public education expenditures allocated to public higher education has fallen by six points</w:t>
      </w:r>
      <w:r w:rsidRPr="00AA0D15">
        <w:t xml:space="preserve">. In addition, the share of public higher education dollars appropriated to institutions (as opposed to directly to students) has fallen by four percentage points. Together the declines translate into real institutional appropriation losses of $2,800 per student in an “average” state – significantly more than the $1,700 increase in real average public four-year instate tuition rates since 1977. </w:t>
      </w:r>
      <w:r w:rsidRPr="00AA0D15">
        <w:rPr>
          <w:rStyle w:val="StyleUnderline"/>
        </w:rPr>
        <w:t xml:space="preserve">Among the main findings are that </w:t>
      </w:r>
      <w:r w:rsidRPr="00AA0D15">
        <w:rPr>
          <w:rStyle w:val="Emphasis"/>
        </w:rPr>
        <w:t>competing budget items do not appear to “crowd out” education’s budget share</w:t>
      </w:r>
      <w:r w:rsidRPr="00AA0D15">
        <w:t xml:space="preserve">. </w:t>
      </w:r>
      <w:r w:rsidRPr="00AA0D15">
        <w:rPr>
          <w:rStyle w:val="StyleUnderline"/>
        </w:rPr>
        <w:t>Court mandated K12 funding equalization has resulted in substantial increases in education spending within states, with over a quarter of the increase coming at the expense of public higher education</w:t>
      </w:r>
      <w:r w:rsidRPr="00AA0D15">
        <w:t>. Attempts by public institutions to increase tuition or raise private funds are seen to trigger a cycle of future budge</w:t>
      </w:r>
      <w:bookmarkStart w:id="1" w:name="_GoBack"/>
      <w:bookmarkEnd w:id="1"/>
      <w:r w:rsidRPr="00AA0D15">
        <w:t xml:space="preserve">t share cuts, calling into question what institutions can do as they rapidly spiral toward the private “high tuition” equilibrium. </w:t>
      </w:r>
      <w:r w:rsidRPr="00AA0D15">
        <w:rPr>
          <w:rStyle w:val="StyleUnderline"/>
        </w:rPr>
        <w:t xml:space="preserve">The sensitivity of higher education budget shares to observable state factors has increased over time and dynamic panel estimates indicate that </w:t>
      </w:r>
      <w:r w:rsidRPr="00AA0D15">
        <w:rPr>
          <w:rStyle w:val="Emphasis"/>
        </w:rPr>
        <w:t>states exercise more discretion over the determination of the higher education – K12 split than over other budgetary decisions</w:t>
      </w:r>
      <w:r w:rsidRPr="00AA0D15">
        <w:t xml:space="preserve">. Three additional findings are noteworthy. First, </w:t>
      </w:r>
      <w:r w:rsidRPr="00AA0D15">
        <w:rPr>
          <w:rStyle w:val="StyleUnderline"/>
        </w:rPr>
        <w:t xml:space="preserve">cross-cohort ethnic heterogeneity increases have led to funding shifts away from higher education. </w:t>
      </w:r>
      <w:r w:rsidRPr="00AA0D15">
        <w:t xml:space="preserve">Second, </w:t>
      </w:r>
      <w:r w:rsidRPr="00AA0D15">
        <w:rPr>
          <w:rStyle w:val="StyleUnderline"/>
        </w:rPr>
        <w:t>the surging popularity of targeted</w:t>
      </w:r>
      <w:r w:rsidRPr="00AA0D15">
        <w:t xml:space="preserve">, merit student-aid </w:t>
      </w:r>
      <w:r w:rsidRPr="00AA0D15">
        <w:rPr>
          <w:rStyle w:val="StyleUnderline"/>
        </w:rPr>
        <w:t>programs appears to have been in an effort to redistribute income to economically</w:t>
      </w:r>
      <w:r w:rsidRPr="00AA0D15">
        <w:t xml:space="preserve"> </w:t>
      </w:r>
      <w:r w:rsidRPr="00AA0D15">
        <w:rPr>
          <w:rStyle w:val="StyleUnderline"/>
        </w:rPr>
        <w:t>well-off families</w:t>
      </w:r>
      <w:r w:rsidRPr="00AA0D15">
        <w:t xml:space="preserve">. Third, as more households in a state become eligible to receive federal Pell grants, </w:t>
      </w:r>
      <w:r w:rsidRPr="00AA0D15">
        <w:rPr>
          <w:rStyle w:val="StyleUnderline"/>
        </w:rPr>
        <w:t xml:space="preserve">states move aid away from institutions and toward students – sanctioning tuition increases to potentially capture increased student eligibility for federal </w:t>
      </w:r>
      <w:r w:rsidRPr="00AA0D15">
        <w:t>grant</w:t>
      </w:r>
      <w:r w:rsidRPr="00AA0D15">
        <w:rPr>
          <w:rStyle w:val="StyleUnderline"/>
        </w:rPr>
        <w:t xml:space="preserve"> aid. </w:t>
      </w:r>
    </w:p>
    <w:p w:rsidR="00B04324" w:rsidRPr="00AA0D15" w:rsidRDefault="00B04324" w:rsidP="00B04324">
      <w:pPr>
        <w:pStyle w:val="Heading4"/>
        <w:rPr>
          <w:rFonts w:cs="Times New Roman"/>
        </w:rPr>
      </w:pPr>
      <w:r w:rsidRPr="00AA0D15">
        <w:rPr>
          <w:rFonts w:cs="Times New Roman"/>
        </w:rPr>
        <w:t xml:space="preserve">A tradeoff with healthcare is good – by prioritizing education budgets healthcare costs are </w:t>
      </w:r>
      <w:r w:rsidRPr="00AA0D15">
        <w:rPr>
          <w:rFonts w:cs="Times New Roman"/>
          <w:u w:val="single"/>
        </w:rPr>
        <w:t>lowered</w:t>
      </w:r>
    </w:p>
    <w:p w:rsidR="00B04324" w:rsidRPr="00AA0D15" w:rsidRDefault="00B04324" w:rsidP="00B04324">
      <w:r w:rsidRPr="00AA0D15">
        <w:rPr>
          <w:rStyle w:val="Style13ptBold"/>
        </w:rPr>
        <w:t>Dunlop 13</w:t>
      </w:r>
      <w:r w:rsidRPr="00AA0D15">
        <w:t xml:space="preserve"> (Tarsi Dunlop, Dunlop is the Communications Director for the Roosevelt Pipeline, “Spend More on Education to Save on Health Care: Millennial Perspective”, 12/2/13, National Priorities Project, https://www.nationalpriorities.org/2013/12/02/spend-more-education-save-health-care-millennial-perspective/) GG</w:t>
      </w:r>
    </w:p>
    <w:p w:rsidR="00B04324" w:rsidRPr="00AA0D15" w:rsidRDefault="00B04324" w:rsidP="00B04324">
      <w:r w:rsidRPr="00AA0D15">
        <w:t xml:space="preserve">When discussions around federal spending turn to trade-offs and long-term projections, the stakes are highest for the Millennial generation and those who are still in the K-12 education system. </w:t>
      </w:r>
      <w:r w:rsidRPr="00AA0D15">
        <w:rPr>
          <w:rStyle w:val="StyleUnderline"/>
        </w:rPr>
        <w:t>Too often is there a trade-off between education spending and health care coverage, especially on the state level.</w:t>
      </w:r>
      <w:r w:rsidRPr="00AA0D15">
        <w:t xml:space="preserve"> The Alliance for Excellent Education released a report in July 2013 titled, Well and Well-Off. Looking at recent Medicaid expenditures, </w:t>
      </w:r>
      <w:r w:rsidRPr="00AA0D15">
        <w:rPr>
          <w:rStyle w:val="StyleUnderline"/>
        </w:rPr>
        <w:t>the Alliance finds that</w:t>
      </w:r>
      <w:r w:rsidRPr="00AA0D15">
        <w:rPr>
          <w:rStyle w:val="Emphasis"/>
        </w:rPr>
        <w:t xml:space="preserve"> the U.S can save $7.3 billion in annual Medicaid spending by cutting the high school dropout rate in half. Furthermore, increases in educational attainment reduce Medicaid expenditures</w:t>
      </w:r>
      <w:r w:rsidRPr="00AA0D15">
        <w:rPr>
          <w:rStyle w:val="StyleUnderline"/>
        </w:rPr>
        <w:t xml:space="preserve"> on alcoholism, heart disease, obesity and smoking. </w:t>
      </w:r>
      <w:r w:rsidRPr="00AA0D15">
        <w:rPr>
          <w:rStyle w:val="Emphasis"/>
        </w:rPr>
        <w:t>This trade-off is particularly important because although education may get labeled a priority</w:t>
      </w:r>
      <w:r w:rsidRPr="00AA0D15">
        <w:t xml:space="preserve"> by policymakers, </w:t>
      </w:r>
      <w:r w:rsidRPr="00AA0D15">
        <w:rPr>
          <w:rStyle w:val="Emphasis"/>
        </w:rPr>
        <w:t>health care costs often compete with education in the funding allocation</w:t>
      </w:r>
      <w:r w:rsidRPr="00AA0D15">
        <w:t xml:space="preserve"> process. It’s also worth noting that only 6 percent of the President’s FY2014 proposed discretionary budget goes to education. </w:t>
      </w:r>
      <w:r w:rsidRPr="00AA0D15">
        <w:rPr>
          <w:rStyle w:val="StyleUnderline"/>
        </w:rPr>
        <w:t>In order to provide a high-quality education to every child, public schools require adequate resources for a tremendous breadth of service</w:t>
      </w:r>
      <w:r w:rsidRPr="00AA0D15">
        <w:t xml:space="preserve">. The Alliance </w:t>
      </w:r>
      <w:r w:rsidRPr="00AA0D15">
        <w:rPr>
          <w:rStyle w:val="StyleUnderline"/>
        </w:rPr>
        <w:t>ask</w:t>
      </w:r>
      <w:r w:rsidRPr="00AA0D15">
        <w:t xml:space="preserve">s </w:t>
      </w:r>
      <w:r w:rsidRPr="00AA0D15">
        <w:rPr>
          <w:rStyle w:val="StyleUnderline"/>
        </w:rPr>
        <w:t>the</w:t>
      </w:r>
      <w:r w:rsidRPr="00AA0D15">
        <w:t xml:space="preserve"> </w:t>
      </w:r>
      <w:r w:rsidRPr="00AA0D15">
        <w:rPr>
          <w:rStyle w:val="StyleUnderline"/>
        </w:rPr>
        <w:t>broader question</w:t>
      </w:r>
      <w:r w:rsidRPr="00AA0D15">
        <w:t xml:space="preserve"> however, </w:t>
      </w:r>
      <w:r w:rsidRPr="00AA0D15">
        <w:rPr>
          <w:rStyle w:val="StyleUnderline"/>
        </w:rPr>
        <w:t>of</w:t>
      </w:r>
      <w:r w:rsidRPr="00AA0D15">
        <w:t xml:space="preserve"> </w:t>
      </w:r>
      <w:r w:rsidRPr="00AA0D15">
        <w:rPr>
          <w:rStyle w:val="StyleUnderline"/>
        </w:rPr>
        <w:t>why we would spend money on health care that we could save by investing in education and increasing our graduation rate? It’s widely acknowledged that one of our nation’s greatest long-term challenges is the rising cost of health care</w:t>
      </w:r>
      <w:r w:rsidRPr="00AA0D15">
        <w:t>. We also know that individuals who graduate from high school have better health outcomes. As the Alliance* points out, those</w:t>
      </w:r>
      <w:r w:rsidRPr="00AA0D15">
        <w:rPr>
          <w:rStyle w:val="StyleUnderline"/>
        </w:rPr>
        <w:t xml:space="preserve"> </w:t>
      </w:r>
      <w:r w:rsidRPr="00AA0D15">
        <w:rPr>
          <w:rStyle w:val="Emphasis"/>
        </w:rPr>
        <w:t>with a higher level of educational attainment are more likely to have a higher future income</w:t>
      </w:r>
      <w:r w:rsidRPr="00AA0D15">
        <w:rPr>
          <w:rStyle w:val="StyleUnderline"/>
        </w:rPr>
        <w:t xml:space="preserve">, </w:t>
      </w:r>
      <w:r w:rsidRPr="00AA0D15">
        <w:t>occupational status and social capital,</w:t>
      </w:r>
      <w:r w:rsidRPr="00AA0D15">
        <w:rPr>
          <w:rStyle w:val="StyleUnderline"/>
        </w:rPr>
        <w:t xml:space="preserve"> </w:t>
      </w:r>
      <w:r w:rsidRPr="00AA0D15">
        <w:rPr>
          <w:rStyle w:val="Emphasis"/>
        </w:rPr>
        <w:t xml:space="preserve">all contributors to improved health outcomes. </w:t>
      </w:r>
      <w:r w:rsidRPr="00AA0D15">
        <w:rPr>
          <w:rStyle w:val="StyleUnderline"/>
        </w:rPr>
        <w:t xml:space="preserve">These outcomes influence lifestyle choices and the affordability of decisions that promote good health. </w:t>
      </w:r>
      <w:r w:rsidRPr="00AA0D15">
        <w:rPr>
          <w:rStyle w:val="Emphasis"/>
        </w:rPr>
        <w:t xml:space="preserve">Individuals with lower levels of educational attainment are less likely to be insured, or to enroll in Medicaid </w:t>
      </w:r>
      <w:r w:rsidRPr="00AA0D15">
        <w:rPr>
          <w:rStyle w:val="StyleUnderline"/>
        </w:rPr>
        <w:t xml:space="preserve">and receive taxpayer-funded health care. </w:t>
      </w:r>
      <w:r w:rsidRPr="00AA0D15">
        <w:t xml:space="preserve">We know </w:t>
      </w:r>
      <w:r w:rsidRPr="00AA0D15">
        <w:rPr>
          <w:rStyle w:val="StyleUnderline"/>
        </w:rPr>
        <w:t>there are cost savings if we invest in education and we know that we must rein in rising health care costs.</w:t>
      </w:r>
      <w:r w:rsidRPr="00AA0D15">
        <w:t xml:space="preserve"> These realities are playing out on the state level. In FY2011, K-12 education accounted for the largest portion of state general fund spending at 35 percent, followed by Medicaid at 17 percent. </w:t>
      </w:r>
      <w:r w:rsidRPr="00AA0D15">
        <w:rPr>
          <w:rStyle w:val="StyleUnderline"/>
        </w:rPr>
        <w:t>The conversation over budget trade-offs is particularly pressing on the state level because states, unlike the federal government, cannot run budget deficits</w:t>
      </w:r>
      <w:r w:rsidRPr="00AA0D15">
        <w:t xml:space="preserve">. What’s more, the ACA – also known as Obamacare – is expected to increase Medicaid expenditures, particularly for states that decide to expand coverage. </w:t>
      </w:r>
      <w:r w:rsidRPr="00AA0D15">
        <w:rPr>
          <w:rStyle w:val="StyleUnderline"/>
        </w:rPr>
        <w:t>Increases in educational attainment produce better health outcomes and reduce the stain on the health care system as part of long-term planning for deficit control</w:t>
      </w:r>
      <w:r w:rsidRPr="00AA0D15">
        <w:t>. From the Millennial perspective, the conversation around the long-term should focus on smart investments to help control future expenditures. Our generation should demand a higher quality dialogue around solutions that address these problems because we will bear the brunt of our current approach - kicking the can down the road. At some point, Millennials should lift up their collective generational foot and crush the can in its place.</w:t>
      </w:r>
    </w:p>
    <w:p w:rsidR="00B04324" w:rsidRPr="00AA0D15" w:rsidRDefault="00B04324" w:rsidP="00B04324"/>
    <w:p w:rsidR="002B62E3" w:rsidRDefault="002B62E3" w:rsidP="002B62E3">
      <w:pPr>
        <w:pStyle w:val="Heading2"/>
      </w:pPr>
      <w:r>
        <w:t>PUBLIC ADVOCACY PLANK</w:t>
      </w:r>
    </w:p>
    <w:p w:rsidR="002B62E3" w:rsidRPr="006928B5" w:rsidRDefault="002B62E3" w:rsidP="002B62E3">
      <w:pPr>
        <w:pStyle w:val="Heading3"/>
      </w:pPr>
      <w:r>
        <w:t>1nc</w:t>
      </w:r>
    </w:p>
    <w:p w:rsidR="002B62E3" w:rsidRPr="006928B5" w:rsidRDefault="002B62E3" w:rsidP="002B62E3">
      <w:pPr>
        <w:pStyle w:val="Heading4"/>
      </w:pPr>
      <w:r>
        <w:t>State Education Agencies should publicly articulate and advocate the counterplan, and make clear that it is a priority for the state and the nation.  All relevant data supporting enforcement and harm-finding should be collected, made publicly available, and utilized for policy improvement.</w:t>
      </w:r>
    </w:p>
    <w:p w:rsidR="002B62E3" w:rsidRDefault="002B62E3" w:rsidP="002B62E3">
      <w:pPr>
        <w:pStyle w:val="Heading4"/>
      </w:pPr>
      <w:r>
        <w:t>Publicly advocating the counterplan creates stability across time, solves foot-dragging, and promotes school-level buy-in</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Pr="0073550C" w:rsidRDefault="002B62E3" w:rsidP="002B62E3">
      <w:r>
        <w:t>***SEA = State Education Agencies</w:t>
      </w:r>
    </w:p>
    <w:p w:rsidR="002B62E3" w:rsidRDefault="002B62E3" w:rsidP="002B62E3">
      <w:r w:rsidRPr="00692E42">
        <w:t>The work of the SEA [</w:t>
      </w:r>
      <w:r w:rsidRPr="00692E42">
        <w:rPr>
          <w:rStyle w:val="StyleUnderline"/>
        </w:rPr>
        <w:t>State Education Agencies</w:t>
      </w:r>
      <w:r w:rsidRPr="00692E42">
        <w:t xml:space="preserve">] </w:t>
      </w:r>
      <w:r w:rsidRPr="00692E42">
        <w:rPr>
          <w:rStyle w:val="StyleUnderline"/>
        </w:rPr>
        <w:t>should</w:t>
      </w:r>
      <w:r w:rsidRPr="00692E42">
        <w:t xml:space="preserve"> ideally </w:t>
      </w:r>
      <w:r w:rsidRPr="00692E42">
        <w:rPr>
          <w:rStyle w:val="StyleUnderline"/>
        </w:rPr>
        <w:t>begin with state education leaders</w:t>
      </w:r>
      <w:r w:rsidRPr="00692E42">
        <w:t xml:space="preserve"> and</w:t>
      </w:r>
      <w:r>
        <w:t xml:space="preserve"> stakeholders </w:t>
      </w:r>
      <w:r w:rsidRPr="00692E42">
        <w:rPr>
          <w:rStyle w:val="StyleUnderline"/>
        </w:rPr>
        <w:t>defining the vision for education in the state</w:t>
      </w:r>
      <w:r>
        <w:t xml:space="preserve">. And with its emphasis on lowincome, minority, special education, and English language learners, ESSA requires that equity be at the center of this vision. The more specific the state is about its goals for improving students’ performance and narrowing achievement gaps, the clearer and easier the planning work will be When done well, </w:t>
      </w:r>
      <w:r w:rsidRPr="00692E42">
        <w:rPr>
          <w:rStyle w:val="StyleUnderline"/>
        </w:rPr>
        <w:t xml:space="preserve">a statewide process of articulating </w:t>
      </w:r>
      <w:r w:rsidRPr="007C2097">
        <w:rPr>
          <w:rStyle w:val="StyleUnderline"/>
        </w:rPr>
        <w:t>an education vision results in</w:t>
      </w:r>
      <w:r>
        <w:rPr>
          <w:rStyle w:val="StyleUnderline"/>
        </w:rPr>
        <w:t xml:space="preserve"> </w:t>
      </w:r>
      <w:r w:rsidRPr="00692E42">
        <w:rPr>
          <w:rStyle w:val="StyleUnderline"/>
        </w:rPr>
        <w:t>a shared understanding that is committed to and supported by key actors across the state,</w:t>
      </w:r>
      <w:r>
        <w:rPr>
          <w:rStyle w:val="StyleUnderline"/>
        </w:rPr>
        <w:t xml:space="preserve"> </w:t>
      </w:r>
      <w:r w:rsidRPr="00692E42">
        <w:rPr>
          <w:rStyle w:val="StyleUnderline"/>
        </w:rPr>
        <w:t xml:space="preserve">and is therefore </w:t>
      </w:r>
      <w:r w:rsidRPr="007C2097">
        <w:rPr>
          <w:rStyle w:val="Emphasis"/>
        </w:rPr>
        <w:t>less polarized</w:t>
      </w:r>
      <w:r w:rsidRPr="00692E42">
        <w:rPr>
          <w:rStyle w:val="StyleUnderline"/>
        </w:rPr>
        <w:t xml:space="preserve">, </w:t>
      </w:r>
      <w:r w:rsidRPr="007C2097">
        <w:rPr>
          <w:rStyle w:val="Emphasis"/>
        </w:rPr>
        <w:t>more stable</w:t>
      </w:r>
      <w:r w:rsidRPr="00692E42">
        <w:rPr>
          <w:rStyle w:val="StyleUnderline"/>
        </w:rPr>
        <w:t xml:space="preserve">, and </w:t>
      </w:r>
      <w:r w:rsidRPr="007C2097">
        <w:rPr>
          <w:rStyle w:val="Emphasis"/>
        </w:rPr>
        <w:t>more sustainable over time and across leadership transitions</w:t>
      </w:r>
      <w:r w:rsidRPr="00692E42">
        <w:rPr>
          <w:rStyle w:val="StyleUnderline"/>
        </w:rPr>
        <w:t>. Such a vision helps clarify responsibilities across the state’s</w:t>
      </w:r>
      <w:r>
        <w:rPr>
          <w:rStyle w:val="StyleUnderline"/>
        </w:rPr>
        <w:t xml:space="preserve"> </w:t>
      </w:r>
      <w:r w:rsidRPr="00692E42">
        <w:rPr>
          <w:rStyle w:val="StyleUnderline"/>
        </w:rPr>
        <w:t>educational system, helps ensure coherence and alignment both within the</w:t>
      </w:r>
      <w:r>
        <w:t xml:space="preserve"> SEA [</w:t>
      </w:r>
      <w:r w:rsidRPr="00692E42">
        <w:rPr>
          <w:rStyle w:val="StyleUnderline"/>
        </w:rPr>
        <w:t>State Education Agencies</w:t>
      </w:r>
      <w:r>
        <w:t xml:space="preserve">] </w:t>
      </w:r>
      <w:r w:rsidRPr="00692E42">
        <w:rPr>
          <w:rStyle w:val="StyleUnderline"/>
        </w:rPr>
        <w:t>and</w:t>
      </w:r>
      <w:r>
        <w:rPr>
          <w:rStyle w:val="StyleUnderline"/>
        </w:rPr>
        <w:t xml:space="preserve"> </w:t>
      </w:r>
      <w:r w:rsidRPr="00692E42">
        <w:rPr>
          <w:rStyle w:val="StyleUnderline"/>
        </w:rPr>
        <w:t xml:space="preserve">across coordinating agencies, and provides stakeholders and districts with </w:t>
      </w:r>
      <w:r w:rsidRPr="006928B5">
        <w:rPr>
          <w:rStyle w:val="Emphasis"/>
        </w:rPr>
        <w:t>clear mandates</w:t>
      </w:r>
      <w:r>
        <w:rPr>
          <w:rStyle w:val="StyleUnderline"/>
        </w:rPr>
        <w:t xml:space="preserve"> </w:t>
      </w:r>
      <w:r w:rsidRPr="00692E42">
        <w:rPr>
          <w:rStyle w:val="StyleUnderline"/>
        </w:rPr>
        <w:t>to shape those issues they own</w:t>
      </w:r>
      <w:r>
        <w:t xml:space="preserve">. </w:t>
      </w:r>
    </w:p>
    <w:p w:rsidR="002B62E3" w:rsidRDefault="002B62E3" w:rsidP="002B62E3">
      <w:pPr>
        <w:pStyle w:val="Heading3"/>
      </w:pPr>
      <w:r>
        <w:t>2nc solvency – advocacy</w:t>
      </w:r>
    </w:p>
    <w:p w:rsidR="002B62E3" w:rsidRDefault="002B62E3" w:rsidP="002B62E3">
      <w:pPr>
        <w:pStyle w:val="Heading4"/>
      </w:pPr>
      <w:r>
        <w:t>Public advocacy by state education agencies creates policy durability</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Default="002B62E3" w:rsidP="002B62E3">
      <w:r>
        <w:t>Using the Bully Pulpit</w:t>
      </w:r>
    </w:p>
    <w:p w:rsidR="002B62E3" w:rsidRDefault="002B62E3" w:rsidP="002B62E3">
      <w:r>
        <w:t xml:space="preserve">Much has already been said about the importance of </w:t>
      </w:r>
      <w:r w:rsidRPr="00692E42">
        <w:rPr>
          <w:rStyle w:val="StyleUnderline"/>
        </w:rPr>
        <w:t>communication</w:t>
      </w:r>
      <w:r>
        <w:t xml:space="preserve">. But the power of the bully pulpit – as a platform from which to inform, educate, and advocate – </w:t>
      </w:r>
      <w:r w:rsidRPr="00692E42">
        <w:rPr>
          <w:rStyle w:val="StyleUnderline"/>
        </w:rPr>
        <w:t>is sorely underutilized in education. As a result, state leaders too often find themselves</w:t>
      </w:r>
      <w:r>
        <w:rPr>
          <w:rStyle w:val="StyleUnderline"/>
        </w:rPr>
        <w:t xml:space="preserve"> </w:t>
      </w:r>
      <w:r w:rsidRPr="00692E42">
        <w:rPr>
          <w:rStyle w:val="StyleUnderline"/>
        </w:rPr>
        <w:t>fighting misinformation, battling political headwinds, and responding</w:t>
      </w:r>
      <w:r>
        <w:t xml:space="preserve"> to well-intentioned but ill-informed critiques. </w:t>
      </w:r>
      <w:r w:rsidRPr="00692E42">
        <w:rPr>
          <w:rStyle w:val="StyleUnderline"/>
        </w:rPr>
        <w:t>State education leaders</w:t>
      </w:r>
      <w:r>
        <w:t xml:space="preserve"> – together with the compelling voices of teachers and students – </w:t>
      </w:r>
      <w:r w:rsidRPr="00692E42">
        <w:rPr>
          <w:rStyle w:val="StyleUnderline"/>
        </w:rPr>
        <w:t>have powerful stories to tell, successes to share, and visions to</w:t>
      </w:r>
      <w:r>
        <w:rPr>
          <w:rStyle w:val="StyleUnderline"/>
        </w:rPr>
        <w:t xml:space="preserve"> </w:t>
      </w:r>
      <w:r w:rsidRPr="00692E42">
        <w:rPr>
          <w:rStyle w:val="StyleUnderline"/>
        </w:rPr>
        <w:t>paint.</w:t>
      </w:r>
      <w:r>
        <w:t xml:space="preserve"> All of the</w:t>
      </w:r>
      <w:r w:rsidRPr="00692E42">
        <w:rPr>
          <w:rStyle w:val="StyleUnderline"/>
        </w:rPr>
        <w:t xml:space="preserve">se can help </w:t>
      </w:r>
      <w:r w:rsidRPr="00692E42">
        <w:rPr>
          <w:rStyle w:val="Emphasis"/>
        </w:rPr>
        <w:t>shape opinion</w:t>
      </w:r>
      <w:r w:rsidRPr="00692E42">
        <w:rPr>
          <w:rStyle w:val="StyleUnderline"/>
        </w:rPr>
        <w:t xml:space="preserve">, </w:t>
      </w:r>
      <w:r w:rsidRPr="00692E42">
        <w:rPr>
          <w:rStyle w:val="Emphasis"/>
        </w:rPr>
        <w:t>cement understanding</w:t>
      </w:r>
      <w:r w:rsidRPr="00692E42">
        <w:rPr>
          <w:rStyle w:val="StyleUnderline"/>
        </w:rPr>
        <w:t xml:space="preserve">, and </w:t>
      </w:r>
      <w:r w:rsidRPr="00692E42">
        <w:rPr>
          <w:rStyle w:val="Emphasis"/>
        </w:rPr>
        <w:t>build tailwinds that</w:t>
      </w:r>
      <w:r>
        <w:rPr>
          <w:rStyle w:val="Emphasis"/>
        </w:rPr>
        <w:t xml:space="preserve"> </w:t>
      </w:r>
      <w:r w:rsidRPr="00692E42">
        <w:rPr>
          <w:rStyle w:val="Emphasis"/>
        </w:rPr>
        <w:t>support the</w:t>
      </w:r>
      <w:r>
        <w:t xml:space="preserve"> SEA’s [</w:t>
      </w:r>
      <w:r w:rsidRPr="00692E42">
        <w:rPr>
          <w:rStyle w:val="Emphasis"/>
        </w:rPr>
        <w:t>State Education Agencies</w:t>
      </w:r>
      <w:r>
        <w:t xml:space="preserve">] </w:t>
      </w:r>
      <w:r w:rsidRPr="00692E42">
        <w:rPr>
          <w:rStyle w:val="Emphasis"/>
        </w:rPr>
        <w:t>work</w:t>
      </w:r>
      <w:r>
        <w:t xml:space="preserve">. A strong and </w:t>
      </w:r>
      <w:r w:rsidRPr="00692E42">
        <w:rPr>
          <w:rStyle w:val="StyleUnderline"/>
        </w:rPr>
        <w:t>strategic communications</w:t>
      </w:r>
      <w:r>
        <w:t xml:space="preserve"> team </w:t>
      </w:r>
      <w:r w:rsidRPr="00692E42">
        <w:rPr>
          <w:rStyle w:val="StyleUnderline"/>
        </w:rPr>
        <w:t>can help realize</w:t>
      </w:r>
      <w:r>
        <w:rPr>
          <w:rStyle w:val="StyleUnderline"/>
        </w:rPr>
        <w:t xml:space="preserve"> </w:t>
      </w:r>
      <w:r w:rsidRPr="00692E42">
        <w:rPr>
          <w:rStyle w:val="StyleUnderline"/>
        </w:rPr>
        <w:t>this potential</w:t>
      </w:r>
      <w:r>
        <w:t>.</w:t>
      </w:r>
    </w:p>
    <w:p w:rsidR="002B62E3" w:rsidRDefault="002B62E3" w:rsidP="002B62E3">
      <w:pPr>
        <w:pStyle w:val="Heading3"/>
      </w:pPr>
      <w:r>
        <w:t>2nc solvency – data collection and advocacy</w:t>
      </w:r>
    </w:p>
    <w:p w:rsidR="002B62E3" w:rsidRDefault="002B62E3" w:rsidP="002B62E3">
      <w:pPr>
        <w:pStyle w:val="Heading4"/>
      </w:pPr>
      <w:r>
        <w:t>Data collection and accessibility solves</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Default="002B62E3" w:rsidP="002B62E3">
      <w:r>
        <w:t>Providing Transparency</w:t>
      </w:r>
    </w:p>
    <w:p w:rsidR="002B62E3" w:rsidRDefault="002B62E3" w:rsidP="002B62E3">
      <w:r w:rsidRPr="006928B5">
        <w:rPr>
          <w:rStyle w:val="StyleUnderline"/>
        </w:rPr>
        <w:t>The vision for the state’s educational system is often described by how it is to be</w:t>
      </w:r>
      <w:r>
        <w:rPr>
          <w:rStyle w:val="StyleUnderline"/>
        </w:rPr>
        <w:t xml:space="preserve"> </w:t>
      </w:r>
      <w:r w:rsidRPr="006928B5">
        <w:rPr>
          <w:rStyle w:val="StyleUnderline"/>
        </w:rPr>
        <w:t>measured</w:t>
      </w:r>
      <w:r>
        <w:t xml:space="preserve">. Student </w:t>
      </w:r>
      <w:r w:rsidRPr="006928B5">
        <w:rPr>
          <w:rStyle w:val="StyleUnderline"/>
        </w:rPr>
        <w:t>performance</w:t>
      </w:r>
      <w:r>
        <w:t xml:space="preserve"> will increase; the number of </w:t>
      </w:r>
      <w:r w:rsidRPr="006928B5">
        <w:rPr>
          <w:rStyle w:val="StyleUnderline"/>
        </w:rPr>
        <w:t>dropout</w:t>
      </w:r>
      <w:r>
        <w:t xml:space="preserve"> factories will decrease; </w:t>
      </w:r>
      <w:r w:rsidRPr="006928B5">
        <w:rPr>
          <w:rStyle w:val="StyleUnderline"/>
        </w:rPr>
        <w:t>graduation rates</w:t>
      </w:r>
      <w:r>
        <w:t xml:space="preserve"> will rise; </w:t>
      </w:r>
      <w:r w:rsidRPr="006928B5">
        <w:rPr>
          <w:rStyle w:val="StyleUnderline"/>
        </w:rPr>
        <w:t>enrollment in</w:t>
      </w:r>
      <w:r>
        <w:t xml:space="preserve"> remedial </w:t>
      </w:r>
      <w:r w:rsidRPr="006928B5">
        <w:rPr>
          <w:rStyle w:val="StyleUnderline"/>
        </w:rPr>
        <w:t>college courses</w:t>
      </w:r>
      <w:r>
        <w:t xml:space="preserve"> will fall. </w:t>
      </w:r>
      <w:r w:rsidRPr="006928B5">
        <w:rPr>
          <w:rStyle w:val="StyleUnderline"/>
        </w:rPr>
        <w:t>Underlying these statements is the assumption that data will be collected, analyzed, and</w:t>
      </w:r>
      <w:r>
        <w:rPr>
          <w:rStyle w:val="StyleUnderline"/>
        </w:rPr>
        <w:t xml:space="preserve"> </w:t>
      </w:r>
      <w:r w:rsidRPr="006928B5">
        <w:rPr>
          <w:rStyle w:val="StyleUnderline"/>
        </w:rPr>
        <w:t>the results publicly reported. Strong research, evaluation, data collection, and analytics</w:t>
      </w:r>
      <w:r>
        <w:rPr>
          <w:rStyle w:val="StyleUnderline"/>
        </w:rPr>
        <w:t xml:space="preserve"> </w:t>
      </w:r>
      <w:r w:rsidRPr="006928B5">
        <w:rPr>
          <w:rStyle w:val="StyleUnderline"/>
        </w:rPr>
        <w:t>fuel a statewide drive toward improvement and add the objective information that</w:t>
      </w:r>
      <w:r>
        <w:rPr>
          <w:rStyle w:val="StyleUnderline"/>
        </w:rPr>
        <w:t xml:space="preserve"> </w:t>
      </w:r>
      <w:r w:rsidRPr="006928B5">
        <w:rPr>
          <w:rStyle w:val="StyleUnderline"/>
        </w:rPr>
        <w:t>families and taxpayers deserv</w:t>
      </w:r>
      <w:r>
        <w:t xml:space="preserve">e. But having the data – and sharing the data – is not enough. Data must be accurate so that the information is reliable. </w:t>
      </w:r>
      <w:r w:rsidRPr="006928B5">
        <w:rPr>
          <w:rStyle w:val="StyleUnderline"/>
        </w:rPr>
        <w:t>Data must be reported</w:t>
      </w:r>
      <w:r>
        <w:rPr>
          <w:rStyle w:val="StyleUnderline"/>
        </w:rPr>
        <w:t xml:space="preserve"> </w:t>
      </w:r>
      <w:r w:rsidRPr="006928B5">
        <w:rPr>
          <w:rStyle w:val="StyleUnderline"/>
        </w:rPr>
        <w:t>in a timely fashion so that the implications are still relevant. The right data must be</w:t>
      </w:r>
      <w:r>
        <w:rPr>
          <w:rStyle w:val="StyleUnderline"/>
        </w:rPr>
        <w:t xml:space="preserve"> </w:t>
      </w:r>
      <w:r w:rsidRPr="006928B5">
        <w:rPr>
          <w:rStyle w:val="StyleUnderline"/>
        </w:rPr>
        <w:t>collected to evaluate effectiveness and inform improvement. Data must be easily</w:t>
      </w:r>
      <w:r>
        <w:rPr>
          <w:rStyle w:val="StyleUnderline"/>
        </w:rPr>
        <w:t xml:space="preserve"> </w:t>
      </w:r>
      <w:r w:rsidRPr="006928B5">
        <w:rPr>
          <w:rStyle w:val="StyleUnderline"/>
        </w:rPr>
        <w:t>accessible</w:t>
      </w:r>
      <w:r>
        <w:t xml:space="preserve"> (raw data and all), </w:t>
      </w:r>
      <w:r w:rsidRPr="006928B5">
        <w:rPr>
          <w:rStyle w:val="StyleUnderline"/>
        </w:rPr>
        <w:t>so that the media and the research community can act as</w:t>
      </w:r>
      <w:r>
        <w:rPr>
          <w:rStyle w:val="StyleUnderline"/>
        </w:rPr>
        <w:t xml:space="preserve"> </w:t>
      </w:r>
      <w:r w:rsidRPr="006928B5">
        <w:rPr>
          <w:rStyle w:val="StyleUnderline"/>
        </w:rPr>
        <w:t>watchdogs and validators, providing independent analysis and oversight. And the</w:t>
      </w:r>
      <w:r>
        <w:rPr>
          <w:rStyle w:val="StyleUnderline"/>
        </w:rPr>
        <w:t xml:space="preserve"> </w:t>
      </w:r>
      <w:r w:rsidRPr="006928B5">
        <w:rPr>
          <w:rStyle w:val="StyleUnderline"/>
        </w:rPr>
        <w:t>reporting of the information must spark insights, so that the conclusions are evident and</w:t>
      </w:r>
      <w:r>
        <w:rPr>
          <w:rStyle w:val="StyleUnderline"/>
        </w:rPr>
        <w:t xml:space="preserve"> </w:t>
      </w:r>
      <w:r w:rsidRPr="006928B5">
        <w:rPr>
          <w:rStyle w:val="StyleUnderline"/>
        </w:rPr>
        <w:t xml:space="preserve">actionable. Transparency and communications are thus intertwined. A </w:t>
      </w:r>
      <w:r w:rsidRPr="006928B5">
        <w:rPr>
          <w:rStyle w:val="Emphasis"/>
        </w:rPr>
        <w:t>strong</w:t>
      </w:r>
      <w:r>
        <w:rPr>
          <w:rStyle w:val="Emphasis"/>
        </w:rPr>
        <w:t xml:space="preserve"> </w:t>
      </w:r>
      <w:r w:rsidRPr="006928B5">
        <w:rPr>
          <w:rStyle w:val="Emphasis"/>
        </w:rPr>
        <w:t>communications ethos</w:t>
      </w:r>
      <w:r w:rsidRPr="006928B5">
        <w:rPr>
          <w:rStyle w:val="StyleUnderline"/>
        </w:rPr>
        <w:t xml:space="preserve"> must undergird the state’s data and evaluation work. And </w:t>
      </w:r>
      <w:r w:rsidRPr="006928B5">
        <w:rPr>
          <w:rStyle w:val="Emphasis"/>
        </w:rPr>
        <w:t>real</w:t>
      </w:r>
      <w:r>
        <w:rPr>
          <w:rStyle w:val="Emphasis"/>
        </w:rPr>
        <w:t xml:space="preserve"> </w:t>
      </w:r>
      <w:r w:rsidRPr="006928B5">
        <w:rPr>
          <w:rStyle w:val="Emphasis"/>
        </w:rPr>
        <w:t>evidence must drive policy directions and messages</w:t>
      </w:r>
      <w:r>
        <w:t>.</w:t>
      </w:r>
    </w:p>
    <w:p w:rsidR="002B62E3" w:rsidRDefault="002B62E3" w:rsidP="002B62E3"/>
    <w:p w:rsidR="00C81BC7" w:rsidRPr="00AA0D15" w:rsidRDefault="00C81BC7" w:rsidP="00C81BC7">
      <w:pPr>
        <w:pStyle w:val="Heading2"/>
        <w:rPr>
          <w:rFonts w:cs="Times New Roman"/>
        </w:rPr>
      </w:pPr>
      <w:r w:rsidRPr="00AA0D15">
        <w:rPr>
          <w:rFonts w:cs="Times New Roman"/>
        </w:rPr>
        <w:t>DATA PLANK</w:t>
      </w:r>
    </w:p>
    <w:p w:rsidR="00C81BC7" w:rsidRPr="00AA0D15" w:rsidRDefault="00C81BC7" w:rsidP="00C81BC7">
      <w:pPr>
        <w:pStyle w:val="Heading3"/>
        <w:rPr>
          <w:rFonts w:cs="Times New Roman"/>
        </w:rPr>
      </w:pPr>
      <w:r w:rsidRPr="00AA0D15">
        <w:rPr>
          <w:rFonts w:cs="Times New Roman"/>
        </w:rPr>
        <w:t>1nc</w:t>
      </w:r>
    </w:p>
    <w:p w:rsidR="00C81BC7" w:rsidRPr="00AA0D15" w:rsidRDefault="00C81BC7" w:rsidP="00C81BC7">
      <w:r w:rsidRPr="00AA0D15">
        <w:t>The federal government should collect and distribute the data necessary for ________</w:t>
      </w:r>
    </w:p>
    <w:p w:rsidR="00C81BC7" w:rsidRPr="00AA0D15" w:rsidRDefault="00C81BC7" w:rsidP="00C81BC7">
      <w:r w:rsidRPr="00AA0D15">
        <w:t>The fifty state governments should ______</w:t>
      </w:r>
    </w:p>
    <w:p w:rsidR="00C81BC7" w:rsidRPr="00AA0D15" w:rsidRDefault="00C81BC7" w:rsidP="00C81BC7">
      <w:pPr>
        <w:pStyle w:val="Heading4"/>
        <w:rPr>
          <w:rFonts w:cs="Times New Roman"/>
        </w:rPr>
      </w:pPr>
      <w:r w:rsidRPr="00AA0D15">
        <w:rPr>
          <w:rFonts w:cs="Times New Roman"/>
        </w:rPr>
        <w:t xml:space="preserve">Federal data collection and distribution solves---we get this CP because ‘data collection and distribution’ is an extra-topical element of the aff, and is not a defense of </w:t>
      </w:r>
      <w:r w:rsidRPr="00AA0D15">
        <w:rPr>
          <w:rFonts w:cs="Times New Roman"/>
          <w:u w:val="single"/>
        </w:rPr>
        <w:t>federal regulation</w:t>
      </w:r>
    </w:p>
    <w:p w:rsidR="00C81BC7" w:rsidRPr="00AA0D15" w:rsidRDefault="00C81BC7" w:rsidP="00C81BC7">
      <w:r w:rsidRPr="00AA0D15">
        <w:rPr>
          <w:rStyle w:val="Style13ptBold"/>
        </w:rPr>
        <w:t>Katz 3/2</w:t>
      </w:r>
      <w:r w:rsidRPr="00AA0D15">
        <w:t xml:space="preserve">/17 (Michael, Research associate in the Center on Labor, Human Services, and Population at the Urban Institute. | “Letting Federal Data Drive State and Local Policy Under Secretary DeVos” in </w:t>
      </w:r>
      <w:r w:rsidRPr="00AA0D15">
        <w:rPr>
          <w:i/>
        </w:rPr>
        <w:t>Education Next</w:t>
      </w:r>
      <w:r w:rsidRPr="00AA0D15">
        <w:t xml:space="preserve">, 2 March 2017. </w:t>
      </w:r>
      <w:hyperlink r:id="rId39" w:history="1">
        <w:r w:rsidRPr="00AA0D15">
          <w:rPr>
            <w:rStyle w:val="Hyperlink"/>
          </w:rPr>
          <w:t>http://educationnext.org/letting-federal-data-drive-state-and-local-policy-under-secretary-devos/</w:t>
        </w:r>
      </w:hyperlink>
      <w:r w:rsidRPr="00AA0D15">
        <w:t xml:space="preserve"> )//tbrooks</w:t>
      </w:r>
    </w:p>
    <w:p w:rsidR="00C81BC7" w:rsidRDefault="00C81BC7" w:rsidP="00C81BC7">
      <w:r w:rsidRPr="007C2097">
        <w:t xml:space="preserve">Since 1968, </w:t>
      </w:r>
      <w:r w:rsidRPr="007C2097">
        <w:rPr>
          <w:sz w:val="22"/>
          <w:u w:val="single"/>
        </w:rPr>
        <w:t>the Office for Civil Rights (OCR</w:t>
      </w:r>
      <w:r w:rsidRPr="007C2097">
        <w:t xml:space="preserve">), an office </w:t>
      </w:r>
      <w:r w:rsidRPr="007C2097">
        <w:rPr>
          <w:sz w:val="22"/>
          <w:u w:val="single"/>
        </w:rPr>
        <w:t>of the Department of Education, has collected data from public schools on student and school characteristics to ensure all students have equal access to a quality education. Many have raised questions about the future of this</w:t>
      </w:r>
      <w:r w:rsidRPr="007C2097">
        <w:t xml:space="preserve"> biennial </w:t>
      </w:r>
      <w:r w:rsidRPr="007C2097">
        <w:rPr>
          <w:sz w:val="22"/>
          <w:u w:val="single"/>
        </w:rPr>
        <w:t>dataset under</w:t>
      </w:r>
      <w:r w:rsidRPr="007C2097">
        <w:t xml:space="preserve"> Secretary </w:t>
      </w:r>
      <w:r w:rsidRPr="007C2097">
        <w:rPr>
          <w:sz w:val="22"/>
          <w:u w:val="single"/>
        </w:rPr>
        <w:t>DeVos</w:t>
      </w:r>
      <w:r w:rsidRPr="007C2097">
        <w:t xml:space="preserve">. Despite challenges posed by data collection, however, DeVos should maintain the Civil Rights Data Collection (CRDC). Rather than a case of federal overreach, </w:t>
      </w:r>
      <w:r w:rsidRPr="007C2097">
        <w:rPr>
          <w:sz w:val="22"/>
          <w:u w:val="single"/>
        </w:rPr>
        <w:t xml:space="preserve">the CRDC allows the federal government to empower state and local education providers to improve their policies and provides parents, policymakers, and advocates the tools to hold schools accountable. </w:t>
      </w:r>
      <w:r w:rsidRPr="007C2097">
        <w:t xml:space="preserve">The burden of data collection Arguments opposing the CRDC have focused on </w:t>
      </w:r>
      <w:hyperlink r:id="rId40" w:tgtFrame="_blank" w:history="1">
        <w:r w:rsidRPr="007C2097">
          <w:rPr>
            <w:rStyle w:val="Hyperlink"/>
          </w:rPr>
          <w:t>burdensome data collection</w:t>
        </w:r>
      </w:hyperlink>
      <w:r w:rsidRPr="007C2097">
        <w:t xml:space="preserve"> and </w:t>
      </w:r>
      <w:hyperlink r:id="rId41" w:tgtFrame="_blank" w:history="1">
        <w:r w:rsidRPr="007C2097">
          <w:rPr>
            <w:rStyle w:val="Hyperlink"/>
          </w:rPr>
          <w:t>skepticism</w:t>
        </w:r>
      </w:hyperlink>
      <w:r w:rsidRPr="007C2097">
        <w:t xml:space="preserve"> about the utility of these data. While this concern will not dissipate overnight, work is being done to address it. </w:t>
      </w:r>
      <w:r w:rsidRPr="007C2097">
        <w:rPr>
          <w:sz w:val="22"/>
          <w:u w:val="single"/>
        </w:rPr>
        <w:t xml:space="preserve">OCR has incorporated feedback and adjusted the CRDC to </w:t>
      </w:r>
      <w:hyperlink r:id="rId42" w:tgtFrame="_blank" w:history="1">
        <w:r w:rsidRPr="007C2097">
          <w:rPr>
            <w:rStyle w:val="Hyperlink"/>
            <w:sz w:val="22"/>
            <w:u w:val="single"/>
          </w:rPr>
          <w:t>reduce duplication</w:t>
        </w:r>
      </w:hyperlink>
      <w:r w:rsidRPr="007C2097">
        <w:rPr>
          <w:sz w:val="22"/>
          <w:u w:val="single"/>
        </w:rPr>
        <w:t xml:space="preserve"> and </w:t>
      </w:r>
      <w:hyperlink r:id="rId43" w:anchor="crdc" w:tgtFrame="_blank" w:history="1">
        <w:r w:rsidRPr="007C2097">
          <w:rPr>
            <w:rStyle w:val="Hyperlink"/>
            <w:sz w:val="22"/>
            <w:u w:val="single"/>
          </w:rPr>
          <w:t>administrative burden</w:t>
        </w:r>
      </w:hyperlink>
      <w:r w:rsidRPr="007C2097">
        <w:rPr>
          <w:sz w:val="22"/>
          <w:u w:val="single"/>
        </w:rPr>
        <w:t>.</w:t>
      </w:r>
      <w:r w:rsidRPr="007C2097">
        <w:t xml:space="preserve"> The Department of Education also proposed changes to the 2017–18 CRDC that </w:t>
      </w:r>
      <w:hyperlink r:id="rId44" w:tgtFrame="_blank" w:history="1">
        <w:r w:rsidRPr="007C2097">
          <w:rPr>
            <w:rStyle w:val="Hyperlink"/>
          </w:rPr>
          <w:t>“will have the net effect of reducing burden for school districts.”</w:t>
        </w:r>
      </w:hyperlink>
      <w:r w:rsidRPr="007C2097">
        <w:t xml:space="preserve"> </w:t>
      </w:r>
      <w:hyperlink r:id="rId45" w:tgtFrame="_blank" w:history="1">
        <w:r w:rsidRPr="007C2097">
          <w:rPr>
            <w:rStyle w:val="Hyperlink"/>
          </w:rPr>
          <w:t xml:space="preserve">Some </w:t>
        </w:r>
        <w:r w:rsidRPr="007C2097">
          <w:rPr>
            <w:rStyle w:val="Hyperlink"/>
            <w:u w:val="single"/>
          </w:rPr>
          <w:t>states</w:t>
        </w:r>
      </w:hyperlink>
      <w:r w:rsidRPr="007C2097">
        <w:rPr>
          <w:sz w:val="22"/>
          <w:u w:val="single"/>
        </w:rPr>
        <w:t xml:space="preserve"> have even taken proactive steps to reduce the time and work required of schools by cutting down on duplication. </w:t>
      </w:r>
      <w:r w:rsidRPr="007C2097">
        <w:t xml:space="preserve">DeVos should also consider that letting states collect their own civil rights data is no less burdensome if states hope to maintain the highest standards of equality. </w:t>
      </w:r>
      <w:r w:rsidRPr="007C2097">
        <w:rPr>
          <w:sz w:val="22"/>
          <w:u w:val="single"/>
        </w:rPr>
        <w:t>The benefit of continuing the CRDC is that the systems already exist and the measures have already been tested and selected. If data collection is delegated to state control, each state will have to adapt or create their own systems, measures, and processes for working with schools and districts in collecting data.</w:t>
      </w:r>
      <w:r w:rsidRPr="007C2097">
        <w:t xml:space="preserve"> Federal data, local solutions </w:t>
      </w:r>
      <w:r w:rsidRPr="007C2097">
        <w:rPr>
          <w:sz w:val="22"/>
          <w:u w:val="single"/>
        </w:rPr>
        <w:t>Opponents of the CRDC would argue that states should create their own systems and select their own measures</w:t>
      </w:r>
      <w:r w:rsidRPr="007C2097">
        <w:t xml:space="preserve"> because each state has different needs. </w:t>
      </w:r>
      <w:r w:rsidRPr="007C2097">
        <w:rPr>
          <w:sz w:val="22"/>
          <w:u w:val="single"/>
        </w:rPr>
        <w:t xml:space="preserve">But the CRDC already meets those needs for states and districts with vastly different populations. </w:t>
      </w:r>
      <w:r w:rsidRPr="007C2097">
        <w:t xml:space="preserve">Take two drastically different school systems on opposite sides of the country. </w:t>
      </w:r>
      <w:r w:rsidRPr="007C2097">
        <w:rPr>
          <w:sz w:val="22"/>
          <w:u w:val="single"/>
        </w:rPr>
        <w:t>Montgomery County is Maryland’s wealthiest and largest county</w:t>
      </w:r>
      <w:r w:rsidRPr="007C2097">
        <w:t xml:space="preserve"> and boasts a top-notch public school system. </w:t>
      </w:r>
      <w:r w:rsidRPr="007C2097">
        <w:rPr>
          <w:sz w:val="22"/>
          <w:u w:val="single"/>
        </w:rPr>
        <w:t xml:space="preserve">CRDC data for Montgomery County show increased enrollment in Advanced Placement classes across all subgroups, but a widening gap between races. Because data revealed the disparity, the district has taken </w:t>
      </w:r>
      <w:hyperlink r:id="rId46" w:tgtFrame="_blank" w:history="1">
        <w:r w:rsidRPr="007C2097">
          <w:rPr>
            <w:rStyle w:val="Hyperlink"/>
            <w:sz w:val="22"/>
            <w:u w:val="single"/>
          </w:rPr>
          <w:t>important steps</w:t>
        </w:r>
      </w:hyperlink>
      <w:r w:rsidRPr="007C2097">
        <w:rPr>
          <w:sz w:val="22"/>
          <w:u w:val="single"/>
        </w:rPr>
        <w:t xml:space="preserve"> to ensure equity. </w:t>
      </w:r>
      <w:r w:rsidRPr="007C2097">
        <w:t xml:space="preserve">Meanwhile, </w:t>
      </w:r>
      <w:r w:rsidRPr="007C2097">
        <w:rPr>
          <w:sz w:val="22"/>
          <w:u w:val="single"/>
        </w:rPr>
        <w:t>in Alaska</w:t>
      </w:r>
      <w:r w:rsidRPr="007C2097">
        <w:t xml:space="preserve">, where there are many small and relatively poor rural counties with large populations of American Indians, </w:t>
      </w:r>
      <w:r w:rsidRPr="007C2097">
        <w:rPr>
          <w:sz w:val="22"/>
          <w:u w:val="single"/>
        </w:rPr>
        <w:t>CRDC data also reveal a racial disparity</w:t>
      </w:r>
      <w:r w:rsidRPr="007C2097">
        <w:t xml:space="preserve">. Data on chronic absenteeism show the prevalence of rural absenteeism and the disproportionately high rates of absenteeism among specific subgroups, including American Indians, a group too often forgotten in research efforts. </w:t>
      </w:r>
      <w:r w:rsidRPr="007C2097">
        <w:rPr>
          <w:sz w:val="22"/>
          <w:u w:val="single"/>
        </w:rPr>
        <w:t>Montgomery County and Alaska serve very different populations, yet for both districts, the CRDC reveals important, actionable data. The CRDC doesn’t tell states or districts what to do, but it</w:t>
      </w:r>
      <w:r w:rsidRPr="007C2097">
        <w:t xml:space="preserve"> does </w:t>
      </w:r>
      <w:r w:rsidRPr="007C2097">
        <w:rPr>
          <w:sz w:val="22"/>
          <w:u w:val="single"/>
        </w:rPr>
        <w:t xml:space="preserve">give them the tools to properly assess how they are performing and how they can better serve students. </w:t>
      </w:r>
      <w:r w:rsidRPr="007C2097">
        <w:t xml:space="preserve">Revealing new problems Recently, the CRDC has revealed inequities in school discipline and chronic absenteeism that have led to important policy changes. It was through the CRDC that stakeholders began to understand the prevalence of </w:t>
      </w:r>
      <w:hyperlink r:id="rId47" w:tgtFrame="_blank" w:history="1">
        <w:r w:rsidRPr="007C2097">
          <w:rPr>
            <w:rStyle w:val="Hyperlink"/>
          </w:rPr>
          <w:t>absenteeism</w:t>
        </w:r>
      </w:hyperlink>
      <w:r w:rsidRPr="007C2097">
        <w:t xml:space="preserve">, which is linked with lower grade retention, student performance, dropout rates, and wasted spending. In addition, </w:t>
      </w:r>
      <w:r w:rsidRPr="007C2097">
        <w:rPr>
          <w:sz w:val="22"/>
          <w:u w:val="single"/>
        </w:rPr>
        <w:t xml:space="preserve">in response to data that revealed disparities in discipline between minority and white students, Washington, DC, pushed for more data transparency and specialized annual </w:t>
      </w:r>
      <w:hyperlink r:id="rId48" w:tgtFrame="_blank" w:history="1">
        <w:r w:rsidRPr="007C2097">
          <w:rPr>
            <w:rStyle w:val="Hyperlink"/>
            <w:sz w:val="22"/>
            <w:u w:val="single"/>
          </w:rPr>
          <w:t>Equity Reports</w:t>
        </w:r>
      </w:hyperlink>
      <w:r w:rsidRPr="007C2097">
        <w:rPr>
          <w:sz w:val="22"/>
          <w:u w:val="single"/>
        </w:rPr>
        <w:t xml:space="preserve">, and California lawmakers </w:t>
      </w:r>
      <w:hyperlink r:id="rId49" w:tgtFrame="_blank" w:history="1">
        <w:r w:rsidRPr="007C2097">
          <w:rPr>
            <w:rStyle w:val="Hyperlink"/>
            <w:sz w:val="22"/>
            <w:u w:val="single"/>
          </w:rPr>
          <w:t>eliminated suspensions for willful defiance.</w:t>
        </w:r>
      </w:hyperlink>
      <w:r w:rsidRPr="007C2097">
        <w:rPr>
          <w:sz w:val="22"/>
          <w:u w:val="single"/>
        </w:rPr>
        <w:t xml:space="preserve"> </w:t>
      </w:r>
      <w:r w:rsidRPr="007C2097">
        <w:t xml:space="preserve">Chronic absenteeism and discipline demonstrate just two areas where CRDC data sparked important policy change. </w:t>
      </w:r>
      <w:r w:rsidRPr="007C2097">
        <w:rPr>
          <w:sz w:val="22"/>
          <w:u w:val="single"/>
        </w:rPr>
        <w:t>The benefit of centralized data collection is that in the next CRDC, the same data will be collected, and schools and policymakers can measure progress.</w:t>
      </w:r>
      <w:r w:rsidRPr="007C2097">
        <w:t xml:space="preserve"> Ending the CRDC would eliminate decades of data that can help us understand trends and how different decisions affect districts and students. </w:t>
      </w:r>
      <w:r w:rsidRPr="007C2097">
        <w:rPr>
          <w:sz w:val="22"/>
          <w:u w:val="single"/>
        </w:rPr>
        <w:t>The CRDC has had a lasting effect on state</w:t>
      </w:r>
      <w:r w:rsidRPr="007C2097">
        <w:t xml:space="preserve"> and local </w:t>
      </w:r>
      <w:r w:rsidRPr="007C2097">
        <w:rPr>
          <w:sz w:val="22"/>
          <w:u w:val="single"/>
        </w:rPr>
        <w:t>policies and has shed light on persisting issues and disparities.</w:t>
      </w:r>
      <w:r w:rsidRPr="007C2097">
        <w:t xml:space="preserve"> Like any data collection effort, the CRDC comes with challenges, and there is room for improving efficiency. But as DeVos continues to reform the Department of Education, she should maintain the CRDC. It plays an essential role in keeping a focus on equity, while giving federal, state, and local agencies data to create their own solutions and—perhaps most importantly—giving parents, advocates, and taxpayers the data they need to hold their schools and districts accountable.</w:t>
      </w:r>
    </w:p>
    <w:p w:rsidR="00D43212" w:rsidRDefault="00D43212" w:rsidP="00D43212">
      <w:pPr>
        <w:pStyle w:val="Heading3"/>
      </w:pPr>
      <w:r>
        <w:t>2nc theory</w:t>
      </w:r>
    </w:p>
    <w:p w:rsidR="00D43212" w:rsidRDefault="00D43212" w:rsidP="00D43212">
      <w:pPr>
        <w:pStyle w:val="Heading4"/>
      </w:pPr>
      <w:r>
        <w:t>We get to fiat states and federal data collection in this contect</w:t>
      </w:r>
    </w:p>
    <w:p w:rsidR="00D43212" w:rsidRDefault="00D43212" w:rsidP="00D43212">
      <w:pPr>
        <w:pStyle w:val="Heading4"/>
        <w:numPr>
          <w:ilvl w:val="0"/>
          <w:numId w:val="23"/>
        </w:numPr>
        <w:spacing w:before="40" w:line="259" w:lineRule="auto"/>
      </w:pPr>
      <w:r>
        <w:t>Data collection is extra topical – neg teams should get CPs out of the extra topical parts of the aff – that’s key to test the topic – aff teams have a resolutional burden to defend funding and regulation alone can solve.  Shoehorning in extra-T fed key arguments make prep impossible.</w:t>
      </w:r>
    </w:p>
    <w:p w:rsidR="00D43212" w:rsidRDefault="00062CED" w:rsidP="00D43212">
      <w:pPr>
        <w:pStyle w:val="Heading4"/>
        <w:numPr>
          <w:ilvl w:val="0"/>
          <w:numId w:val="23"/>
        </w:numPr>
        <w:spacing w:before="40" w:line="259" w:lineRule="auto"/>
      </w:pPr>
      <w:r>
        <w:t>Future fiat---</w:t>
      </w:r>
      <w:r w:rsidR="00D43212">
        <w:t>states already use OCR data to evaluate school districts and to implement changes</w:t>
      </w:r>
      <w:r>
        <w:t xml:space="preserve">, and it’s han’t been cut yet.  The CP just </w:t>
      </w:r>
      <w:r w:rsidRPr="00062CED">
        <w:rPr>
          <w:u w:val="single"/>
        </w:rPr>
        <w:t>maintains the squo</w:t>
      </w:r>
      <w:r>
        <w:t>, but the aff is a step too far</w:t>
      </w:r>
    </w:p>
    <w:p w:rsidR="00D43212" w:rsidRDefault="00D43212" w:rsidP="00D43212">
      <w:pPr>
        <w:pStyle w:val="Heading4"/>
      </w:pPr>
      <w:r>
        <w:t>If they win this argument, kick the federal part of the CP---we sill solve</w:t>
      </w:r>
    </w:p>
    <w:p w:rsidR="00D43212" w:rsidRDefault="00D43212" w:rsidP="00D43212">
      <w:pPr>
        <w:rPr>
          <w:rStyle w:val="Style13ptBold"/>
        </w:rPr>
      </w:pPr>
      <w:r>
        <w:rPr>
          <w:rStyle w:val="Style13ptBold"/>
        </w:rPr>
        <w:t xml:space="preserve">Sugarman 2017 </w:t>
      </w:r>
    </w:p>
    <w:p w:rsidR="00D43212" w:rsidRPr="00D43212" w:rsidRDefault="00D43212" w:rsidP="00D43212">
      <w:r w:rsidRPr="00D43212">
        <w:t xml:space="preserve">(Julie, Policy Analyst at MPI's National Center on Immigrant Integration Policy, B.A. in anthropology and French from Bryn Mawr College, M.A. in anthropology from the University of Virginia Ph.D. in second language education and culture from the University of Maryland, March 2017, “Trump and DeVos: What Could the New Administration Spell for English Learner and Immigrant Students?,” </w:t>
      </w:r>
      <w:hyperlink r:id="rId50" w:history="1">
        <w:r w:rsidRPr="00D43212">
          <w:rPr>
            <w:rStyle w:val="Hyperlink"/>
          </w:rPr>
          <w:t>http://www.migrationpolicy.org/news/trump-and-devos-what-could-new-administration-spell-english-learner-and-immigrant-students</w:t>
        </w:r>
      </w:hyperlink>
      <w:r w:rsidRPr="00D43212">
        <w:t>, Date Accessed: 6/30/17 – KSA)</w:t>
      </w:r>
    </w:p>
    <w:p w:rsidR="00D43212" w:rsidRPr="00365ECA" w:rsidRDefault="00D43212" w:rsidP="00D43212">
      <w:pPr>
        <w:rPr>
          <w:rStyle w:val="StyleUnderline"/>
        </w:rPr>
      </w:pPr>
      <w:r>
        <w:t xml:space="preserve">Civil rights. Finally, </w:t>
      </w:r>
      <w:r w:rsidRPr="00365ECA">
        <w:rPr>
          <w:rStyle w:val="StyleUnderline"/>
        </w:rPr>
        <w:t xml:space="preserve">advocates are concerned about the future of the </w:t>
      </w:r>
      <w:r>
        <w:t>Office of Civil Rights (</w:t>
      </w:r>
      <w:r w:rsidRPr="00365ECA">
        <w:rPr>
          <w:rStyle w:val="StyleUnderline"/>
        </w:rPr>
        <w:t>OCR</w:t>
      </w:r>
      <w:r>
        <w:t xml:space="preserve">) in the Department of Education and the Educational Opportunities Section of the Civil Rights Division in the U.S. Department of Justice. </w:t>
      </w:r>
      <w:r w:rsidRPr="00365ECA">
        <w:rPr>
          <w:rStyle w:val="StyleUnderline"/>
        </w:rPr>
        <w:t>These two offices took on a more active role in the Obama administration</w:t>
      </w:r>
      <w:r>
        <w:t xml:space="preserve"> than under previous presidents in terms of addressing desegregation and violations of EL students’ rights to effective services. The Department of Education’s </w:t>
      </w:r>
      <w:r w:rsidRPr="00365ECA">
        <w:rPr>
          <w:rStyle w:val="StyleUnderline"/>
        </w:rPr>
        <w:t>OCR also expanded data-collection efforts</w:t>
      </w:r>
      <w:r>
        <w:t xml:space="preserve"> to highlight ongoing disparities in access and outcomes for a variety of underserved populations. Although </w:t>
      </w:r>
      <w:r w:rsidRPr="00365ECA">
        <w:rPr>
          <w:rStyle w:val="StyleUnderline"/>
        </w:rPr>
        <w:t>state governments might not be able to assume</w:t>
      </w:r>
      <w:r>
        <w:t xml:space="preserve"> the type of civil-rights </w:t>
      </w:r>
      <w:r w:rsidRPr="00365ECA">
        <w:rPr>
          <w:rStyle w:val="StyleUnderline"/>
        </w:rPr>
        <w:t>oversight</w:t>
      </w:r>
      <w:r>
        <w:t xml:space="preserve"> that the federal government provides, </w:t>
      </w:r>
      <w:r w:rsidRPr="00365ECA">
        <w:rPr>
          <w:rStyle w:val="StyleUnderline"/>
        </w:rPr>
        <w:t>states could put into place policies, funding, and accountability processes that protect ELs and promote equitable access to education</w:t>
      </w:r>
      <w:r>
        <w:t xml:space="preserve">. These include </w:t>
      </w:r>
      <w:r w:rsidRPr="00365ECA">
        <w:rPr>
          <w:rStyle w:val="StyleUnderline"/>
        </w:rPr>
        <w:t>policies and robust training around student enrollment that comply with Plyler v. Doe, teacher certification requirements that include training for teachers on working with ELs, and technical assistance for districts that are struggling to implement research-based instructional models</w:t>
      </w:r>
      <w:r>
        <w:t xml:space="preserve"> to meet their students’ needs. The weighty issues enumerated above may have lasting impacts on generations of immigrant-background families and communities. However, </w:t>
      </w:r>
      <w:r w:rsidRPr="00365ECA">
        <w:rPr>
          <w:rStyle w:val="StyleUnderline"/>
        </w:rPr>
        <w:t xml:space="preserve">states have the wherewithal through their </w:t>
      </w:r>
      <w:r w:rsidRPr="00D43212">
        <w:rPr>
          <w:rStyle w:val="Emphasis"/>
        </w:rPr>
        <w:t>own policies and practices</w:t>
      </w:r>
      <w:r w:rsidRPr="00365ECA">
        <w:rPr>
          <w:rStyle w:val="StyleUnderline"/>
        </w:rPr>
        <w:t xml:space="preserve"> to mitigate cuts to funding, attempts to use school choice to weaken traditional public education, and reduced oversight on civil rights. </w:t>
      </w:r>
      <w:r>
        <w:t xml:space="preserve">As states complete work on the ESSA accountability plans, </w:t>
      </w:r>
      <w:r w:rsidRPr="00365ECA">
        <w:rPr>
          <w:rStyle w:val="StyleUnderline"/>
        </w:rPr>
        <w:t xml:space="preserve">it is incumbent on the public to ensure that </w:t>
      </w:r>
      <w:r w:rsidRPr="00D43212">
        <w:rPr>
          <w:rStyle w:val="Emphasis"/>
        </w:rPr>
        <w:t>states</w:t>
      </w:r>
      <w:r w:rsidRPr="00365ECA">
        <w:rPr>
          <w:rStyle w:val="StyleUnderline"/>
        </w:rPr>
        <w:t xml:space="preserve"> follow through on their responsibility to provide a high-quality education to all students.</w:t>
      </w:r>
    </w:p>
    <w:p w:rsidR="00D43212" w:rsidRPr="007C2097" w:rsidRDefault="00D43212" w:rsidP="00C81BC7"/>
    <w:p w:rsidR="00C81BC7" w:rsidRPr="00AA0D15" w:rsidRDefault="00C81BC7" w:rsidP="00C81BC7"/>
    <w:p w:rsidR="00C47278" w:rsidRPr="00C81BC7" w:rsidRDefault="00C81BC7" w:rsidP="00C81BC7">
      <w:pPr>
        <w:pStyle w:val="Heading2"/>
        <w:rPr>
          <w:rFonts w:cs="Times New Roman"/>
        </w:rPr>
      </w:pPr>
      <w:r>
        <w:rPr>
          <w:rFonts w:cs="Times New Roman"/>
        </w:rPr>
        <w:t>BUDGET PLANK – TAXES</w:t>
      </w:r>
    </w:p>
    <w:p w:rsidR="00C47278" w:rsidRPr="00AA0D15" w:rsidRDefault="00C47278" w:rsidP="00C47278">
      <w:pPr>
        <w:pStyle w:val="Heading3"/>
        <w:rPr>
          <w:rFonts w:cs="Times New Roman"/>
        </w:rPr>
      </w:pPr>
      <w:r w:rsidRPr="00AA0D15">
        <w:rPr>
          <w:rFonts w:cs="Times New Roman"/>
        </w:rPr>
        <w:t>1nc – tax</w:t>
      </w:r>
    </w:p>
    <w:p w:rsidR="00C47278" w:rsidRPr="00AA0D15" w:rsidRDefault="007C2097" w:rsidP="007C2097">
      <w:pPr>
        <w:pStyle w:val="Heading4"/>
      </w:pPr>
      <w:r>
        <w:t>To generate revenue, t</w:t>
      </w:r>
      <w:r w:rsidR="00C47278" w:rsidRPr="00AA0D15">
        <w:t>he 50 states should increase income taxes one percentage point on the top one percent of the tax bracket.</w:t>
      </w:r>
    </w:p>
    <w:p w:rsidR="00C47278" w:rsidRPr="00AA0D15" w:rsidRDefault="00C47278" w:rsidP="00C47278">
      <w:pPr>
        <w:pStyle w:val="Heading4"/>
        <w:rPr>
          <w:rFonts w:cs="Times New Roman"/>
        </w:rPr>
      </w:pPr>
      <w:r w:rsidRPr="00AA0D15">
        <w:rPr>
          <w:rFonts w:cs="Times New Roman"/>
        </w:rPr>
        <w:t>Solves states budgets to fund education and avoids reductions in consumer spending</w:t>
      </w:r>
    </w:p>
    <w:p w:rsidR="00C47278" w:rsidRPr="00AA0D15" w:rsidRDefault="00C47278" w:rsidP="00C47278">
      <w:r w:rsidRPr="007C2097">
        <w:rPr>
          <w:rStyle w:val="Style13ptBold"/>
        </w:rPr>
        <w:t>Shure et al. 9</w:t>
      </w:r>
      <w:r w:rsidRPr="00AA0D15">
        <w:t xml:space="preserve"> --- Shure, Director of State Communications. McNichol, Senior Fellow at Center on Budget and Policy Priorities. Nicholas, Research Associate at Center on Budget and Policy Priorities.</w:t>
      </w:r>
      <w:r w:rsidRPr="00AA0D15">
        <w:rPr>
          <w:b/>
        </w:rPr>
        <w:t xml:space="preserve"> </w:t>
      </w:r>
      <w:r w:rsidRPr="00AA0D15">
        <w:t>(JON SHURE, ELIZABETH MCNICHOL,  ANDREW NICHOLAS, Nov 11, “Raising State Income Taxes on High-Income Taxpayers”, Center on Budget and Policy Priorities. http://www.cbpp.org/research/raising-state-income-taxes-on-high-income-taxpayers?fa=view&amp;id=2792)//ET</w:t>
      </w:r>
    </w:p>
    <w:p w:rsidR="00C47278" w:rsidRPr="00AA0D15" w:rsidRDefault="00C47278" w:rsidP="00C47278">
      <w:r w:rsidRPr="00AA0D15">
        <w:rPr>
          <w:rStyle w:val="StyleUnderline"/>
        </w:rPr>
        <w:t xml:space="preserve">As states face increasingly difficult choices for closing the gap between available resources </w:t>
      </w:r>
      <w:r w:rsidRPr="00AA0D15">
        <w:t xml:space="preserve">and the cost of needed programs and services, </w:t>
      </w:r>
      <w:r w:rsidRPr="00AA0D15">
        <w:rPr>
          <w:rStyle w:val="StyleUnderline"/>
        </w:rPr>
        <w:t xml:space="preserve">one potential revenue source can be found at the high end of the income tax spectrum. </w:t>
      </w:r>
      <w:r w:rsidRPr="00AA0D15">
        <w:t xml:space="preserve">The </w:t>
      </w:r>
      <w:r w:rsidRPr="00AA0D15">
        <w:rPr>
          <w:rStyle w:val="Emphasis"/>
        </w:rPr>
        <w:t>personal income tax,</w:t>
      </w:r>
      <w:r w:rsidRPr="00AA0D15">
        <w:t xml:space="preserve"> a major source of revenue for 41 states, </w:t>
      </w:r>
      <w:r w:rsidRPr="00AA0D15">
        <w:rPr>
          <w:rStyle w:val="Emphasis"/>
        </w:rPr>
        <w:t>can yield a significant amount of money from small rate increases that involve a relatively low number of taxpayers</w:t>
      </w:r>
      <w:r w:rsidRPr="00AA0D15">
        <w:t xml:space="preserve"> — </w:t>
      </w:r>
      <w:r w:rsidRPr="00AA0D15">
        <w:rPr>
          <w:rStyle w:val="StyleUnderline"/>
        </w:rPr>
        <w:t>those that are best able to afford the cost</w:t>
      </w:r>
      <w:r w:rsidRPr="00AA0D15">
        <w:t xml:space="preserve">. This is because </w:t>
      </w:r>
      <w:r w:rsidRPr="00AA0D15">
        <w:rPr>
          <w:rStyle w:val="StyleUnderline"/>
        </w:rPr>
        <w:t xml:space="preserve">wealth in the United States has become concentrated among the nation’s richest households </w:t>
      </w:r>
      <w:r w:rsidRPr="00AA0D15">
        <w:t xml:space="preserve">to an extent not seen since the late 1920s. </w:t>
      </w:r>
      <w:r w:rsidRPr="00AA0D15">
        <w:rPr>
          <w:rStyle w:val="StyleUnderline"/>
        </w:rPr>
        <w:t>An effective way to tap this revenue source is to create an additional tax bracket at the top of the existing income tax rate structure. The first decision a state must make is to determine the income cut-off. One option is what some call a “millionaire’s tax”</w:t>
      </w:r>
      <w:r w:rsidRPr="00AA0D15">
        <w:t xml:space="preserve"> — an additional rate applied to incomes above $1 million. </w:t>
      </w:r>
      <w:r w:rsidRPr="00AA0D15">
        <w:rPr>
          <w:rStyle w:val="StyleUnderline"/>
        </w:rPr>
        <w:t>More revenue can be raised if the income cut-off is lower</w:t>
      </w:r>
      <w:r w:rsidRPr="00AA0D15">
        <w:t xml:space="preserve">, </w:t>
      </w:r>
      <w:r w:rsidRPr="00AA0D15">
        <w:rPr>
          <w:rStyle w:val="StyleUnderline"/>
        </w:rPr>
        <w:t>say</w:t>
      </w:r>
      <w:r w:rsidRPr="00AA0D15">
        <w:t xml:space="preserve"> $250,000 or </w:t>
      </w:r>
      <w:r w:rsidRPr="00AA0D15">
        <w:rPr>
          <w:rStyle w:val="StyleUnderline"/>
        </w:rPr>
        <w:t>$500,000</w:t>
      </w:r>
      <w:r w:rsidRPr="00AA0D15">
        <w:t xml:space="preserve">; in such a case </w:t>
      </w:r>
      <w:r w:rsidRPr="00AA0D15">
        <w:rPr>
          <w:rStyle w:val="StyleUnderline"/>
        </w:rPr>
        <w:t xml:space="preserve">the new top rate still affects a relatively tiny percentage of taxpayers. </w:t>
      </w:r>
      <w:r w:rsidRPr="00AA0D15">
        <w:t xml:space="preserve">The amount that any state could raise at a particular income level would, of course, vary. But </w:t>
      </w:r>
      <w:r w:rsidRPr="00AA0D15">
        <w:rPr>
          <w:rStyle w:val="StyleUnderline"/>
        </w:rPr>
        <w:t xml:space="preserve">the magnitude can be seen from this statistic: If every state with an income tax increased its rates by 1 percentage point on incomes above $500,000, it would raise about $8 billion nationwide </w:t>
      </w:r>
      <w:r w:rsidRPr="00AA0D15">
        <w:t xml:space="preserve">— </w:t>
      </w:r>
      <w:r w:rsidRPr="00AA0D15">
        <w:rPr>
          <w:rStyle w:val="Emphasis"/>
        </w:rPr>
        <w:t>funds that could be used as an alternative to some of the deep cuts in education</w:t>
      </w:r>
      <w:r w:rsidRPr="00AA0D15">
        <w:t xml:space="preserve">, health care, and other important services being made in many states and considered in others.[1] </w:t>
      </w:r>
      <w:r w:rsidRPr="00AA0D15">
        <w:rPr>
          <w:rStyle w:val="StyleUnderline"/>
        </w:rPr>
        <w:t>Another way a state could choose the cut-off for the new bracket would be to structure it to affect only the top 1 percent of taxpayers rather than those above a particular income level. In the typical state, this approach would mean a rate increase on households with taxable incomes greater than about $330,000.</w:t>
      </w:r>
      <w:r w:rsidRPr="00AA0D15">
        <w:t xml:space="preserve"> Because the proportion of households at a given income level varies from state to state, the actual income cut-off would differ by state and could range from $225,000 to more than $600,000. </w:t>
      </w:r>
      <w:r w:rsidRPr="00AA0D15">
        <w:rPr>
          <w:rStyle w:val="StyleUnderline"/>
        </w:rPr>
        <w:t xml:space="preserve">An additional 1 percent tax levied on the top 1 percent of households in states with income taxes would </w:t>
      </w:r>
      <w:r w:rsidRPr="00AA0D15">
        <w:rPr>
          <w:rStyle w:val="Emphasis"/>
        </w:rPr>
        <w:t xml:space="preserve">raise over $8 billion nationwide. </w:t>
      </w:r>
      <w:r w:rsidRPr="00AA0D15">
        <w:t xml:space="preserve">Revenue Plus Economic Benefits </w:t>
      </w:r>
      <w:r w:rsidRPr="00AA0D15">
        <w:rPr>
          <w:rStyle w:val="StyleUnderline"/>
        </w:rPr>
        <w:t xml:space="preserve">An advantage of high-end income tax rate increases is that they not only produce revenue that can help close budget gaps, but also </w:t>
      </w:r>
      <w:r w:rsidRPr="00AA0D15">
        <w:rPr>
          <w:rStyle w:val="Emphasis"/>
        </w:rPr>
        <w:t>close those gaps in a way that is not harmful to a state’s economy r</w:t>
      </w:r>
      <w:r w:rsidRPr="00AA0D15">
        <w:rPr>
          <w:rStyle w:val="StyleUnderline"/>
        </w:rPr>
        <w:t xml:space="preserve">elative to relying solely on cuts in government spending. </w:t>
      </w:r>
      <w:r w:rsidRPr="00AA0D15">
        <w:t xml:space="preserve">In a paper written at the start of the last recession, </w:t>
      </w:r>
      <w:r w:rsidRPr="00AA0D15">
        <w:rPr>
          <w:rStyle w:val="StyleUnderline"/>
        </w:rPr>
        <w:t>Nobel prize-winning MIT economist</w:t>
      </w:r>
      <w:r w:rsidRPr="00AA0D15">
        <w:t xml:space="preserve"> Joseph </w:t>
      </w:r>
      <w:r w:rsidRPr="00AA0D15">
        <w:rPr>
          <w:rStyle w:val="StyleUnderline"/>
        </w:rPr>
        <w:t>Stiglitz and</w:t>
      </w:r>
      <w:r w:rsidRPr="00AA0D15">
        <w:t xml:space="preserve"> Peter </w:t>
      </w:r>
      <w:r w:rsidRPr="00AA0D15">
        <w:rPr>
          <w:rStyle w:val="StyleUnderline"/>
        </w:rPr>
        <w:t>Orszag</w:t>
      </w:r>
      <w:r w:rsidRPr="00AA0D15">
        <w:t xml:space="preserve"> — then a Brookings Institution economist, now director of the federal Office of Management and Budget — </w:t>
      </w:r>
      <w:r w:rsidRPr="00AA0D15">
        <w:rPr>
          <w:rStyle w:val="StyleUnderline"/>
        </w:rPr>
        <w:t>concluded that tax increases on higher-income families are preferable for closing state fiscal deficits in the short run</w:t>
      </w:r>
      <w:r w:rsidRPr="00AA0D15">
        <w:t xml:space="preserve">.[2] They reasoned that reductions in government spending on goods and services, or in transfer payments to lower-income families, take money out of circulation and, as a result, reduce demand in the overall economy. By contrast, </w:t>
      </w:r>
      <w:r w:rsidRPr="00AA0D15">
        <w:rPr>
          <w:rStyle w:val="StyleUnderline"/>
        </w:rPr>
        <w:t>when taxes are increased on the wealthiest households</w:t>
      </w:r>
      <w:r w:rsidRPr="00AA0D15">
        <w:t xml:space="preserve">, </w:t>
      </w:r>
      <w:r w:rsidRPr="00AA0D15">
        <w:rPr>
          <w:rStyle w:val="StyleUnderline"/>
        </w:rPr>
        <w:t xml:space="preserve">the impact on the economy is not </w:t>
      </w:r>
      <w:r w:rsidRPr="00AA0D15">
        <w:t xml:space="preserve">as </w:t>
      </w:r>
      <w:r w:rsidRPr="00AA0D15">
        <w:rPr>
          <w:rStyle w:val="StyleUnderline"/>
        </w:rPr>
        <w:t xml:space="preserve">great because some of the </w:t>
      </w:r>
      <w:r w:rsidRPr="00AA0D15">
        <w:rPr>
          <w:rStyle w:val="Emphasis"/>
        </w:rPr>
        <w:t xml:space="preserve">additional tax payments will be made from savings rather than from funds that would otherwise be spent. </w:t>
      </w:r>
      <w:r w:rsidRPr="00AA0D15">
        <w:t xml:space="preserve">In addition to the revenue-raising potential and the impact on a state’s economy, </w:t>
      </w:r>
      <w:r w:rsidRPr="00AA0D15">
        <w:rPr>
          <w:rStyle w:val="StyleUnderline"/>
        </w:rPr>
        <w:t xml:space="preserve">there are a number of reasons why states should consider upper-bracket income tax increases </w:t>
      </w:r>
      <w:r w:rsidRPr="00AA0D15">
        <w:t>during the current fiscal crisis.</w:t>
      </w:r>
      <w:r w:rsidRPr="00AA0D15">
        <w:rPr>
          <w:rStyle w:val="StyleUnderline"/>
        </w:rPr>
        <w:t xml:space="preserve"> Help now and later</w:t>
      </w:r>
      <w:r w:rsidRPr="00AA0D15">
        <w:t xml:space="preserve">: The new rate structure could be used to address both the shortfalls that have developed in current fiscal year budgets and the gaps that loom next year because an increase enacted before the end of the fiscal year can take effect in time to produce some revenue very quickly. </w:t>
      </w:r>
      <w:r w:rsidRPr="00AA0D15">
        <w:rPr>
          <w:rStyle w:val="StyleUnderline"/>
        </w:rPr>
        <w:t>Easy to administer: Because it is based on the existing personal income tax system, little would be required than to change withholding tables and inform employers. Deductibility advantage</w:t>
      </w:r>
      <w:r w:rsidRPr="00AA0D15">
        <w:t xml:space="preserve">: </w:t>
      </w:r>
      <w:r w:rsidRPr="00AA0D15">
        <w:rPr>
          <w:rStyle w:val="StyleUnderline"/>
        </w:rPr>
        <w:t xml:space="preserve">State income taxes are deductible on the federal tax returns of taxpayers who itemize. For those taxpayers, the </w:t>
      </w:r>
      <w:r w:rsidRPr="00AA0D15">
        <w:rPr>
          <w:rStyle w:val="Emphasis"/>
        </w:rPr>
        <w:t>cost of an income tax increase</w:t>
      </w:r>
      <w:r w:rsidRPr="00AA0D15">
        <w:rPr>
          <w:rStyle w:val="StyleUnderline"/>
        </w:rPr>
        <w:t xml:space="preserve"> is partially </w:t>
      </w:r>
      <w:r w:rsidRPr="00AA0D15">
        <w:rPr>
          <w:rStyle w:val="Emphasis"/>
        </w:rPr>
        <w:t>offset by a corresponding decrease in federal tax obligation</w:t>
      </w:r>
      <w:r w:rsidRPr="00AA0D15">
        <w:t xml:space="preserve">. For example, </w:t>
      </w:r>
      <w:r w:rsidRPr="00AA0D15">
        <w:rPr>
          <w:rStyle w:val="StyleUnderline"/>
        </w:rPr>
        <w:t>someone who is in the top federal income tax bracket</w:t>
      </w:r>
      <w:r w:rsidRPr="00AA0D15">
        <w:t xml:space="preserve">, for which the marginal rate is currently 35 percent, </w:t>
      </w:r>
      <w:r w:rsidRPr="00AA0D15">
        <w:rPr>
          <w:rStyle w:val="StyleUnderline"/>
        </w:rPr>
        <w:t>receives a 35-cent federal tax cut for every additional $1 in state income tax.</w:t>
      </w:r>
      <w:r w:rsidRPr="00AA0D15">
        <w:t xml:space="preserve"> So </w:t>
      </w:r>
      <w:r w:rsidRPr="00AA0D15">
        <w:rPr>
          <w:rStyle w:val="StyleUnderline"/>
        </w:rPr>
        <w:t>if the taxpayer’s state income tax were increased by $5,000, he or she could receive a federal tax cut of $1,750, and so in effect pay a net increase of just $3,250</w:t>
      </w:r>
      <w:r w:rsidRPr="00AA0D15">
        <w:t xml:space="preserve">, even as the state government receives the full $5,000 in revenue. Note that this benefit is negated for those taxpayers affected by the federal alternative minimum tax, a group that includes many households with incomes between $200,000 and $500,000 but a minority of those households that would be most affected by a new top rate on incomes of $500,000 to $1 million and above.[3] </w:t>
      </w:r>
      <w:r w:rsidRPr="00AA0D15">
        <w:rPr>
          <w:rStyle w:val="StyleUnderline"/>
        </w:rPr>
        <w:t>Respond to income inequality :</w:t>
      </w:r>
      <w:r w:rsidRPr="00AA0D15">
        <w:t xml:space="preserve"> Adding new rates for the highest income households results in tax increases only on those that are in the best position to afford it: The </w:t>
      </w:r>
      <w:r w:rsidRPr="00AA0D15">
        <w:rPr>
          <w:rStyle w:val="StyleUnderline"/>
        </w:rPr>
        <w:t>high</w:t>
      </w:r>
      <w:r w:rsidRPr="00AA0D15">
        <w:t xml:space="preserve">-income families that benefited most from the economic expansion of the past 30 years. The income of households in the top tenth of the income scale more than tripled between 1977 and 2006. At the same time, the incomes of the remaining 90 percent of households barely grew — increasing by only 10 percent over those 30 years. High-income households also enjoyed the largest windfalls from cuts in many states’ income taxes dating to the 1990s and in federal taxes over the past eight years. In fact, just in the last decade the gaps between the richest and poorest families have grown dramatically. From the late 1990s through the mid-2000s, income among the nation’s richest 5 percent of families grew by more than 15 percent, while the poorest 20 percent of families saw their incomes decline by 2.5 percent. During this period, gaps between the wealthiest fifth of families and the poorest fifth of families widened significantly in 19 states. In no state did the bottom fifth grow significantly faster than the top fifth. [4] </w:t>
      </w:r>
      <w:r w:rsidRPr="00AA0D15">
        <w:rPr>
          <w:rStyle w:val="StyleUnderline"/>
        </w:rPr>
        <w:t>According to data from the Federal Reserve Board</w:t>
      </w:r>
      <w:r w:rsidRPr="00AA0D15">
        <w:t xml:space="preserve">, in 2007 </w:t>
      </w:r>
      <w:r w:rsidRPr="00AA0D15">
        <w:rPr>
          <w:rStyle w:val="StyleUnderline"/>
        </w:rPr>
        <w:t>the richest 1 percent of households held 26.2 percent of total wealth in the United States.</w:t>
      </w:r>
      <w:r w:rsidRPr="00AA0D15">
        <w:t xml:space="preserve"> And in 2006, 21.4 percent of total income went to this same small group of families.[5] Not since 1928 has the top 1 percent held such a large share of the nation’s income.[6]</w:t>
      </w:r>
    </w:p>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Tax hikes increase revenues by billions and solve economy --- expert consensus</w:t>
      </w:r>
    </w:p>
    <w:p w:rsidR="00C47278" w:rsidRPr="00AA0D15" w:rsidRDefault="00C47278" w:rsidP="00C47278">
      <w:r w:rsidRPr="007C2097">
        <w:rPr>
          <w:rStyle w:val="Style13ptBold"/>
        </w:rPr>
        <w:t>Cohen 2015</w:t>
      </w:r>
      <w:r w:rsidRPr="00AA0D15">
        <w:rPr>
          <w:b/>
        </w:rPr>
        <w:t xml:space="preserve"> </w:t>
      </w:r>
      <w:r w:rsidRPr="00AA0D15">
        <w:t>--- New York Times journalist. (PATRICIA COHEN, Oct 16, “What Could Raising Taxes on the 1% Do? Surprising Amounts”, https://www.nytimes.com/2015/10/17/business/putting-numbers-to-a-tax-increase-for-the-rich.html)//ET</w:t>
      </w:r>
    </w:p>
    <w:p w:rsidR="00C47278" w:rsidRPr="00AA0D15" w:rsidRDefault="00C47278" w:rsidP="00C47278">
      <w:pPr>
        <w:rPr>
          <w:sz w:val="14"/>
        </w:rPr>
      </w:pPr>
      <w:r w:rsidRPr="00AA0D15">
        <w:rPr>
          <w:sz w:val="14"/>
        </w:rPr>
        <w:t xml:space="preserve">But </w:t>
      </w:r>
      <w:r w:rsidRPr="00AA0D15">
        <w:rPr>
          <w:rStyle w:val="StyleUnderline"/>
        </w:rPr>
        <w:t>what could a tax-the-rich plan actually achieve</w:t>
      </w:r>
      <w:r w:rsidRPr="00AA0D15">
        <w:rPr>
          <w:sz w:val="14"/>
        </w:rPr>
        <w:t xml:space="preserve">? As it turns out, </w:t>
      </w:r>
      <w:r w:rsidRPr="00AA0D15">
        <w:rPr>
          <w:rStyle w:val="Emphasis"/>
        </w:rPr>
        <w:t>quite a lot, experts say.</w:t>
      </w:r>
      <w:r w:rsidRPr="00AA0D15">
        <w:rPr>
          <w:sz w:val="14"/>
        </w:rPr>
        <w:t xml:space="preserve"> Given the gains that have flowed to those at the tip of the income pyramid in recent decades, </w:t>
      </w:r>
      <w:r w:rsidRPr="00AA0D15">
        <w:rPr>
          <w:rStyle w:val="StyleUnderline"/>
        </w:rPr>
        <w:t>several economists have been making the case that the government could raise large amounts of revenue exclusively from this small group</w:t>
      </w:r>
      <w:r w:rsidRPr="00AA0D15">
        <w:rPr>
          <w:sz w:val="14"/>
        </w:rPr>
        <w:t xml:space="preserve">, </w:t>
      </w:r>
      <w:r w:rsidRPr="00AA0D15">
        <w:rPr>
          <w:rStyle w:val="StyleUnderline"/>
        </w:rPr>
        <w:t>while still allowing them to take home a majority of their income. It is “absurd” to argue that most wealth at the top is already highly taxed or that there isn’t much more revenue to be had by raising taxes on the 1 percent,</w:t>
      </w:r>
      <w:r w:rsidRPr="00AA0D15">
        <w:rPr>
          <w:sz w:val="14"/>
        </w:rPr>
        <w:t xml:space="preserve"> says the economist Joseph E. Stiglitz, winner of the Nobel in economic science, who has written extensively about inequality. </w:t>
      </w:r>
      <w:r w:rsidRPr="00AA0D15">
        <w:rPr>
          <w:rStyle w:val="StyleUnderline"/>
        </w:rPr>
        <w:t xml:space="preserve">“The </w:t>
      </w:r>
      <w:r w:rsidRPr="00AA0D15">
        <w:rPr>
          <w:rStyle w:val="Emphasis"/>
        </w:rPr>
        <w:t>only upside</w:t>
      </w:r>
      <w:r w:rsidRPr="00AA0D15">
        <w:rPr>
          <w:rStyle w:val="StyleUnderline"/>
        </w:rPr>
        <w:t xml:space="preserve"> of the concentration of the wealth at the top is that they have more money to pay in taxes</w:t>
      </w:r>
      <w:r w:rsidRPr="00AA0D15">
        <w:rPr>
          <w:sz w:val="14"/>
        </w:rPr>
        <w:t xml:space="preserve">,” he said. The top 1 percent on average already pay roughly a third of their incomes to the federal government, according to a Treasury Department analysis that takes into account the entire menu of taxes — including income tax, payroll taxes that fund Medicare and Social Security, estate and gift taxes, excise and custom duties as well as investors’ share of corporate taxes. The tax bite on the top 0.1 percent is a bit higher. Most of those taxpayers insist they are already paying more than enough. By comparison, the band of taxpayers right below them, in the 95th to 99th percentile, pay on average about $1 out of every $4. Those in the bottom half pay less than $1 out of every $10. </w:t>
      </w:r>
      <w:r w:rsidRPr="00AA0D15">
        <w:rPr>
          <w:rStyle w:val="StyleUnderline"/>
        </w:rPr>
        <w:t>Sidestepping for the moment the messy question of just which taxes would be increased, how much more revenue could be generated by asking the rich to pay a larger share of their income in taxes? To get the most accurate picture possible</w:t>
      </w:r>
      <w:r w:rsidRPr="00AA0D15">
        <w:rPr>
          <w:sz w:val="14"/>
        </w:rPr>
        <w:t xml:space="preserve">, throw in all the scraps of income, from the most obvious (like wages, interest and dividends) to the least (like employer contributions to health plans, overseas earnings and growth in retirement accounts). According to that measure — used </w:t>
      </w:r>
      <w:r w:rsidRPr="00AA0D15">
        <w:rPr>
          <w:rStyle w:val="StyleUnderline"/>
        </w:rPr>
        <w:t>by the Tax Policy Center</w:t>
      </w:r>
      <w:r w:rsidRPr="00AA0D15">
        <w:rPr>
          <w:sz w:val="14"/>
        </w:rPr>
        <w:t xml:space="preserve">, a joint project of the Urban Institute and the Brookings Institution — </w:t>
      </w:r>
      <w:r w:rsidRPr="00AA0D15">
        <w:rPr>
          <w:rStyle w:val="StyleUnderline"/>
        </w:rPr>
        <w:t>the top 1 percent includes about 1.13 million households earning an average income of $2.1 million. Raising their total tax burden to, say, 40 percent would generate about $</w:t>
      </w:r>
      <w:r w:rsidRPr="00AA0D15">
        <w:rPr>
          <w:rStyle w:val="Emphasis"/>
        </w:rPr>
        <w:t>157 billion in revenue</w:t>
      </w:r>
      <w:r w:rsidRPr="00AA0D15">
        <w:rPr>
          <w:rStyle w:val="StyleUnderline"/>
        </w:rPr>
        <w:t xml:space="preserve"> </w:t>
      </w:r>
      <w:r w:rsidRPr="00AA0D15">
        <w:rPr>
          <w:sz w:val="14"/>
        </w:rPr>
        <w:t xml:space="preserve">the first year. Increasing it to 45 percent brings in a whopping $276 billion. Even taking account of state and local taxes, </w:t>
      </w:r>
      <w:r w:rsidRPr="00AA0D15">
        <w:rPr>
          <w:rStyle w:val="StyleUnderline"/>
        </w:rPr>
        <w:t>the average household in this group would still take home at least $1 million a year. If the tax increase were limited to just the 115,000 households</w:t>
      </w:r>
      <w:r w:rsidRPr="00AA0D15">
        <w:rPr>
          <w:sz w:val="14"/>
        </w:rPr>
        <w:t xml:space="preserve"> in the top 0.1 percent, </w:t>
      </w:r>
      <w:r w:rsidRPr="00AA0D15">
        <w:rPr>
          <w:rStyle w:val="StyleUnderline"/>
        </w:rPr>
        <w:t xml:space="preserve">with an average income of $9.4 million, a 40 percent tax rate would produce $55 billion in extra revenue in its first year. </w:t>
      </w:r>
      <w:r w:rsidRPr="00AA0D15">
        <w:rPr>
          <w:sz w:val="14"/>
        </w:rPr>
        <w:t xml:space="preserve">That would more than cover, for example, the estimated $47 billion cost of eliminating undergraduate tuition at all the country’s four-year public colleges and universities, as Senator Bernie Sanders has proposed, or Mrs. Clinton’s cheaper plan for a debt-free college degree, with money left over to help fund universal prekindergarten. A tax rate of 45 percent on this select group raises $109 billion, more than enough to pay for the first year of a new $2,500 child tax credit introduced by Senator Marco Rubio, Republican of Florida. Move a rung down the ladder and expand the contribution of those in the 95th to 99th percentile — who earn on average $405,000. Raising their total tax rate to 30 percent from a quarter of their total yearly income would generate an additional $86 billion. That’s enough to cover the cost over eight years of repealing the so-called Cadillac Tax on high-cost health plans, which Senator Sanders and Mrs. Clinton have endorsed. A 35 percent share produces $176 billion — roughly the amount that the Federal Highway Administration has estimated is needed each year to improve conditions significantly on major urban highways. Alternatively, those tax increases could be used to help reduce government borrowing: Some combination of those raises could go a long way toward wiping out this year’s estimated federal deficit of $426 billion. Higher Incomes, Higher Taxes Taking all federal taxes into account, the richest taxpayers contribute, on average, about a third of their income to the government. But they still enjoy after-tax incomes far higher than those of other Americans. </w:t>
      </w:r>
      <w:r w:rsidRPr="00AA0D15">
        <w:rPr>
          <w:rStyle w:val="Emphasis"/>
        </w:rPr>
        <w:t>“Most economists today would agree that raising taxes modestly would bring in more revenue</w:t>
      </w:r>
      <w:r w:rsidRPr="00AA0D15">
        <w:rPr>
          <w:sz w:val="14"/>
        </w:rPr>
        <w:t xml:space="preserve">” </w:t>
      </w:r>
      <w:r w:rsidRPr="00AA0D15">
        <w:rPr>
          <w:rStyle w:val="StyleUnderline"/>
        </w:rPr>
        <w:t>without doing any serious damage to the economy,</w:t>
      </w:r>
      <w:r w:rsidRPr="00AA0D15">
        <w:rPr>
          <w:sz w:val="14"/>
        </w:rPr>
        <w:t xml:space="preserve"> said Roberton Williams, a fellow at the Tax Policy Center. The big question is how much is too much, because at some point, higher tax rates would discourage extra investment and work.</w:t>
      </w:r>
    </w:p>
    <w:p w:rsidR="00C47278" w:rsidRPr="00AA0D15" w:rsidRDefault="00C47278" w:rsidP="00C47278">
      <w:pPr>
        <w:pStyle w:val="Heading4"/>
        <w:rPr>
          <w:rFonts w:cs="Times New Roman"/>
        </w:rPr>
      </w:pPr>
      <w:r w:rsidRPr="00AA0D15">
        <w:rPr>
          <w:rFonts w:cs="Times New Roman"/>
        </w:rPr>
        <w:t>Empirical evidence proves small hikes produce massive budget increases</w:t>
      </w:r>
    </w:p>
    <w:p w:rsidR="00C47278" w:rsidRPr="00AA0D15" w:rsidRDefault="00C47278" w:rsidP="00C47278">
      <w:r w:rsidRPr="007C2097">
        <w:rPr>
          <w:rStyle w:val="Style13ptBold"/>
        </w:rPr>
        <w:t>Ebeling 2016</w:t>
      </w:r>
      <w:r w:rsidRPr="00AA0D15">
        <w:rPr>
          <w:b/>
        </w:rPr>
        <w:t xml:space="preserve"> </w:t>
      </w:r>
      <w:r w:rsidRPr="00AA0D15">
        <w:t>--- associate editor at Forbes. (Ashlea Ebeling, Nov 10, “Voters Okay State Income Tax Hikes For The Rich”, https://www.forbes.com/sites/ashleaebeling/2016/11/10/voters-okay-state-income-tax-hikes-for-the-rich/#6dd16643624e)//ET</w:t>
      </w:r>
    </w:p>
    <w:p w:rsidR="00C47278" w:rsidRPr="00AA0D15" w:rsidRDefault="00C47278" w:rsidP="00C47278">
      <w:r w:rsidRPr="00AA0D15">
        <w:t xml:space="preserve">The </w:t>
      </w:r>
      <w:r w:rsidRPr="00AA0D15">
        <w:rPr>
          <w:rStyle w:val="StyleUnderline"/>
        </w:rPr>
        <w:t>Maine</w:t>
      </w:r>
      <w:r w:rsidRPr="00AA0D15">
        <w:t xml:space="preserve"> initiative, Question 2, asked: “Do you want to add a 3</w:t>
      </w:r>
      <w:r w:rsidRPr="00AA0D15">
        <w:rPr>
          <w:rStyle w:val="StyleUnderline"/>
        </w:rPr>
        <w:t>% tax on individual Maine income above $200,00</w:t>
      </w:r>
      <w:r w:rsidRPr="00AA0D15">
        <w:t xml:space="preserve">0 to create a state fund that would provide direct support for student learning in kindergarten through 12th grade public education?” Originally it was worded as “surtax” but the wording was changed to make it sound like the real thing. The changes will go into effect on Jan. 1, 2017 for the 2017 tax year, and </w:t>
      </w:r>
      <w:r w:rsidRPr="00AA0D15">
        <w:rPr>
          <w:rStyle w:val="StyleUnderline"/>
        </w:rPr>
        <w:t xml:space="preserve">the provision is expected to raise $157 million in the first year. </w:t>
      </w:r>
      <w:r w:rsidRPr="00AA0D15">
        <w:t xml:space="preserve">The </w:t>
      </w:r>
      <w:r w:rsidRPr="00AA0D15">
        <w:rPr>
          <w:rStyle w:val="StyleUnderline"/>
        </w:rPr>
        <w:t>California</w:t>
      </w:r>
      <w:r w:rsidRPr="00AA0D15">
        <w:t xml:space="preserve"> vote was against a backdrop of temporary tax hikes already in place. California voters, with </w:t>
      </w:r>
      <w:r w:rsidRPr="00AA0D15">
        <w:rPr>
          <w:rStyle w:val="StyleUnderline"/>
        </w:rPr>
        <w:t>Proposition</w:t>
      </w:r>
      <w:r w:rsidRPr="00AA0D15">
        <w:t xml:space="preserve"> 30, approved in November 2012 and made retroactive to January 1 of that year, </w:t>
      </w:r>
      <w:r w:rsidRPr="00AA0D15">
        <w:rPr>
          <w:rStyle w:val="StyleUnderline"/>
        </w:rPr>
        <w:t>raised income taxes</w:t>
      </w:r>
      <w:r w:rsidRPr="00AA0D15">
        <w:t xml:space="preserve"> on $250,000-plus earners through 2018. Proposition 55 extends those tax hikes (with the top 13.3% rate for $1 million-plus earners) for another 12 years, through 2030. Otherwise, the top rate would have fallen back to 10.3%. </w:t>
      </w:r>
      <w:r w:rsidRPr="00AA0D15">
        <w:rPr>
          <w:rStyle w:val="StyleUnderline"/>
        </w:rPr>
        <w:t>The increased state revenue projections range from $4 billion to $9 billion</w:t>
      </w:r>
      <w:r w:rsidRPr="00AA0D15">
        <w:t xml:space="preserve"> </w:t>
      </w:r>
      <w:r w:rsidRPr="00AA0D15">
        <w:rPr>
          <w:rStyle w:val="Emphasis"/>
        </w:rPr>
        <w:t>each year</w:t>
      </w:r>
      <w:r w:rsidRPr="00AA0D15">
        <w:t xml:space="preserve"> from 2019 through 2030, </w:t>
      </w:r>
      <w:r w:rsidRPr="00AA0D15">
        <w:rPr>
          <w:rStyle w:val="StyleUnderline"/>
        </w:rPr>
        <w:t xml:space="preserve">with the money </w:t>
      </w:r>
      <w:r w:rsidRPr="00AA0D15">
        <w:rPr>
          <w:rStyle w:val="Emphasis"/>
        </w:rPr>
        <w:t>earmarked</w:t>
      </w:r>
      <w:r w:rsidRPr="00AA0D15">
        <w:rPr>
          <w:rStyle w:val="StyleUnderline"/>
        </w:rPr>
        <w:t xml:space="preserve"> for </w:t>
      </w:r>
      <w:r w:rsidRPr="00AA0D15">
        <w:rPr>
          <w:rStyle w:val="Emphasis"/>
        </w:rPr>
        <w:t>education</w:t>
      </w:r>
      <w:r w:rsidRPr="00AA0D15">
        <w:t xml:space="preserve"> and healthcare.</w:t>
      </w:r>
    </w:p>
    <w:p w:rsidR="00C47278" w:rsidRPr="00AA0D15" w:rsidRDefault="00C47278" w:rsidP="00C47278">
      <w:pPr>
        <w:pStyle w:val="Heading4"/>
        <w:rPr>
          <w:rFonts w:cs="Times New Roman"/>
        </w:rPr>
      </w:pPr>
      <w:r w:rsidRPr="00AA0D15">
        <w:rPr>
          <w:rFonts w:cs="Times New Roman"/>
        </w:rPr>
        <w:t>Tax hikes solve --- reports confirm produces 8 billion in revenue</w:t>
      </w:r>
    </w:p>
    <w:p w:rsidR="00C47278" w:rsidRPr="00AA0D15" w:rsidRDefault="00C47278" w:rsidP="00C47278">
      <w:r w:rsidRPr="007C2097">
        <w:rPr>
          <w:rStyle w:val="Style13ptBold"/>
        </w:rPr>
        <w:t>Brunori 9</w:t>
      </w:r>
      <w:r w:rsidRPr="00AA0D15">
        <w:t xml:space="preserve"> </w:t>
      </w:r>
      <w:r w:rsidRPr="00AA0D15">
        <w:rPr>
          <w:b/>
        </w:rPr>
        <w:t xml:space="preserve">--- </w:t>
      </w:r>
      <w:r w:rsidRPr="00AA0D15">
        <w:t>research professor at George Washington University with a MA in political science.</w:t>
      </w:r>
      <w:r w:rsidRPr="00AA0D15">
        <w:rPr>
          <w:b/>
        </w:rPr>
        <w:t xml:space="preserve"> </w:t>
      </w:r>
      <w:r w:rsidRPr="00AA0D15">
        <w:t>(David Brunori, Jul 2, “States Should Raise Income Taxes to Solve Their Budget Problems”, http://www.taxanalysts.org/tax-analysts-blog/states-should-raise-income-taxes-solve-their-budget-problems/2009/07/02/172671)//ET</w:t>
      </w:r>
    </w:p>
    <w:p w:rsidR="00C47278" w:rsidRPr="00AA0D15" w:rsidRDefault="00C47278" w:rsidP="00C47278">
      <w:pPr>
        <w:rPr>
          <w:sz w:val="14"/>
        </w:rPr>
      </w:pPr>
      <w:r w:rsidRPr="00AA0D15">
        <w:rPr>
          <w:sz w:val="14"/>
        </w:rPr>
        <w:t xml:space="preserve">New Jersey's personal income taxes went up yesterday. Married couples and single filers will pay an 8 percent rate on income earned from $400,000 to $500,000 -- up from the 6.37 percent rate. The rate on income from $500,000 to $1 million will now be 10.25 percent, up from 8.97 percent. And income earned over the million dollar mark will now be taxed at a 10.75 percent rate. That is the second highest rate in the nation behind Hawaii. Folks making more than $250,000 will also lose their property tax deduction next year. The income tax changes will raise about $1 billion of badly needed extra revenue. </w:t>
      </w:r>
      <w:r w:rsidRPr="00AA0D15">
        <w:rPr>
          <w:rStyle w:val="StyleUnderline"/>
        </w:rPr>
        <w:t xml:space="preserve">New Jersey did the right thing by raising its income tax on the state's wealthiest citizens. </w:t>
      </w:r>
      <w:r w:rsidRPr="00AA0D15">
        <w:rPr>
          <w:sz w:val="14"/>
        </w:rPr>
        <w:t xml:space="preserve">Maryland, New York, California, Connecticut, and Vermont have already raised income taxes this year, mostly on their richest residents. This is smart. </w:t>
      </w:r>
      <w:r w:rsidRPr="00AA0D15">
        <w:rPr>
          <w:rStyle w:val="Emphasis"/>
        </w:rPr>
        <w:t>Income taxes are fairer than regressive sales and excise taxes</w:t>
      </w:r>
      <w:r w:rsidRPr="00AA0D15">
        <w:rPr>
          <w:sz w:val="14"/>
        </w:rPr>
        <w:t xml:space="preserve">. And </w:t>
      </w:r>
      <w:r w:rsidRPr="00AA0D15">
        <w:rPr>
          <w:rStyle w:val="StyleUnderline"/>
        </w:rPr>
        <w:t xml:space="preserve">income tax increases can </w:t>
      </w:r>
      <w:r w:rsidRPr="00AA0D15">
        <w:rPr>
          <w:rStyle w:val="Emphasis"/>
        </w:rPr>
        <w:t>raise real money</w:t>
      </w:r>
      <w:r w:rsidRPr="00AA0D15">
        <w:rPr>
          <w:rStyle w:val="StyleUnderline"/>
        </w:rPr>
        <w:t xml:space="preserve"> to address real budget problems</w:t>
      </w:r>
      <w:r w:rsidRPr="00AA0D15">
        <w:rPr>
          <w:sz w:val="14"/>
        </w:rPr>
        <w:t xml:space="preserve">. Expanded gambling and cigarette taxes can't. You should read the </w:t>
      </w:r>
      <w:r w:rsidRPr="00AA0D15">
        <w:rPr>
          <w:rStyle w:val="StyleUnderline"/>
        </w:rPr>
        <w:t>Center on Budget and Policy Priorities'</w:t>
      </w:r>
      <w:r w:rsidRPr="00AA0D15">
        <w:rPr>
          <w:sz w:val="14"/>
        </w:rPr>
        <w:t xml:space="preserve"> April 20 report, "</w:t>
      </w:r>
      <w:r w:rsidRPr="00AA0D15">
        <w:rPr>
          <w:rStyle w:val="StyleUnderline"/>
        </w:rPr>
        <w:t>Raising State Income Taxes on High-Income Taxpayers</w:t>
      </w:r>
      <w:r w:rsidRPr="00AA0D15">
        <w:rPr>
          <w:sz w:val="14"/>
        </w:rPr>
        <w:t xml:space="preserve">." The CBPP says that raising income taxes on the wealthiest citizens </w:t>
      </w:r>
      <w:r w:rsidRPr="00AA0D15">
        <w:rPr>
          <w:rStyle w:val="StyleUnderline"/>
        </w:rPr>
        <w:t xml:space="preserve">can help close budget deficits. </w:t>
      </w:r>
      <w:r w:rsidRPr="00AA0D15">
        <w:rPr>
          <w:sz w:val="14"/>
        </w:rPr>
        <w:t xml:space="preserve">Indeed, the </w:t>
      </w:r>
      <w:r w:rsidRPr="00AA0D15">
        <w:rPr>
          <w:rStyle w:val="StyleUnderline"/>
        </w:rPr>
        <w:t>report says that raising the personal income tax 1 percentage point on households making more than $500,000</w:t>
      </w:r>
      <w:r w:rsidRPr="00AA0D15">
        <w:rPr>
          <w:sz w:val="14"/>
        </w:rPr>
        <w:t xml:space="preserve"> </w:t>
      </w:r>
      <w:r w:rsidRPr="00AA0D15">
        <w:rPr>
          <w:rStyle w:val="StyleUnderline"/>
        </w:rPr>
        <w:t xml:space="preserve">would raise a </w:t>
      </w:r>
      <w:r w:rsidRPr="00AA0D15">
        <w:rPr>
          <w:rStyle w:val="Emphasis"/>
        </w:rPr>
        <w:t>whopping $8 billion nationwide.</w:t>
      </w:r>
      <w:r w:rsidRPr="00AA0D15">
        <w:rPr>
          <w:sz w:val="14"/>
        </w:rPr>
        <w:t xml:space="preserve"> The CBPP maintains that raising taxes on the really rich is less harmful to the economy than cutting services. The CBPP is right, of course</w:t>
      </w:r>
      <w:r w:rsidRPr="00AA0D15">
        <w:rPr>
          <w:rStyle w:val="StyleUnderline"/>
        </w:rPr>
        <w:t>. There's nothing unfair about closing budget deficits by enacting a little tax increase on a guy making $500,</w:t>
      </w:r>
      <w:r w:rsidRPr="00AA0D15">
        <w:rPr>
          <w:sz w:val="14"/>
        </w:rPr>
        <w:t xml:space="preserve">000. The people subject to the tax are making more than 99 percent of the population. Call me a big fat liberal, but using that extra tax revenue to support services for the unemployed family needing healthcare and education doesn't bother me one iota. </w:t>
      </w:r>
    </w:p>
    <w:p w:rsidR="00C47278" w:rsidRPr="00AA0D15" w:rsidRDefault="00C47278" w:rsidP="00C47278">
      <w:pPr>
        <w:pStyle w:val="Heading3"/>
        <w:rPr>
          <w:rFonts w:cs="Times New Roman"/>
        </w:rPr>
      </w:pPr>
      <w:r w:rsidRPr="00AA0D15">
        <w:rPr>
          <w:rFonts w:cs="Times New Roman"/>
        </w:rPr>
        <w:t>AT rich people move</w:t>
      </w:r>
    </w:p>
    <w:p w:rsidR="00C47278" w:rsidRPr="00AA0D15" w:rsidRDefault="00C47278" w:rsidP="00C47278">
      <w:pPr>
        <w:pStyle w:val="Heading4"/>
        <w:rPr>
          <w:rFonts w:cs="Times New Roman"/>
        </w:rPr>
      </w:pPr>
      <w:r w:rsidRPr="00AA0D15">
        <w:rPr>
          <w:rFonts w:cs="Times New Roman"/>
        </w:rPr>
        <w:t>Rich won’t move --- ingrained social ties</w:t>
      </w:r>
    </w:p>
    <w:p w:rsidR="00C47278" w:rsidRPr="00AA0D15" w:rsidRDefault="00C47278" w:rsidP="00C47278">
      <w:r w:rsidRPr="007C2097">
        <w:rPr>
          <w:rStyle w:val="Style13ptBold"/>
        </w:rPr>
        <w:t>Sherter 16</w:t>
      </w:r>
      <w:r w:rsidRPr="00AA0D15">
        <w:rPr>
          <w:b/>
        </w:rPr>
        <w:t xml:space="preserve"> </w:t>
      </w:r>
      <w:r w:rsidRPr="00AA0D15">
        <w:t>--- Journalist at CBS Money Watch. (ALAIN SHERTER, May 26, 2016, “Do higher taxes really drive millionaires to flee?”, CBS. https://publicpolicy.stanford.edu/news/do-higher-taxes-really-drive-millionaires-flee)//ET</w:t>
      </w:r>
    </w:p>
    <w:p w:rsidR="00C47278" w:rsidRPr="00AA0D15" w:rsidRDefault="00C47278" w:rsidP="00C47278">
      <w:pPr>
        <w:rPr>
          <w:rStyle w:val="StyleUnderline"/>
        </w:rPr>
      </w:pPr>
      <w:r w:rsidRPr="00AA0D15">
        <w:t xml:space="preserve">At least that's a common perception when it comes to America's rich, who are seen as being more attached to money than to place. And elements of that narrative are true, notably the near-frictionless flight of capital around the globe these days. But </w:t>
      </w:r>
      <w:r w:rsidRPr="00AA0D15">
        <w:rPr>
          <w:rStyle w:val="StyleUnderline"/>
        </w:rPr>
        <w:t xml:space="preserve">one strand of the story is dead wrong, it turns out: Millionaires in the U.S. are neither likely to pick up stakes nor to flee their state of residence just to lower their taxes. </w:t>
      </w:r>
      <w:r w:rsidRPr="00AA0D15">
        <w:t>"</w:t>
      </w:r>
      <w:r w:rsidRPr="00AA0D15">
        <w:rPr>
          <w:rStyle w:val="StyleUnderline"/>
        </w:rPr>
        <w:t xml:space="preserve">The general impression that top income earners are very geographically mobile is </w:t>
      </w:r>
      <w:r w:rsidRPr="00AA0D15">
        <w:rPr>
          <w:rStyle w:val="Emphasis"/>
        </w:rPr>
        <w:t>really untrue</w:t>
      </w:r>
      <w:r w:rsidRPr="00AA0D15">
        <w:t xml:space="preserve">," said Cristobal Young, a professor of sociology at Stanford University and co-author of a </w:t>
      </w:r>
      <w:r w:rsidRPr="00AA0D15">
        <w:rPr>
          <w:rStyle w:val="StyleUnderline"/>
        </w:rPr>
        <w:t xml:space="preserve">new study that examines whether higher tax rates in one state lead millionaires to decamp for tax-friendlier states. </w:t>
      </w:r>
      <w:r w:rsidRPr="00AA0D15">
        <w:t xml:space="preserve">Young and his fellow researchers -- Charles Varner, a sociologist and an associate director of Stanford's Center on Poverty and Inequality, and Ithai Lurie and Richard Prisinzano, financial economists at the U.S. Department of Treasury -- found that </w:t>
      </w:r>
      <w:r w:rsidRPr="00AA0D15">
        <w:rPr>
          <w:rStyle w:val="StyleUnderline"/>
        </w:rPr>
        <w:t>the six-zero set i</w:t>
      </w:r>
      <w:r w:rsidRPr="00AA0D15">
        <w:t xml:space="preserve">s, in fact, </w:t>
      </w:r>
      <w:r w:rsidRPr="00AA0D15">
        <w:rPr>
          <w:rStyle w:val="Emphasis"/>
        </w:rPr>
        <w:t>less likely</w:t>
      </w:r>
      <w:r w:rsidRPr="00AA0D15">
        <w:t xml:space="preserve"> </w:t>
      </w:r>
      <w:r w:rsidRPr="00AA0D15">
        <w:rPr>
          <w:rStyle w:val="StyleUnderline"/>
        </w:rPr>
        <w:t xml:space="preserve">to migrate to other parts of the country than people lower down the income ladder. </w:t>
      </w:r>
      <w:r w:rsidRPr="00AA0D15">
        <w:t xml:space="preserve">"The most striking finding of this research is how little elites seem willing to move to exploit tax advantages across state lines in the United States," they wrote in the study, published Thursday in the June issue of the American Sociological Review. </w:t>
      </w:r>
      <w:r w:rsidRPr="00AA0D15">
        <w:rPr>
          <w:rStyle w:val="StyleUnderline"/>
        </w:rPr>
        <w:t>A number of U.S. states</w:t>
      </w:r>
      <w:r w:rsidRPr="00AA0D15">
        <w:t xml:space="preserve">, their coffers drained by the recession, </w:t>
      </w:r>
      <w:r w:rsidRPr="00AA0D15">
        <w:rPr>
          <w:rStyle w:val="StyleUnderline"/>
        </w:rPr>
        <w:t>have imposed so-called millionaire taxes to boost revenue</w:t>
      </w:r>
      <w:r w:rsidRPr="00AA0D15">
        <w:t xml:space="preserve">. Globally, some countries have sought to counteract the effects of rising income inequality by lifting taxes on millionaires, while both Hillary Clinton and Sen. Bernie Sanders have proposed hiking rates on top earners. </w:t>
      </w:r>
      <w:r w:rsidRPr="00AA0D15">
        <w:rPr>
          <w:rStyle w:val="StyleUnderline"/>
        </w:rPr>
        <w:t>Opponents</w:t>
      </w:r>
      <w:r w:rsidRPr="00AA0D15">
        <w:t xml:space="preserve"> of these policies </w:t>
      </w:r>
      <w:r w:rsidRPr="00AA0D15">
        <w:rPr>
          <w:rStyle w:val="StyleUnderline"/>
        </w:rPr>
        <w:t>say</w:t>
      </w:r>
      <w:r w:rsidRPr="00AA0D15">
        <w:t xml:space="preserve"> higher </w:t>
      </w:r>
      <w:r w:rsidRPr="00AA0D15">
        <w:rPr>
          <w:rStyle w:val="StyleUnderline"/>
        </w:rPr>
        <w:t xml:space="preserve">tax rates have unintended consequences, driving wealthy people away </w:t>
      </w:r>
      <w:r w:rsidRPr="00AA0D15">
        <w:t xml:space="preserve">and, especially at the state level, reducing revenue and causing fiscal havoc. That was the claim recently when billionaire hedge fund manager David Tepper left New Jersey, which has the fifth-highest state income tax in the nation, and relocated to zero-tax Florida. But Young's </w:t>
      </w:r>
      <w:r w:rsidRPr="00AA0D15">
        <w:rPr>
          <w:rStyle w:val="StyleUnderline"/>
        </w:rPr>
        <w:t xml:space="preserve">research -- which examined the tax records of every U.S. millionaire over </w:t>
      </w:r>
      <w:r w:rsidRPr="00AA0D15">
        <w:rPr>
          <w:rStyle w:val="Emphasis"/>
        </w:rPr>
        <w:t>more than a decade</w:t>
      </w:r>
      <w:r w:rsidRPr="00AA0D15">
        <w:rPr>
          <w:rStyle w:val="StyleUnderline"/>
        </w:rPr>
        <w:t xml:space="preserve">, some 3.7 million filers -- makes clear </w:t>
      </w:r>
      <w:r w:rsidRPr="00AA0D15">
        <w:rPr>
          <w:rStyle w:val="Emphasis"/>
        </w:rPr>
        <w:t>just how rarely millionaires in the U.S. actually move</w:t>
      </w:r>
      <w:r w:rsidRPr="00AA0D15">
        <w:rPr>
          <w:rStyle w:val="StyleUnderline"/>
        </w:rPr>
        <w:t>,</w:t>
      </w:r>
      <w:r w:rsidRPr="00AA0D15">
        <w:t xml:space="preserve"> </w:t>
      </w:r>
      <w:r w:rsidRPr="00AA0D15">
        <w:rPr>
          <w:rStyle w:val="StyleUnderline"/>
        </w:rPr>
        <w:t>whether to take advantage of lower taxes or for any other reason.</w:t>
      </w:r>
      <w:r w:rsidRPr="00AA0D15">
        <w:t xml:space="preserve"> Of the roughly 500,000 households per year that report at least $1 million in income on their tax returns, only 2.4 percent, or 12,000 millionaires, migrate to another state; that compares with 2.9 percent for the population at large. </w:t>
      </w:r>
      <w:r w:rsidRPr="00AA0D15">
        <w:rPr>
          <w:rStyle w:val="StyleUnderline"/>
        </w:rPr>
        <w:t>Of the top income earners who do leave a state</w:t>
      </w:r>
      <w:r w:rsidRPr="00AA0D15">
        <w:t xml:space="preserve">, only a sliver -- </w:t>
      </w:r>
      <w:r w:rsidRPr="00AA0D15">
        <w:rPr>
          <w:rStyle w:val="StyleUnderline"/>
        </w:rPr>
        <w:t>just over 2 percent -- seem to be spurred by a wish to cut their taxes</w:t>
      </w:r>
      <w:r w:rsidRPr="00AA0D15">
        <w:t xml:space="preserve">, according to the study. Why don't more rich people follow Tepper's lead and head to Florida or one of the eight other states in the U.S. that make do without a state income tax? Because </w:t>
      </w:r>
      <w:r w:rsidRPr="00AA0D15">
        <w:rPr>
          <w:rStyle w:val="StyleUnderline"/>
        </w:rPr>
        <w:t xml:space="preserve">for most millionaires, getting and staying rich is </w:t>
      </w:r>
      <w:r w:rsidRPr="00AA0D15">
        <w:rPr>
          <w:rStyle w:val="Emphasis"/>
        </w:rPr>
        <w:t xml:space="preserve">intimately connected to where they live. </w:t>
      </w:r>
      <w:r w:rsidRPr="00AA0D15">
        <w:t xml:space="preserve">Precious professional and social connections, often nurtured over years in a given industry, tend to bind the wealthy to where they live. </w:t>
      </w:r>
      <w:r w:rsidRPr="00AA0D15">
        <w:rPr>
          <w:rStyle w:val="StyleUnderline"/>
        </w:rPr>
        <w:t>So does family, since 90 percent of millionaires are married</w:t>
      </w:r>
      <w:r w:rsidRPr="00AA0D15">
        <w:t xml:space="preserve"> (compared with 58 percent for the general population) and are more likely to have children. Perhaps it's not surprising, then, that millionaires who own a business have a migration rate of only 2 percent, versus 2.6 percent for non-business owners. "</w:t>
      </w:r>
      <w:r w:rsidRPr="00AA0D15">
        <w:rPr>
          <w:rStyle w:val="StyleUnderline"/>
        </w:rPr>
        <w:t>When you reach this level of success, moving to a different state is a disruption</w:t>
      </w:r>
      <w:r w:rsidRPr="00AA0D15">
        <w:t xml:space="preserve">," Young said. He also notes that corporate executives, doctors and other high-paid professionals, who make up the lion's share of millionaires in the U.S., typically reach their maximum income only for a few years. "It's a small window when they're at the peak of their careers, and to make a big, potentially disruptive move is not something that makes a lot of sense." Not that millionaires never fly the coop in search of lower taxes. The study found that in the average state, which on an annual basis has a millionaire population of about 9,000, a 1 percent income tax increase could be expected to result in 23 top earners high-tailing it to a lower-tax state. </w:t>
      </w:r>
      <w:r w:rsidRPr="00AA0D15">
        <w:rPr>
          <w:rStyle w:val="StyleUnderline"/>
        </w:rPr>
        <w:t xml:space="preserve">But </w:t>
      </w:r>
      <w:r w:rsidRPr="00AA0D15">
        <w:rPr>
          <w:rStyle w:val="Emphasis"/>
        </w:rPr>
        <w:t>the vast majority</w:t>
      </w:r>
      <w:r w:rsidRPr="00AA0D15">
        <w:t xml:space="preserve">, </w:t>
      </w:r>
      <w:r w:rsidRPr="00AA0D15">
        <w:rPr>
          <w:rStyle w:val="StyleUnderline"/>
        </w:rPr>
        <w:t xml:space="preserve">tethered to their communities by the same links that tie less wealthy people to their humbler abodes, remain firmly grounded. </w:t>
      </w:r>
      <w:r w:rsidRPr="00AA0D15">
        <w:t xml:space="preserve">It follows, then, that states with higher tax rates don't have fewer millionaires. On the contrary, the state with the highest density of millionaires is Connecticut, which ranks No. 13 in state income taxes (rounding out the top five jurisdictions: the District of Columbia, New York, New Jersey and Massachusetts). The one state that does seem to attract millionaires from higher-tax states is Florida; other low-tax states, such as New Hampshire, Nevada and Texas, don't have that drawing power. What should we make of such findings? First, </w:t>
      </w:r>
      <w:r w:rsidRPr="00AA0D15">
        <w:rPr>
          <w:rStyle w:val="StyleUnderline"/>
        </w:rPr>
        <w:t>the specter of millionaire tax flight is largely a myth.</w:t>
      </w:r>
      <w:r w:rsidRPr="00AA0D15">
        <w:t xml:space="preserve"> </w:t>
      </w:r>
      <w:r w:rsidRPr="00AA0D15">
        <w:rPr>
          <w:rStyle w:val="StyleUnderline"/>
        </w:rPr>
        <w:t xml:space="preserve">That suggests </w:t>
      </w:r>
      <w:r w:rsidRPr="00AA0D15">
        <w:rPr>
          <w:rStyle w:val="Emphasis"/>
        </w:rPr>
        <w:t>state policymakers have little to fear</w:t>
      </w:r>
      <w:r w:rsidRPr="00AA0D15">
        <w:rPr>
          <w:rStyle w:val="StyleUnderline"/>
        </w:rPr>
        <w:t xml:space="preserve"> in raising taxes on the wealthiest Americans as one way to close budget gaps and reduce inequality.</w:t>
      </w:r>
    </w:p>
    <w:p w:rsidR="00C47278" w:rsidRPr="00AA0D15" w:rsidRDefault="00C47278" w:rsidP="00C47278">
      <w:pPr>
        <w:pStyle w:val="Heading4"/>
        <w:rPr>
          <w:rFonts w:cs="Times New Roman"/>
        </w:rPr>
      </w:pPr>
      <w:r w:rsidRPr="00AA0D15">
        <w:rPr>
          <w:rFonts w:cs="Times New Roman"/>
        </w:rPr>
        <w:t>Rich won’t move across state or national lines</w:t>
      </w:r>
    </w:p>
    <w:p w:rsidR="00C47278" w:rsidRPr="00AA0D15" w:rsidRDefault="00C47278" w:rsidP="00C47278">
      <w:r w:rsidRPr="007C2097">
        <w:rPr>
          <w:rStyle w:val="Style13ptBold"/>
        </w:rPr>
        <w:t>Thoma 16</w:t>
      </w:r>
      <w:r w:rsidRPr="00AA0D15">
        <w:rPr>
          <w:b/>
        </w:rPr>
        <w:t xml:space="preserve"> </w:t>
      </w:r>
      <w:r w:rsidRPr="00AA0D15">
        <w:t>--- macroeconomist and time-series econometrician at the University of Oregon. (MARK THOMA, June 1, 2016, “Tax hikes on the wealthy: Good or bad for growth?”, CBS. http://www.cbsnews.com/news/tax-hikes-on-the-wealthy-good-or-bad-for-growth/)//ET</w:t>
      </w:r>
    </w:p>
    <w:p w:rsidR="00C47278" w:rsidRPr="00AA0D15" w:rsidRDefault="00C47278" w:rsidP="00C47278">
      <w:pPr>
        <w:rPr>
          <w:u w:val="single"/>
        </w:rPr>
      </w:pPr>
      <w:r w:rsidRPr="00AA0D15">
        <w:t xml:space="preserve">The wealthy will move to other countries to avoid the tax increase: </w:t>
      </w:r>
      <w:r w:rsidRPr="00AA0D15">
        <w:rPr>
          <w:rStyle w:val="StyleUnderline"/>
        </w:rPr>
        <w:t>A recent study examined the propensity of the rich to move between U.S. states in response to state tax increases.</w:t>
      </w:r>
      <w:r w:rsidRPr="00AA0D15">
        <w:t xml:space="preserve"> The lead author of the study, Cristobal Young of Stanford University, summarized the results by saying, "</w:t>
      </w:r>
      <w:r w:rsidRPr="00AA0D15">
        <w:rPr>
          <w:rStyle w:val="StyleUnderline"/>
        </w:rPr>
        <w:t xml:space="preserve">The most striking finding in our study is </w:t>
      </w:r>
      <w:r w:rsidRPr="00AA0D15">
        <w:rPr>
          <w:rStyle w:val="Emphasis"/>
        </w:rPr>
        <w:t xml:space="preserve">how little elites seem willing to move to exploit tax advantages across state lines." </w:t>
      </w:r>
      <w:r w:rsidRPr="00AA0D15">
        <w:rPr>
          <w:rStyle w:val="StyleUnderline"/>
        </w:rPr>
        <w:t xml:space="preserve">If the wealthy aren't willing to move between states in response to tax differences, it seems </w:t>
      </w:r>
      <w:r w:rsidRPr="00AA0D15">
        <w:rPr>
          <w:rStyle w:val="Emphasis"/>
        </w:rPr>
        <w:t>even more unlikely</w:t>
      </w:r>
      <w:r w:rsidRPr="00AA0D15">
        <w:rPr>
          <w:rStyle w:val="StyleUnderline"/>
        </w:rPr>
        <w:t xml:space="preserve"> that would undertake the far more difficult task of moving to another country.</w:t>
      </w:r>
    </w:p>
    <w:p w:rsidR="00C47278" w:rsidRPr="00AA0D15" w:rsidRDefault="00C47278" w:rsidP="00C47278">
      <w:pPr>
        <w:pStyle w:val="Heading4"/>
        <w:rPr>
          <w:rFonts w:cs="Times New Roman"/>
        </w:rPr>
      </w:pPr>
      <w:r w:rsidRPr="00AA0D15">
        <w:rPr>
          <w:rFonts w:cs="Times New Roman"/>
        </w:rPr>
        <w:t>Won’t cause people to move --- ingrained community and social ties stunt it</w:t>
      </w:r>
    </w:p>
    <w:p w:rsidR="00C47278" w:rsidRPr="00AA0D15" w:rsidRDefault="00C47278" w:rsidP="00C47278">
      <w:r w:rsidRPr="007C2097">
        <w:rPr>
          <w:rStyle w:val="Style13ptBold"/>
        </w:rPr>
        <w:t>Brunori 9</w:t>
      </w:r>
      <w:r w:rsidRPr="00AA0D15">
        <w:t xml:space="preserve"> </w:t>
      </w:r>
      <w:r w:rsidRPr="00AA0D15">
        <w:rPr>
          <w:b/>
        </w:rPr>
        <w:t xml:space="preserve">--- </w:t>
      </w:r>
      <w:r w:rsidRPr="00AA0D15">
        <w:t>research professor at George Washington University with a MA in political science.</w:t>
      </w:r>
      <w:r w:rsidRPr="00AA0D15">
        <w:rPr>
          <w:b/>
        </w:rPr>
        <w:t xml:space="preserve"> </w:t>
      </w:r>
      <w:r w:rsidRPr="00AA0D15">
        <w:t>(David Brunori, Jul 2, “States Should Raise Income Taxes to Solve Their Budget Problems”, http://www.taxanalysts.org/tax-analysts-blog/states-should-raise-income-taxes-solve-their-budget-problems/2009/07/02/172671)//ET</w:t>
      </w:r>
    </w:p>
    <w:p w:rsidR="00C47278" w:rsidRPr="00AA0D15" w:rsidRDefault="00C47278" w:rsidP="00C47278">
      <w:r w:rsidRPr="00AA0D15">
        <w:rPr>
          <w:rStyle w:val="StyleUnderline"/>
        </w:rPr>
        <w:t>Conservatives claim that raising the income tax will cause rich people to move</w:t>
      </w:r>
      <w:r w:rsidRPr="00AA0D15">
        <w:t xml:space="preserve">. That may be true in the very long run. But in the short run, </w:t>
      </w:r>
      <w:r w:rsidRPr="00AA0D15">
        <w:rPr>
          <w:rStyle w:val="Emphasis"/>
        </w:rPr>
        <w:t>rich people aren't going anywhere</w:t>
      </w:r>
      <w:r w:rsidRPr="00AA0D15">
        <w:t xml:space="preserve">. Think about it. </w:t>
      </w:r>
      <w:r w:rsidRPr="00AA0D15">
        <w:rPr>
          <w:rStyle w:val="StyleUnderline"/>
        </w:rPr>
        <w:t>Rich people live in nice neighborhoods, send their kids to good schools, and belong to country clubs. Are they going to leave their personal trainers, plastic surgeons, and golf pros because their taxes went up a couple of thousand dollars</w:t>
      </w:r>
      <w:r w:rsidRPr="00AA0D15">
        <w:t xml:space="preserve">? Are they going to spend the time and money selling their house, buying a new one in a lower tax state, and renting a moving van? Wouldn't they have to quit their jobs as well? Somehow I don't see the heart surgeon in Manhattan telling her husband "honey, the taxes are killing us, lets move to Wyoming." </w:t>
      </w:r>
    </w:p>
    <w:p w:rsidR="00C47278" w:rsidRPr="00AA0D15" w:rsidRDefault="00C47278" w:rsidP="00C47278">
      <w:pPr>
        <w:pStyle w:val="Heading3"/>
        <w:rPr>
          <w:rFonts w:cs="Times New Roman"/>
        </w:rPr>
      </w:pPr>
      <w:r w:rsidRPr="00AA0D15">
        <w:rPr>
          <w:rFonts w:cs="Times New Roman"/>
        </w:rPr>
        <w:t>AT can’t solve long-term</w:t>
      </w:r>
    </w:p>
    <w:p w:rsidR="00C47278" w:rsidRPr="00AA0D15" w:rsidRDefault="00C47278" w:rsidP="00C47278">
      <w:pPr>
        <w:pStyle w:val="Heading4"/>
        <w:rPr>
          <w:rFonts w:cs="Times New Roman"/>
        </w:rPr>
      </w:pPr>
      <w:r w:rsidRPr="00AA0D15">
        <w:rPr>
          <w:rFonts w:cs="Times New Roman"/>
        </w:rPr>
        <w:t>Rainy day funds solve uncertainty --- tax increases provide massive boosts</w:t>
      </w:r>
    </w:p>
    <w:p w:rsidR="00C47278" w:rsidRPr="00AA0D15" w:rsidRDefault="00C47278" w:rsidP="00C47278">
      <w:r w:rsidRPr="007C2097">
        <w:rPr>
          <w:rStyle w:val="Style13ptBold"/>
        </w:rPr>
        <w:t>McNichol and Waxman 2017</w:t>
      </w:r>
      <w:r w:rsidRPr="00AA0D15">
        <w:rPr>
          <w:b/>
        </w:rPr>
        <w:t xml:space="preserve">  --- </w:t>
      </w:r>
      <w:r w:rsidRPr="00AA0D15">
        <w:t>state budget and tax experts at Center on Budget and Policy Priorities. (ELIZABETH MCNICHOL  SAMANTHA WAXMAN, March 30 “Many States Face Revenue Shortfalls”, http://www.cbpp.org/research/state-budget-and-tax/many-states-face-revenue-shortfalls)//ET</w:t>
      </w:r>
    </w:p>
    <w:p w:rsidR="00C47278" w:rsidRPr="00AA0D15" w:rsidRDefault="00C47278" w:rsidP="00C47278">
      <w:pPr>
        <w:rPr>
          <w:sz w:val="14"/>
        </w:rPr>
      </w:pPr>
      <w:r w:rsidRPr="00AA0D15">
        <w:rPr>
          <w:sz w:val="14"/>
        </w:rPr>
        <w:t xml:space="preserve">How States Should Respond </w:t>
      </w:r>
      <w:r w:rsidRPr="00AA0D15">
        <w:rPr>
          <w:rStyle w:val="StyleUnderline"/>
        </w:rPr>
        <w:t>To prevent and cope with revenue slowdowns that are leading to budget problems, states should:</w:t>
      </w:r>
      <w:r w:rsidRPr="00AA0D15">
        <w:rPr>
          <w:sz w:val="14"/>
        </w:rPr>
        <w:t xml:space="preserve">[7] </w:t>
      </w:r>
      <w:r w:rsidRPr="00AA0D15">
        <w:rPr>
          <w:rStyle w:val="StyleUnderline"/>
        </w:rPr>
        <w:t>Avoid</w:t>
      </w:r>
      <w:r w:rsidRPr="00AA0D15">
        <w:rPr>
          <w:sz w:val="14"/>
        </w:rPr>
        <w:t xml:space="preserve"> ineffective </w:t>
      </w:r>
      <w:r w:rsidRPr="00AA0D15">
        <w:rPr>
          <w:rStyle w:val="StyleUnderline"/>
        </w:rPr>
        <w:t>tax cuts</w:t>
      </w:r>
      <w:r w:rsidRPr="00AA0D15">
        <w:rPr>
          <w:sz w:val="14"/>
        </w:rPr>
        <w:t xml:space="preserve"> and incentives that would deplete revenues and worsen budget problems. Several states have enacted or considered deep income tax cuts that give the largest benefits to large, profitable corporations and the highest-income people. Such proposals not only typically fail to produce the promised economic benefits but also squander revenue that states could otherwise use to lay a strong foundation for future economic growth by investing in high-quality schools, infrastructure, and the like. They also make it harder for states to save for a rainy day or respond to changing circumstances. Avoid depleting budget reserves while the economy continues to grow and, if possible, </w:t>
      </w:r>
      <w:r w:rsidRPr="00AA0D15">
        <w:rPr>
          <w:rStyle w:val="Emphasis"/>
        </w:rPr>
        <w:t>build budget reserves</w:t>
      </w:r>
      <w:r w:rsidRPr="00AA0D15">
        <w:rPr>
          <w:sz w:val="14"/>
        </w:rPr>
        <w:t xml:space="preserve"> </w:t>
      </w:r>
      <w:r w:rsidRPr="00AA0D15">
        <w:rPr>
          <w:rStyle w:val="StyleUnderline"/>
        </w:rPr>
        <w:t>to protect public investment and limit the damage from recessions.[</w:t>
      </w:r>
      <w:r w:rsidRPr="00AA0D15">
        <w:rPr>
          <w:sz w:val="14"/>
        </w:rPr>
        <w:t>8] “</w:t>
      </w:r>
      <w:r w:rsidRPr="00AA0D15">
        <w:rPr>
          <w:rStyle w:val="Emphasis"/>
        </w:rPr>
        <w:t>Rainy day” reserve funds</w:t>
      </w:r>
      <w:r w:rsidRPr="00AA0D15">
        <w:rPr>
          <w:rStyle w:val="StyleUnderline"/>
        </w:rPr>
        <w:t xml:space="preserve"> to help states offset revenue declines during economic downturns are crucial to prudent fiscal management</w:t>
      </w:r>
      <w:r w:rsidRPr="00AA0D15">
        <w:rPr>
          <w:sz w:val="14"/>
        </w:rPr>
        <w:t xml:space="preserve">. In hard times, policymakers can tap them to protect state investments that promote economic growth and sustain the state’s demand for private-sector goods and labor. States without such funds should create them; states with arbitrary or onerous restrictions on their use should reform them. Rainy day reserves will be particularly important for states to cope with reduced state revenues if the federal government plays a smaller role during future economic downturns. For example, proposals to cut federal support for low-income health care or food assistance through fixed funding (block grants) or other types of caps would make these programs less responsive to economic downturns. Begin now to plan for revenue replacements to offset the potential future loss of federal support. Maintaining and improving schools, affordable housing, job training, and other public services shown to generate growth will require resources, both now and in the future. President Trump and congressional Republicans have proposed steep cuts in federal support for programs and services delivered by states and localities. For example, the President’s budget would cut state and local discretionary grants by $18 billion in 2018.[9] These federal grants include support for education, including support for low-income students and students with special needs, and programs to subsidize housing for low-income families and seniors and foster community development. To make up the difference if these cuts are enacted, </w:t>
      </w:r>
      <w:r w:rsidRPr="00AA0D15">
        <w:rPr>
          <w:rStyle w:val="Emphasis"/>
        </w:rPr>
        <w:t>states should consider raising their own revenues</w:t>
      </w:r>
      <w:r w:rsidRPr="00AA0D15">
        <w:rPr>
          <w:sz w:val="14"/>
        </w:rPr>
        <w:t xml:space="preserve">. </w:t>
      </w:r>
      <w:r w:rsidRPr="00AA0D15">
        <w:rPr>
          <w:rStyle w:val="Emphasis"/>
        </w:rPr>
        <w:t>Tax increases on high-income individuals and profitable corporations</w:t>
      </w:r>
      <w:r w:rsidRPr="00AA0D15">
        <w:rPr>
          <w:sz w:val="14"/>
        </w:rPr>
        <w:t xml:space="preserve"> (those best able to afford the higher tax and least likely to spend substantially less as a result) typically </w:t>
      </w:r>
      <w:r w:rsidRPr="00AA0D15">
        <w:rPr>
          <w:rStyle w:val="StyleUnderline"/>
        </w:rPr>
        <w:t>are preferable to spending cuts</w:t>
      </w:r>
      <w:r w:rsidRPr="00AA0D15">
        <w:rPr>
          <w:sz w:val="14"/>
        </w:rPr>
        <w:t>. This is especially true when the cuts in question could weaken the underpinnings of a sound economy — a high-quality education system, access to college, and modern transportation networks, for example.</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Rainy day funds solve long term uncertainty</w:t>
      </w:r>
    </w:p>
    <w:p w:rsidR="00C47278" w:rsidRPr="00AA0D15" w:rsidRDefault="00C47278" w:rsidP="00C47278">
      <w:r w:rsidRPr="007C2097">
        <w:rPr>
          <w:rStyle w:val="Style13ptBold"/>
        </w:rPr>
        <w:t>Stone 2017</w:t>
      </w:r>
      <w:r w:rsidRPr="00AA0D15">
        <w:rPr>
          <w:b/>
        </w:rPr>
        <w:t xml:space="preserve"> --- </w:t>
      </w:r>
      <w:r w:rsidRPr="00AA0D15">
        <w:t>contributor for U.S. News and World Reports. (Chad Stone, March 31, “ The State of State Budgets”, https://www.usnews.com/opinion/economic-intelligence/articles/2017-03-31/many-states-face-fiscal-budget-challenges)//ET</w:t>
      </w:r>
    </w:p>
    <w:p w:rsidR="00C47278" w:rsidRPr="00AA0D15" w:rsidRDefault="00C47278" w:rsidP="00C47278">
      <w:r w:rsidRPr="00AA0D15">
        <w:rPr>
          <w:rStyle w:val="StyleUnderline"/>
        </w:rPr>
        <w:t>States that want to provide the resources required to meet state needs for,</w:t>
      </w:r>
      <w:r w:rsidRPr="00AA0D15">
        <w:t xml:space="preserve"> among other things, </w:t>
      </w:r>
      <w:r w:rsidRPr="00AA0D15">
        <w:rPr>
          <w:rStyle w:val="StyleUnderline"/>
        </w:rPr>
        <w:t xml:space="preserve">public investment in schools, </w:t>
      </w:r>
      <w:r w:rsidRPr="00AA0D15">
        <w:t xml:space="preserve">transportation, health care and safe communities must address these revenue shortfalls. </w:t>
      </w:r>
      <w:r w:rsidRPr="00AA0D15">
        <w:rPr>
          <w:rStyle w:val="StyleUnderline"/>
        </w:rPr>
        <w:t>The first step</w:t>
      </w:r>
      <w:r w:rsidRPr="00AA0D15">
        <w:t xml:space="preserve">, of course, </w:t>
      </w:r>
      <w:r w:rsidRPr="00AA0D15">
        <w:rPr>
          <w:rStyle w:val="StyleUnderline"/>
        </w:rPr>
        <w:t>is to</w:t>
      </w:r>
      <w:r w:rsidRPr="00AA0D15">
        <w:t xml:space="preserve"> do no further harm and avoid ineffective tax cuts that drain state revenues that could fund these investments or make it harder to </w:t>
      </w:r>
      <w:r w:rsidRPr="00AA0D15">
        <w:rPr>
          <w:rStyle w:val="Emphasis"/>
        </w:rPr>
        <w:t xml:space="preserve">build rainy day funds to address unexpected challenges. </w:t>
      </w:r>
      <w:r w:rsidRPr="00AA0D15">
        <w:rPr>
          <w:rStyle w:val="StyleUnderline"/>
        </w:rPr>
        <w:t>States should begin planning now to address growing needs</w:t>
      </w:r>
      <w:r w:rsidRPr="00AA0D15">
        <w:t xml:space="preserve"> and possible federal funding cuts. </w:t>
      </w:r>
      <w:r w:rsidRPr="00AA0D15">
        <w:rPr>
          <w:rStyle w:val="StyleUnderline"/>
        </w:rPr>
        <w:t xml:space="preserve">Tax increases on </w:t>
      </w:r>
      <w:r w:rsidRPr="00AA0D15">
        <w:rPr>
          <w:rStyle w:val="Emphasis"/>
        </w:rPr>
        <w:t>high-income individual</w:t>
      </w:r>
      <w:r w:rsidRPr="00AA0D15">
        <w:rPr>
          <w:rStyle w:val="StyleUnderline"/>
        </w:rPr>
        <w:t xml:space="preserve">s and profitable corporations </w:t>
      </w:r>
      <w:r w:rsidRPr="00AA0D15">
        <w:rPr>
          <w:rStyle w:val="Emphasis"/>
        </w:rPr>
        <w:t>are fruitful paths to pursue</w:t>
      </w:r>
      <w:r w:rsidRPr="00AA0D15">
        <w:rPr>
          <w:rStyle w:val="StyleUnderline"/>
        </w:rPr>
        <w:t>,</w:t>
      </w:r>
      <w:r w:rsidRPr="00AA0D15">
        <w:t xml:space="preserve"> </w:t>
      </w:r>
      <w:r w:rsidRPr="00AA0D15">
        <w:rPr>
          <w:rStyle w:val="StyleUnderline"/>
        </w:rPr>
        <w:t>suggest McNichol and Waxman</w:t>
      </w:r>
      <w:r w:rsidRPr="00AA0D15">
        <w:t>. States should also preserve their flexibility to raise revenues in the future by rejecting arbitrary limits on revenues or spending like the Taxpayer Bill of Rights that Colorado adopted and that antigovernment groups have promoted in at least 30 states since 2004.</w:t>
      </w:r>
    </w:p>
    <w:p w:rsidR="00C47278" w:rsidRPr="00AA0D15" w:rsidRDefault="00C47278" w:rsidP="00C47278">
      <w:pPr>
        <w:pStyle w:val="Heading3"/>
        <w:rPr>
          <w:rFonts w:cs="Times New Roman"/>
        </w:rPr>
      </w:pPr>
      <w:r w:rsidRPr="00AA0D15">
        <w:rPr>
          <w:rFonts w:cs="Times New Roman"/>
        </w:rPr>
        <w:t>AT hurts economy</w:t>
      </w:r>
    </w:p>
    <w:p w:rsidR="00C47278" w:rsidRPr="00AA0D15" w:rsidRDefault="00C47278" w:rsidP="00C47278">
      <w:pPr>
        <w:pStyle w:val="Heading4"/>
        <w:rPr>
          <w:rFonts w:cs="Times New Roman"/>
        </w:rPr>
      </w:pPr>
      <w:r w:rsidRPr="00AA0D15">
        <w:rPr>
          <w:rFonts w:cs="Times New Roman"/>
        </w:rPr>
        <w:t>Net effect on econ is positive --- no consumer spending decrease because the top 1% don’t use most income</w:t>
      </w:r>
    </w:p>
    <w:p w:rsidR="00C47278" w:rsidRPr="00AA0D15" w:rsidRDefault="00C47278" w:rsidP="00C47278">
      <w:r w:rsidRPr="007C2097">
        <w:rPr>
          <w:rStyle w:val="Style13ptBold"/>
        </w:rPr>
        <w:t>Budget and Policy Center 2009</w:t>
      </w:r>
      <w:r w:rsidRPr="00AA0D15">
        <w:rPr>
          <w:b/>
        </w:rPr>
        <w:t xml:space="preserve"> </w:t>
      </w:r>
      <w:r w:rsidRPr="00AA0D15">
        <w:t>--- Pennsylvania’s Budget and Policy Center. (July 23, “Income Tax Reform in Pennsylvania”, https://www.pennbpc.org/income-tax-reform-pennsylvania)//ET</w:t>
      </w:r>
    </w:p>
    <w:p w:rsidR="00C47278" w:rsidRPr="00AA0D15" w:rsidRDefault="00C47278" w:rsidP="00C47278">
      <w:pPr>
        <w:rPr>
          <w:sz w:val="14"/>
        </w:rPr>
      </w:pPr>
      <w:r w:rsidRPr="00AA0D15">
        <w:rPr>
          <w:sz w:val="14"/>
        </w:rPr>
        <w:t xml:space="preserve">Despite Pennsylvania’s constitutional uniformity clause, the </w:t>
      </w:r>
      <w:r w:rsidRPr="00AA0D15">
        <w:rPr>
          <w:rStyle w:val="StyleUnderline"/>
        </w:rPr>
        <w:t>analysis</w:t>
      </w:r>
      <w:r w:rsidRPr="00AA0D15">
        <w:rPr>
          <w:sz w:val="14"/>
        </w:rPr>
        <w:t xml:space="preserve"> above </w:t>
      </w:r>
      <w:r w:rsidRPr="00AA0D15">
        <w:rPr>
          <w:rStyle w:val="StyleUnderline"/>
        </w:rPr>
        <w:t>shows</w:t>
      </w:r>
      <w:r w:rsidRPr="00AA0D15">
        <w:rPr>
          <w:sz w:val="14"/>
        </w:rPr>
        <w:t xml:space="preserve"> </w:t>
      </w:r>
      <w:r w:rsidRPr="00AA0D15">
        <w:rPr>
          <w:rStyle w:val="StyleUnderline"/>
        </w:rPr>
        <w:t>that it is possible to enact changes to</w:t>
      </w:r>
      <w:r w:rsidRPr="00AA0D15">
        <w:rPr>
          <w:sz w:val="14"/>
        </w:rPr>
        <w:t xml:space="preserve"> Pennsylvania’s </w:t>
      </w:r>
      <w:r w:rsidRPr="00AA0D15">
        <w:rPr>
          <w:rStyle w:val="StyleUnderline"/>
        </w:rPr>
        <w:t xml:space="preserve">personal income tax that will allow the state to collect a large part of the increased revenue from people and places that have a greater ability to pay. </w:t>
      </w:r>
      <w:r w:rsidRPr="00AA0D15">
        <w:rPr>
          <w:sz w:val="14"/>
        </w:rPr>
        <w:t>The options of raising income tax rates higher on investment income and increasing the state’s income-tax forgiveness thresholds enable tax increases targeting more affluent taxpayers. In addition to tax fairness</w:t>
      </w:r>
      <w:r w:rsidRPr="00AA0D15">
        <w:rPr>
          <w:rStyle w:val="StyleUnderline"/>
        </w:rPr>
        <w:t>, a targeted income tax increase represents the best way to achieve a state budget agreement without worsening the state’s job loss</w:t>
      </w:r>
      <w:r w:rsidRPr="00AA0D15">
        <w:rPr>
          <w:sz w:val="14"/>
        </w:rPr>
        <w:t xml:space="preserve"> during this recession. </w:t>
      </w:r>
      <w:r w:rsidRPr="00AA0D15">
        <w:rPr>
          <w:rStyle w:val="StyleUnderline"/>
        </w:rPr>
        <w:t>One reason for this is</w:t>
      </w:r>
      <w:r w:rsidRPr="00AA0D15">
        <w:rPr>
          <w:sz w:val="14"/>
        </w:rPr>
        <w:t xml:space="preserve"> that, </w:t>
      </w:r>
      <w:r w:rsidRPr="00AA0D15">
        <w:rPr>
          <w:rStyle w:val="StyleUnderline"/>
        </w:rPr>
        <w:t>unlike with higher sales taxes</w:t>
      </w:r>
      <w:r w:rsidRPr="00AA0D15">
        <w:rPr>
          <w:sz w:val="14"/>
        </w:rPr>
        <w:t xml:space="preserve">, </w:t>
      </w:r>
      <w:r w:rsidRPr="00AA0D15">
        <w:rPr>
          <w:rStyle w:val="Emphasis"/>
        </w:rPr>
        <w:t>higher state income taxes lower federal income taxes</w:t>
      </w:r>
      <w:r w:rsidRPr="00AA0D15">
        <w:rPr>
          <w:sz w:val="14"/>
        </w:rPr>
        <w:t xml:space="preserve"> for those Pennsylvania taxpayers who itemize deductions on their federal tax form. On average, </w:t>
      </w:r>
      <w:r w:rsidRPr="00AA0D15">
        <w:rPr>
          <w:rStyle w:val="StyleUnderline"/>
        </w:rPr>
        <w:t xml:space="preserve">20 cents of every dollar paid by Pennsylvanians in higher income taxes </w:t>
      </w:r>
      <w:r w:rsidRPr="00AA0D15">
        <w:rPr>
          <w:rStyle w:val="Emphasis"/>
        </w:rPr>
        <w:t>comes back to the state in the form of lower federal income taxes</w:t>
      </w:r>
      <w:r w:rsidRPr="00AA0D15">
        <w:rPr>
          <w:rStyle w:val="StyleUnderline"/>
        </w:rPr>
        <w:t xml:space="preserve">. </w:t>
      </w:r>
      <w:r w:rsidRPr="00AA0D15">
        <w:rPr>
          <w:sz w:val="14"/>
        </w:rPr>
        <w:t>As a result</w:t>
      </w:r>
      <w:r w:rsidRPr="00AA0D15">
        <w:rPr>
          <w:rStyle w:val="StyleUnderline"/>
        </w:rPr>
        <w:t>, the state gets a dollar in increased revenue to spend, while Pennsylvania taxpayers only lose 80 cents in after-tax income.</w:t>
      </w:r>
      <w:r w:rsidRPr="00AA0D15">
        <w:rPr>
          <w:sz w:val="14"/>
        </w:rPr>
        <w:t xml:space="preserve"> A second reason that </w:t>
      </w:r>
      <w:r w:rsidRPr="00AA0D15">
        <w:rPr>
          <w:rStyle w:val="StyleUnderline"/>
        </w:rPr>
        <w:t xml:space="preserve">targeted tax increases minimize job loss is that more </w:t>
      </w:r>
      <w:r w:rsidRPr="00AA0D15">
        <w:rPr>
          <w:rStyle w:val="Emphasis"/>
        </w:rPr>
        <w:t>affluent taxpayers consume less of their income</w:t>
      </w:r>
      <w:r w:rsidRPr="00AA0D15">
        <w:rPr>
          <w:sz w:val="14"/>
        </w:rPr>
        <w:t>. Moreover</w:t>
      </w:r>
      <w:r w:rsidRPr="00AA0D15">
        <w:rPr>
          <w:rStyle w:val="StyleUnderline"/>
        </w:rPr>
        <w:t xml:space="preserve">, investment income is particularly likely to be saved—because investors are concerned currently about the lack of consumer demand. </w:t>
      </w:r>
      <w:r w:rsidRPr="00AA0D15">
        <w:rPr>
          <w:sz w:val="14"/>
        </w:rPr>
        <w:t xml:space="preserve">In sum, </w:t>
      </w:r>
      <w:r w:rsidRPr="00AA0D15">
        <w:rPr>
          <w:rStyle w:val="StyleUnderline"/>
        </w:rPr>
        <w:t xml:space="preserve">maintaining state spending through an income tax increase targeted at higher-income taxpayers and at investment income </w:t>
      </w:r>
      <w:r w:rsidRPr="00AA0D15">
        <w:rPr>
          <w:rStyle w:val="Emphasis"/>
        </w:rPr>
        <w:t>boosts the economy substantially</w:t>
      </w:r>
      <w:r w:rsidRPr="00AA0D15">
        <w:rPr>
          <w:sz w:val="14"/>
        </w:rPr>
        <w:t xml:space="preserve"> compared to either cutting spending and not increasing taxes or raising revenue with a sales tax.</w:t>
      </w:r>
    </w:p>
    <w:p w:rsidR="00C47278" w:rsidRPr="00AA0D15" w:rsidRDefault="00C47278" w:rsidP="00C47278"/>
    <w:p w:rsidR="00C81BC7" w:rsidRDefault="00C81BC7" w:rsidP="002B62E3">
      <w:pPr>
        <w:pStyle w:val="Heading2"/>
        <w:rPr>
          <w:rFonts w:cs="Times New Roman"/>
        </w:rPr>
      </w:pPr>
      <w:r>
        <w:rPr>
          <w:rFonts w:cs="Times New Roman"/>
        </w:rPr>
        <w:t>BUDGET PLANK – BORROWING</w:t>
      </w:r>
    </w:p>
    <w:p w:rsidR="00C81BC7" w:rsidRDefault="00C81BC7" w:rsidP="00C81BC7">
      <w:pPr>
        <w:pStyle w:val="Heading3"/>
        <w:rPr>
          <w:rFonts w:cs="Times New Roman"/>
        </w:rPr>
      </w:pPr>
      <w:r w:rsidRPr="00AA0D15">
        <w:rPr>
          <w:rFonts w:cs="Times New Roman"/>
        </w:rPr>
        <w:t>1nc – borrowing</w:t>
      </w:r>
    </w:p>
    <w:p w:rsidR="007C2097" w:rsidRPr="007C2097" w:rsidRDefault="007C2097" w:rsidP="007C2097">
      <w:pPr>
        <w:pStyle w:val="Heading4"/>
      </w:pPr>
      <w:r>
        <w:t>To fund the counterplan and generate revenue, the 50 states should seek private lending.</w:t>
      </w:r>
    </w:p>
    <w:p w:rsidR="00C81BC7" w:rsidRPr="00AA0D15" w:rsidRDefault="007C2097" w:rsidP="00C81BC7">
      <w:pPr>
        <w:pStyle w:val="Heading4"/>
        <w:rPr>
          <w:rFonts w:cs="Times New Roman"/>
        </w:rPr>
      </w:pPr>
      <w:r>
        <w:rPr>
          <w:rFonts w:cs="Times New Roman"/>
        </w:rPr>
        <w:t>That solves, and costs limited interest</w:t>
      </w:r>
    </w:p>
    <w:p w:rsidR="00C81BC7" w:rsidRPr="00AA0D15" w:rsidRDefault="00C81BC7" w:rsidP="00C81BC7">
      <w:pPr>
        <w:rPr>
          <w:rStyle w:val="Style13ptBold"/>
        </w:rPr>
      </w:pPr>
      <w:r w:rsidRPr="00AA0D15">
        <w:rPr>
          <w:rStyle w:val="Style13ptBold"/>
        </w:rPr>
        <w:t>MCNICHOL 16</w:t>
      </w:r>
      <w:r w:rsidRPr="00AA0D15">
        <w:t xml:space="preserve"> (ELIZABETH MCNICHOL, CBPP, “It’s Time for States to Invest in Infrastructure” 2/23/16, McNichol is a Senior Fellow specializing in state fiscal issues including the economy’s impact on state budgets and long-term structural reform of state budget and tax systems.  She also works on related state policy issues including estate taxes, pension funding, and trends in income inequality. http://www.cbpp.org/research/state-budget-and-tax/its-time-for-states-to-invest-in-infrastructure) GG</w:t>
      </w:r>
    </w:p>
    <w:p w:rsidR="00C81BC7" w:rsidRPr="00AA0D15" w:rsidRDefault="00C81BC7" w:rsidP="00C81BC7">
      <w:pPr>
        <w:rPr>
          <w:rStyle w:val="Emphasis"/>
        </w:rPr>
      </w:pPr>
      <w:r w:rsidRPr="00AA0D15">
        <w:t xml:space="preserve">With the memory of the Great Recession still fresh, </w:t>
      </w:r>
      <w:r w:rsidRPr="00AA0D15">
        <w:rPr>
          <w:rStyle w:val="StyleUnderline"/>
        </w:rPr>
        <w:t>some states and localities are hesitant to take on more debt, despite their extensive infrastructure needs</w:t>
      </w:r>
      <w:r w:rsidRPr="00AA0D15">
        <w:t xml:space="preserve">.  </w:t>
      </w:r>
      <w:r w:rsidRPr="00AA0D15">
        <w:rPr>
          <w:rStyle w:val="StyleUnderline"/>
        </w:rPr>
        <w:t>That’s a mistake</w:t>
      </w:r>
      <w:r w:rsidRPr="00AA0D15">
        <w:t xml:space="preserve">, in part because </w:t>
      </w:r>
      <w:r w:rsidRPr="00AA0D15">
        <w:rPr>
          <w:rStyle w:val="Emphasis"/>
        </w:rPr>
        <w:t>conditions for borrowing have rarely been better.</w:t>
      </w:r>
    </w:p>
    <w:p w:rsidR="00C81BC7" w:rsidRPr="00AA0D15" w:rsidRDefault="00C81BC7" w:rsidP="00C81BC7">
      <w:r w:rsidRPr="00AA0D15">
        <w:t xml:space="preserve">States’ and localities’ </w:t>
      </w:r>
      <w:r w:rsidRPr="00AA0D15">
        <w:rPr>
          <w:rStyle w:val="StyleUnderline"/>
        </w:rPr>
        <w:t>current interest costs are</w:t>
      </w:r>
      <w:r w:rsidRPr="00AA0D15">
        <w:t xml:space="preserve"> </w:t>
      </w:r>
      <w:r w:rsidRPr="00AA0D15">
        <w:rPr>
          <w:rStyle w:val="StyleUnderline"/>
        </w:rPr>
        <w:t>low</w:t>
      </w:r>
      <w:r w:rsidRPr="00AA0D15">
        <w:t xml:space="preserve">.  Interest payments on debt averaged just 4 percent of current spending in 2013, </w:t>
      </w:r>
      <w:r w:rsidRPr="00AA0D15">
        <w:rPr>
          <w:rStyle w:val="StyleUnderline"/>
        </w:rPr>
        <w:t>the lowest level since Census began tracking this data in 1977.</w:t>
      </w:r>
      <w:r w:rsidRPr="00AA0D15">
        <w:t xml:space="preserve">  Interest payments made up less than 5 percent of state and local spending in all but nine states.[27]</w:t>
      </w:r>
    </w:p>
    <w:p w:rsidR="00C81BC7" w:rsidRPr="00AA0D15" w:rsidRDefault="00C81BC7" w:rsidP="00C81BC7">
      <w:r w:rsidRPr="00AA0D15">
        <w:rPr>
          <w:rStyle w:val="StyleUnderline"/>
        </w:rPr>
        <w:t>Total state and local debt is below pre-recession levels</w:t>
      </w:r>
      <w:r w:rsidRPr="00AA0D15">
        <w:t xml:space="preserve">.  Measured as a share of the economy, state and local debt has fallen since 2009 and is below pre-recession levels.  </w:t>
      </w:r>
      <w:r w:rsidRPr="00AA0D15">
        <w:rPr>
          <w:rStyle w:val="StyleUnderline"/>
        </w:rPr>
        <w:t>If borrowing returned to pre-recession levels as a share of the economy, an additional $400 billion would be available, with which states and localities could address infrastructure needs.</w:t>
      </w:r>
      <w:r w:rsidRPr="00AA0D15">
        <w:t xml:space="preserve">  (For comparison, the aggregate value of all bonds issued for school construction and rehabilitation between 2003 and 2012 was $514 billion.)</w:t>
      </w:r>
    </w:p>
    <w:p w:rsidR="00C81BC7" w:rsidRPr="00AA0D15" w:rsidRDefault="00C81BC7" w:rsidP="00C81BC7">
      <w:r w:rsidRPr="00AA0D15">
        <w:rPr>
          <w:rStyle w:val="StyleUnderline"/>
        </w:rPr>
        <w:t xml:space="preserve">Borrowing is inexpensive.  </w:t>
      </w:r>
      <w:r w:rsidRPr="00AA0D15">
        <w:rPr>
          <w:rStyle w:val="Emphasis"/>
        </w:rPr>
        <w:t>The Federal Reserve has kept the short-term interest rate that banks charge to borrow from each other very low</w:t>
      </w:r>
      <w:r w:rsidRPr="00AA0D15">
        <w:rPr>
          <w:rStyle w:val="StyleUnderline"/>
        </w:rPr>
        <w:t>.  This, in turn, has kept the interest rates charged for other types of loans, including bonds purchased from state and local governments</w:t>
      </w:r>
      <w:r w:rsidRPr="00AA0D15">
        <w:t>, low as well.[28]  Although the Federal Reserve has begun raising short-term interest rates the Congressional Budget Office projects that interest rates will rise only slowly.[29]</w:t>
      </w:r>
    </w:p>
    <w:p w:rsidR="00C81BC7" w:rsidRPr="00AA0D15" w:rsidRDefault="00C81BC7" w:rsidP="00C81BC7">
      <w:r w:rsidRPr="00AA0D15">
        <w:rPr>
          <w:rStyle w:val="StyleUnderline"/>
        </w:rPr>
        <w:t>The federal government subsidizes state and local borrowing</w:t>
      </w:r>
      <w:r w:rsidRPr="00AA0D15">
        <w:t xml:space="preserve">.  </w:t>
      </w:r>
      <w:r w:rsidRPr="00AA0D15">
        <w:rPr>
          <w:rStyle w:val="StyleUnderline"/>
        </w:rPr>
        <w:t>The federal government provides that interest from investments in state and local government bonds are exempt from federal income taxes</w:t>
      </w:r>
      <w:r w:rsidRPr="00AA0D15">
        <w:t>.  The federal tax exemption effectively subsidizes state and local infrastructure projects, since states and localities otherwise would need to pay bond investors a higher interest rate.  While Congress may consider in the near future a tax reform package that alters somewhat this tax exemption, it is highly likely that the federal government will continue to provide substantial subsidies for state and local bond investments.</w:t>
      </w:r>
    </w:p>
    <w:p w:rsidR="00C81BC7" w:rsidRDefault="00C81BC7" w:rsidP="00C81BC7">
      <w:r w:rsidRPr="00AA0D15">
        <w:rPr>
          <w:rStyle w:val="StyleUnderline"/>
        </w:rPr>
        <w:t>State economies are finally recovering from the Great Recession.  As the nation’s economy has slowly recovered, overall state revenues have exceeded their pre-recession levels</w:t>
      </w:r>
      <w:r w:rsidRPr="00AA0D15">
        <w:t xml:space="preserve">, better enabling states on average to afford infrastructure investments.  But </w:t>
      </w:r>
      <w:r w:rsidRPr="00AA0D15">
        <w:rPr>
          <w:rStyle w:val="StyleUnderline"/>
        </w:rPr>
        <w:t xml:space="preserve">in many states revenues still aren’t sufficient to adequately cover the costs of needed services such </w:t>
      </w:r>
      <w:r w:rsidRPr="00AA0D15">
        <w:rPr>
          <w:rStyle w:val="Emphasis"/>
        </w:rPr>
        <w:t>education, health care, and infrastructure investments so some states will need to consider tax increases to preserve the public capital</w:t>
      </w:r>
      <w:r w:rsidRPr="00AA0D15">
        <w:rPr>
          <w:rStyle w:val="StyleUnderline"/>
        </w:rPr>
        <w:t xml:space="preserve"> that is crucial to long-term economic growth</w:t>
      </w:r>
      <w:r w:rsidRPr="00AA0D15">
        <w:t xml:space="preserve">.  And revenue collections remain below historic averages as a share of the economy in many states, suggesting that </w:t>
      </w:r>
      <w:r w:rsidRPr="00AA0D15">
        <w:rPr>
          <w:rStyle w:val="StyleUnderline"/>
        </w:rPr>
        <w:t>there is room for tax increases for important investments in roads, public transit, schools, and other infrastructure</w:t>
      </w:r>
      <w:r w:rsidRPr="00AA0D15">
        <w:t>.</w:t>
      </w:r>
    </w:p>
    <w:p w:rsidR="00AB33B0" w:rsidRDefault="00AB33B0" w:rsidP="00AB33B0">
      <w:pPr>
        <w:pStyle w:val="Heading3"/>
      </w:pPr>
      <w:r>
        <w:t>2nc solvency</w:t>
      </w:r>
    </w:p>
    <w:p w:rsidR="00AB33B0" w:rsidRDefault="00AB33B0" w:rsidP="00AB33B0">
      <w:pPr>
        <w:pStyle w:val="Heading4"/>
      </w:pPr>
      <w:r>
        <w:t xml:space="preserve">Borrowing is beneficial for states </w:t>
      </w:r>
    </w:p>
    <w:p w:rsidR="00AB33B0" w:rsidRPr="007C3095" w:rsidRDefault="00AB33B0" w:rsidP="00AB33B0">
      <w:r w:rsidRPr="007C3095">
        <w:rPr>
          <w:rStyle w:val="Style13ptBold"/>
        </w:rPr>
        <w:t>CBPP 15</w:t>
      </w:r>
      <w:r>
        <w:t xml:space="preserve"> - </w:t>
      </w:r>
      <w:r w:rsidRPr="007C3095">
        <w:t>The Center on Budget and Policy Priorities is a nonprofit, nonpartisan research organization and policy institute that conducts research and analysis on a range of government policies and programs</w:t>
      </w:r>
      <w:r>
        <w:t xml:space="preserve"> (“</w:t>
      </w:r>
      <w:r w:rsidRPr="007C3095">
        <w:t>Policy Basics: State and Local Borrowing</w:t>
      </w:r>
      <w:r>
        <w:t xml:space="preserve">,” Center on Budget and Policy Priorities, </w:t>
      </w:r>
      <w:hyperlink r:id="rId51" w:history="1">
        <w:r w:rsidRPr="00C60EB8">
          <w:rPr>
            <w:rStyle w:val="Hyperlink"/>
          </w:rPr>
          <w:t>http://www.cbpp.org/research/policy-basics-state-and-local-borrowing</w:t>
        </w:r>
      </w:hyperlink>
      <w:r>
        <w:t>) MFP</w:t>
      </w:r>
    </w:p>
    <w:p w:rsidR="00AB33B0" w:rsidRDefault="00AB33B0" w:rsidP="00AB33B0">
      <w:r>
        <w:t xml:space="preserve">State and local investments in schools, roads, hospitals, and other infrastructure provide the foundation for a vibrant economy and high quality of life. </w:t>
      </w:r>
      <w:r w:rsidRPr="007C3095">
        <w:rPr>
          <w:rStyle w:val="StyleUnderline"/>
        </w:rPr>
        <w:t xml:space="preserve">Borrowing — by issuing bonds — is a tried-and-true way to finance </w:t>
      </w:r>
      <w:r w:rsidRPr="007C3095">
        <w:t>the</w:t>
      </w:r>
      <w:r w:rsidRPr="007C3095">
        <w:rPr>
          <w:rStyle w:val="StyleUnderline"/>
        </w:rPr>
        <w:t xml:space="preserve"> cost </w:t>
      </w:r>
      <w:r w:rsidRPr="007C3095">
        <w:t>of building and maintaining this infrastructure</w:t>
      </w:r>
      <w:r w:rsidRPr="007C3095">
        <w:rPr>
          <w:rStyle w:val="StyleUnderline"/>
        </w:rPr>
        <w:t>. Projects financed with bonds can give a state’s economy both a short- and long-term boost</w:t>
      </w:r>
      <w:r>
        <w:t xml:space="preserve">. </w:t>
      </w:r>
      <w:r w:rsidRPr="007C3095">
        <w:rPr>
          <w:rStyle w:val="StyleUnderline"/>
        </w:rPr>
        <w:t>There are sound reasons that states and localities borrow</w:t>
      </w:r>
      <w:r>
        <w:t xml:space="preserve"> to pay for infrastructure, rather than use annual tax collections and other revenues. Public buildings, roads, and bridges are used for decades but entail large upfront costs; </w:t>
      </w:r>
      <w:r w:rsidRPr="007C3095">
        <w:rPr>
          <w:rStyle w:val="StyleUnderline"/>
        </w:rPr>
        <w:t>borrowing enables the state to spread out</w:t>
      </w:r>
      <w:r>
        <w:t xml:space="preserve"> those </w:t>
      </w:r>
      <w:r w:rsidRPr="007C3095">
        <w:rPr>
          <w:rStyle w:val="StyleUnderline"/>
        </w:rPr>
        <w:t>costs</w:t>
      </w:r>
      <w:r>
        <w:t xml:space="preserve">. As a result, </w:t>
      </w:r>
      <w:r w:rsidRPr="007C3095">
        <w:rPr>
          <w:rStyle w:val="StyleUnderline"/>
        </w:rPr>
        <w:t>taxpayers</w:t>
      </w:r>
      <w:r>
        <w:t xml:space="preserve"> who will use the infrastructure in the future </w:t>
      </w:r>
      <w:r w:rsidRPr="007C3095">
        <w:rPr>
          <w:rStyle w:val="StyleUnderline"/>
        </w:rPr>
        <w:t>help pay for it, which promotes intergenerational equity</w:t>
      </w:r>
      <w:r>
        <w:t xml:space="preserve">. </w:t>
      </w:r>
      <w:r w:rsidRPr="007C3095">
        <w:rPr>
          <w:rStyle w:val="StyleUnderline"/>
        </w:rPr>
        <w:t>Borrowing also makes infrastructure projects more affordable by reducing the pressure on a state’s budget in any given year</w:t>
      </w:r>
      <w:r>
        <w:t xml:space="preserve">. Most State Debt Used for Long-Term Infrastructure Investments Almost all state and local bond debt is long-term debt incurred to pay for capital expenditures — primarily infrastructure projects such as roads and bridges, schools, water systems, and hospitals — not to cover operating expenses.[1] (See figure.) States typically prohibit the use of bond proceeds to fund operating expenses, although that has occurred in a few instances. The vast majority (99 percent) of state and local debt is long-term, but a few states also issue short-term “revenue anticipation notes” to help them manage their cash flow. This type of debt must be repaid within the fiscal year. How much a state or locality borrows should reflect local infrastructure needs, the current cost of debt, and expected revenue growth. With the memory of the Great Recession still fresh, some states and localities are hesitant to take on more debt. </w:t>
      </w:r>
      <w:r w:rsidRPr="007C3095">
        <w:rPr>
          <w:rStyle w:val="StyleUnderline"/>
        </w:rPr>
        <w:t>Conditions for borrowing have rarely been better, however, and needs are great. States’ and localities’ current interest costs are low</w:t>
      </w:r>
      <w:r>
        <w:t xml:space="preserve">. </w:t>
      </w:r>
      <w:r w:rsidRPr="007C3095">
        <w:rPr>
          <w:rStyle w:val="StyleUnderline"/>
        </w:rPr>
        <w:t>Interest payments on debt averaged just 4 percent of current spending</w:t>
      </w:r>
      <w:r>
        <w:t xml:space="preserve"> in 2011, the lowest level since Census began tracking this data in 1977. </w:t>
      </w:r>
      <w:r w:rsidRPr="007C3095">
        <w:rPr>
          <w:rStyle w:val="StyleUnderline"/>
        </w:rPr>
        <w:t>Interest payments made up less than 5 percent of state and local spending in all but nine states.</w:t>
      </w:r>
      <w:r>
        <w:t xml:space="preserve"> </w:t>
      </w:r>
      <w:r w:rsidRPr="007C3095">
        <w:rPr>
          <w:rStyle w:val="StyleUnderline"/>
        </w:rPr>
        <w:t>Total state and local debt is below pre-recession levels</w:t>
      </w:r>
      <w:r>
        <w:t xml:space="preserve">. Measured as a share of the economy, state and local debt has fallen since 2010 and is below pre-recession levels. If borrowing returned to pre-recession levels as a share of the economy, an additional $400 billion would be available to address infrastructure needs. (For comparison, the aggregate value of all bonds issued for school construction and rehabilitation between 2003 and 2012 was $514 billion.) </w:t>
      </w:r>
      <w:r w:rsidRPr="00683256">
        <w:rPr>
          <w:rStyle w:val="StyleUnderline"/>
        </w:rPr>
        <w:t>Interest rates are low, which means borrowing is inexpensive. In order to promote economic growth after the recession, the Federal Reserve has kept the short-term interest rate that banks charge to borrow from each other very low</w:t>
      </w:r>
      <w:r>
        <w:t>. This, in turn, reduces the interest rates charged for other types of loans, including bonds purchased from state and local governments. The Fed is not expected to begin raising short-term interest rates until the middle of 2015, so the Congressional Budget Office projects that interest rates in general will remain low until then and increase only slowly after that.</w:t>
      </w:r>
    </w:p>
    <w:p w:rsidR="00AB33B0" w:rsidRDefault="00AB33B0" w:rsidP="00AB33B0">
      <w:pPr>
        <w:pStyle w:val="Heading4"/>
      </w:pPr>
      <w:r>
        <w:t xml:space="preserve">States borrow money all the time </w:t>
      </w:r>
    </w:p>
    <w:p w:rsidR="00AB33B0" w:rsidRDefault="00AB33B0" w:rsidP="00AB33B0">
      <w:r w:rsidRPr="00F764EA">
        <w:rPr>
          <w:rStyle w:val="Style13ptBold"/>
        </w:rPr>
        <w:t>KCS editorial board 6/17</w:t>
      </w:r>
      <w:r>
        <w:t xml:space="preserve"> – online newspaper covering local Kansas City news (“</w:t>
      </w:r>
      <w:r w:rsidRPr="008A480F">
        <w:t>Editorial: Kansas City Council right to explore public borrowing for KCI project</w:t>
      </w:r>
      <w:r>
        <w:t xml:space="preserve">,” The Kansas City Star, </w:t>
      </w:r>
      <w:hyperlink r:id="rId52" w:history="1">
        <w:r w:rsidRPr="00C60EB8">
          <w:rPr>
            <w:rStyle w:val="Hyperlink"/>
          </w:rPr>
          <w:t>http://www.kansascity.com/opinion/editorials/article158501409.html</w:t>
        </w:r>
      </w:hyperlink>
      <w:r>
        <w:t>)</w:t>
      </w:r>
    </w:p>
    <w:p w:rsidR="00C81BC7" w:rsidRPr="00C81BC7" w:rsidRDefault="00AB33B0" w:rsidP="00C81BC7">
      <w:r w:rsidRPr="008A480F">
        <w:t>Members of the Kansas City Council will begin</w:t>
      </w:r>
      <w:r>
        <w:t xml:space="preserve"> </w:t>
      </w:r>
      <w:hyperlink r:id="rId53" w:tgtFrame="_blank" w:history="1">
        <w:r w:rsidRPr="008A480F">
          <w:rPr>
            <w:rStyle w:val="Hyperlink"/>
          </w:rPr>
          <w:t>considering a proposal</w:t>
        </w:r>
        <w:r>
          <w:rPr>
            <w:rStyle w:val="Hyperlink"/>
          </w:rPr>
          <w:t xml:space="preserve"> </w:t>
        </w:r>
      </w:hyperlink>
      <w:r w:rsidRPr="008A480F">
        <w:t>Wednesday to put a new airport terminal on the November ballot.</w:t>
      </w:r>
      <w:r>
        <w:t xml:space="preserve"> </w:t>
      </w:r>
      <w:r w:rsidRPr="008A480F">
        <w:t>The plan, proposed by City Councilwoman</w:t>
      </w:r>
      <w:r>
        <w:t xml:space="preserve"> </w:t>
      </w:r>
      <w:hyperlink r:id="rId54" w:tgtFrame="_blank" w:history="1">
        <w:r w:rsidRPr="008A480F">
          <w:rPr>
            <w:rStyle w:val="Hyperlink"/>
          </w:rPr>
          <w:t>Katheryn Shields</w:t>
        </w:r>
      </w:hyperlink>
      <w:r w:rsidRPr="008A480F">
        <w:t>, is pretty straightforward. It would ask voters to authorize issuance of public airport bonds, up to $990 million, to “construct a new passenger terminal at Kansas City International Airport.”</w:t>
      </w:r>
      <w:r>
        <w:t xml:space="preserve"> </w:t>
      </w:r>
      <w:r w:rsidRPr="008A480F">
        <w:t>The key word here is “public</w:t>
      </w:r>
      <w:r w:rsidRPr="00683256">
        <w:rPr>
          <w:rStyle w:val="StyleUnderline"/>
        </w:rPr>
        <w:t>.” Shields wants the city to borrow money for the terminal, the way virtually every other public project in America is finance</w:t>
      </w:r>
      <w:r w:rsidRPr="008A480F">
        <w:t>d.</w:t>
      </w:r>
      <w:r>
        <w:t xml:space="preserve"> </w:t>
      </w:r>
      <w:r w:rsidRPr="008A480F">
        <w:t>ADVERTISING</w:t>
      </w:r>
      <w:r>
        <w:t xml:space="preserve"> </w:t>
      </w:r>
      <w:r w:rsidRPr="008A480F">
        <w:t>Her plan deserves full consideration in the weeks ahead.</w:t>
      </w:r>
      <w:r>
        <w:t xml:space="preserve"> </w:t>
      </w:r>
      <w:r w:rsidRPr="00683256">
        <w:rPr>
          <w:rStyle w:val="StyleUnderline"/>
        </w:rPr>
        <w:t>Voters shouldn’t be worried about or misled by the possibility of a so-called public option for financing the airport terminal project. Cities, counties and states borrow money all the time by issuing bonds</w:t>
      </w:r>
      <w:r w:rsidRPr="008A480F">
        <w:t>.</w:t>
      </w:r>
      <w:r>
        <w:t xml:space="preserve"> </w:t>
      </w:r>
      <w:r w:rsidRPr="008A480F">
        <w:t>In fact, in April,</w:t>
      </w:r>
      <w:r>
        <w:t xml:space="preserve"> </w:t>
      </w:r>
      <w:hyperlink r:id="rId55" w:tgtFrame="_blank" w:history="1">
        <w:r w:rsidRPr="008A480F">
          <w:rPr>
            <w:rStyle w:val="Hyperlink"/>
          </w:rPr>
          <w:t>voters overwhelmingly approved $800 million in public bonds</w:t>
        </w:r>
      </w:hyperlink>
      <w:r>
        <w:t xml:space="preserve"> </w:t>
      </w:r>
      <w:r w:rsidRPr="008A480F">
        <w:t>for infrastructure repairs in Kansas City.</w:t>
      </w:r>
    </w:p>
    <w:p w:rsidR="00C47278" w:rsidRPr="00AA0D15" w:rsidRDefault="00C47278" w:rsidP="00C47278">
      <w:pPr>
        <w:pStyle w:val="Heading2"/>
        <w:rPr>
          <w:rFonts w:cs="Times New Roman"/>
        </w:rPr>
      </w:pPr>
      <w:r w:rsidRPr="00AA0D15">
        <w:rPr>
          <w:rFonts w:cs="Times New Roman"/>
        </w:rPr>
        <w:t xml:space="preserve">AT </w:t>
      </w:r>
      <w:r w:rsidR="00C81BC7">
        <w:rPr>
          <w:rFonts w:cs="Times New Roman"/>
        </w:rPr>
        <w:t>BUDGET TRADEOFF DA</w:t>
      </w:r>
    </w:p>
    <w:p w:rsidR="00C47278" w:rsidRPr="00AA0D15" w:rsidRDefault="00C47278" w:rsidP="00C47278"/>
    <w:p w:rsidR="00C47278" w:rsidRPr="00AA0D15" w:rsidRDefault="007C2097" w:rsidP="00C47278">
      <w:pPr>
        <w:pStyle w:val="Heading3"/>
        <w:rPr>
          <w:rFonts w:cs="Times New Roman"/>
        </w:rPr>
      </w:pPr>
      <w:r>
        <w:rPr>
          <w:rFonts w:cs="Times New Roman"/>
        </w:rPr>
        <w:t>NU</w:t>
      </w:r>
      <w:r w:rsidR="004F0113">
        <w:rPr>
          <w:rFonts w:cs="Times New Roman"/>
        </w:rPr>
        <w:t xml:space="preserve"> – funding down</w:t>
      </w:r>
    </w:p>
    <w:p w:rsidR="00C47278" w:rsidRPr="00AA0D15" w:rsidRDefault="00C47278" w:rsidP="00C47278">
      <w:pPr>
        <w:pStyle w:val="Heading4"/>
        <w:rPr>
          <w:rFonts w:cs="Times New Roman"/>
        </w:rPr>
      </w:pPr>
      <w:r w:rsidRPr="00AA0D15">
        <w:rPr>
          <w:rFonts w:cs="Times New Roman"/>
        </w:rPr>
        <w:t xml:space="preserve">Non uq --- funding has been declining for a decade </w:t>
      </w:r>
    </w:p>
    <w:p w:rsidR="00C47278" w:rsidRPr="00AA0D15" w:rsidRDefault="00C47278" w:rsidP="00C47278">
      <w:r w:rsidRPr="00CB4C8B">
        <w:rPr>
          <w:rStyle w:val="Style13ptBold"/>
        </w:rPr>
        <w:t>Daniels 16</w:t>
      </w:r>
      <w:r w:rsidRPr="00AA0D15">
        <w:rPr>
          <w:b/>
        </w:rPr>
        <w:t xml:space="preserve"> </w:t>
      </w:r>
      <w:r w:rsidRPr="00AA0D15">
        <w:t>--- president of the Johns Hopkins University. (Ronald J. Daniels, May 5, “Free the Public Universities”, http://www.chronicle.com/article/Free-the-Public-Universities/236372)//ET</w:t>
      </w:r>
    </w:p>
    <w:p w:rsidR="00C47278" w:rsidRPr="00AA0D15" w:rsidRDefault="00C47278" w:rsidP="00C47278">
      <w:r w:rsidRPr="00AA0D15">
        <w:t xml:space="preserve">Over the last decade, the fate of America’s public universities has commanded considerable attention. The principal concern has been </w:t>
      </w:r>
      <w:r w:rsidRPr="00AA0D15">
        <w:rPr>
          <w:rStyle w:val="StyleUnderline"/>
        </w:rPr>
        <w:t>the impact that steadily declining levels of state support for higher education has had on tuition levels, enrollment patterns, and program offerings and priorities. Since 2000, public universities</w:t>
      </w:r>
      <w:r w:rsidRPr="00AA0D15">
        <w:t xml:space="preserve"> </w:t>
      </w:r>
      <w:r w:rsidRPr="00AA0D15">
        <w:rPr>
          <w:rStyle w:val="StyleUnderline"/>
        </w:rPr>
        <w:t xml:space="preserve">have lost </w:t>
      </w:r>
      <w:r w:rsidRPr="00AA0D15">
        <w:rPr>
          <w:rStyle w:val="Emphasis"/>
        </w:rPr>
        <w:t>25 percent of their state funding per student</w:t>
      </w:r>
      <w:r w:rsidRPr="00AA0D15">
        <w:rPr>
          <w:rStyle w:val="StyleUnderline"/>
        </w:rPr>
        <w:t>.</w:t>
      </w:r>
      <w:r w:rsidRPr="00AA0D15">
        <w:t xml:space="preserve"> The </w:t>
      </w:r>
      <w:r w:rsidRPr="00AA0D15">
        <w:rPr>
          <w:rStyle w:val="StyleUnderline"/>
        </w:rPr>
        <w:t xml:space="preserve">University of California at Berkeley, one of the leading public research universities in the nation, now receives only about 13 percent of its budget from state appropriations, compared with about 50 percent a few decades ago. </w:t>
      </w:r>
      <w:r w:rsidRPr="00AA0D15">
        <w:t>This shift from public to private funding support has led many to conclude that we are witnessing nothing less than the privatization of the public research university.</w:t>
      </w:r>
    </w:p>
    <w:p w:rsidR="00C47278" w:rsidRPr="00AA0D15" w:rsidRDefault="00C47278" w:rsidP="00C47278">
      <w:pPr>
        <w:pStyle w:val="Heading4"/>
        <w:rPr>
          <w:rStyle w:val="StyleUnderline"/>
          <w:rFonts w:cs="Times New Roman"/>
          <w:sz w:val="26"/>
          <w:szCs w:val="26"/>
          <w:u w:val="none"/>
        </w:rPr>
      </w:pPr>
      <w:r w:rsidRPr="00AA0D15">
        <w:rPr>
          <w:rStyle w:val="StyleUnderline"/>
          <w:rFonts w:cs="Times New Roman"/>
          <w:sz w:val="26"/>
          <w:szCs w:val="26"/>
          <w:u w:val="none"/>
        </w:rPr>
        <w:t>DA non unique, but universities can inevitably adapt</w:t>
      </w:r>
    </w:p>
    <w:p w:rsidR="00C47278" w:rsidRPr="00AA0D15" w:rsidRDefault="00C47278" w:rsidP="00C47278">
      <w:r w:rsidRPr="00CB4C8B">
        <w:rPr>
          <w:rStyle w:val="Style13ptBold"/>
        </w:rPr>
        <w:t>Tugend 2016</w:t>
      </w:r>
      <w:r w:rsidRPr="00AA0D15">
        <w:rPr>
          <w:b/>
        </w:rPr>
        <w:t xml:space="preserve"> </w:t>
      </w:r>
      <w:r w:rsidRPr="00AA0D15">
        <w:t>--- New York Times journalist. (ALINA TUGEND, “How Public Universities Are Addressing Declines in State Funding”, New York Times. https://www.nytimes.com/2016/06/23/education/how-public-universities-are-addressing-declines-in-state-funding.html)//ET</w:t>
      </w:r>
    </w:p>
    <w:p w:rsidR="00C47278" w:rsidRDefault="00C47278" w:rsidP="00C47278">
      <w:pPr>
        <w:rPr>
          <w:rStyle w:val="Emphasis"/>
        </w:rPr>
      </w:pPr>
      <w:r w:rsidRPr="00AA0D15">
        <w:rPr>
          <w:rStyle w:val="Emphasis"/>
        </w:rPr>
        <w:t xml:space="preserve">Public colleges and universities are grappling with diminishing resources, largely because of significant declines in state funding over the years. </w:t>
      </w:r>
      <w:r w:rsidRPr="00AA0D15">
        <w:rPr>
          <w:rStyle w:val="StyleUnderline"/>
        </w:rPr>
        <w:t>The average state is now spending 20 percent less per student than it did at the start of the recession in 2008,</w:t>
      </w:r>
      <w:r w:rsidRPr="00AA0D15">
        <w:rPr>
          <w:rStyle w:val="StyleUnderline"/>
          <w:sz w:val="16"/>
          <w:u w:val="none"/>
        </w:rPr>
        <w:t xml:space="preserve"> according to the Center on Budget and Policy Priorities, a nonprofit research organization. Some public higher education systems are experiencing much deeper cuts. </w:t>
      </w:r>
      <w:r w:rsidRPr="00AA0D15">
        <w:rPr>
          <w:rStyle w:val="Emphasis"/>
        </w:rPr>
        <w:t>In response, almost all public colleges and universities have increased tuition while considering other ways to raise revenue, lower costs and maintain high standards.</w:t>
      </w:r>
    </w:p>
    <w:p w:rsidR="004F0113" w:rsidRPr="004F0113" w:rsidRDefault="004F0113" w:rsidP="004F0113">
      <w:pPr>
        <w:pStyle w:val="Heading3"/>
      </w:pPr>
      <w:r w:rsidRPr="004F0113">
        <w:t>NU – health care tradeoff</w:t>
      </w:r>
    </w:p>
    <w:p w:rsidR="004F0113" w:rsidRPr="0021090A" w:rsidRDefault="004F0113" w:rsidP="004F0113">
      <w:pPr>
        <w:pStyle w:val="Heading4"/>
      </w:pPr>
      <w:r>
        <w:t>Medicaid tradeoff wrecks higher ed funding now</w:t>
      </w:r>
    </w:p>
    <w:p w:rsidR="004F0113" w:rsidRPr="0021090A" w:rsidRDefault="004F0113" w:rsidP="004F0113">
      <w:pPr>
        <w:rPr>
          <w:rStyle w:val="Style13ptBold"/>
          <w:b w:val="0"/>
        </w:rPr>
      </w:pPr>
      <w:r>
        <w:rPr>
          <w:rStyle w:val="Style13ptBold"/>
        </w:rPr>
        <w:t xml:space="preserve">Setzer 4/12 </w:t>
      </w:r>
      <w:r>
        <w:rPr>
          <w:rStyle w:val="Style13ptBold"/>
          <w:b w:val="0"/>
        </w:rPr>
        <w:t xml:space="preserve">– Rick, “Health Care vs. Higher Ed,” Inside Higher Ed, 4/12/17, </w:t>
      </w:r>
      <w:r w:rsidRPr="0021090A">
        <w:rPr>
          <w:rStyle w:val="Style13ptBold"/>
          <w:b w:val="0"/>
        </w:rPr>
        <w:t>https://www.insidehighered.com/news/2017/04/12/medicaid-funding-changes-pressure-state-higher-ed-funding</w:t>
      </w:r>
    </w:p>
    <w:p w:rsidR="004F0113" w:rsidRPr="0021090A" w:rsidRDefault="004F0113" w:rsidP="004F0113">
      <w:pPr>
        <w:rPr>
          <w:sz w:val="12"/>
        </w:rPr>
      </w:pPr>
      <w:r w:rsidRPr="0021090A">
        <w:rPr>
          <w:rStyle w:val="StyleUnderline"/>
        </w:rPr>
        <w:t>When Republicans</w:t>
      </w:r>
      <w:r w:rsidRPr="0021090A">
        <w:rPr>
          <w:sz w:val="12"/>
        </w:rPr>
        <w:t xml:space="preserve"> in the House of Representatives </w:t>
      </w:r>
      <w:r w:rsidRPr="0021090A">
        <w:rPr>
          <w:rStyle w:val="StyleUnderline"/>
        </w:rPr>
        <w:t>seemed to be nearing a vote on a health care reform bill last month</w:t>
      </w:r>
      <w:r w:rsidRPr="0021090A">
        <w:rPr>
          <w:sz w:val="12"/>
        </w:rPr>
        <w:t xml:space="preserve">, several prominent </w:t>
      </w:r>
      <w:r w:rsidRPr="0021090A">
        <w:rPr>
          <w:rStyle w:val="StyleUnderline"/>
        </w:rPr>
        <w:t>Democratic</w:t>
      </w:r>
      <w:r w:rsidRPr="0021090A">
        <w:rPr>
          <w:sz w:val="12"/>
        </w:rPr>
        <w:t xml:space="preserve"> governor</w:t>
      </w:r>
      <w:r w:rsidRPr="0021090A">
        <w:rPr>
          <w:rStyle w:val="StyleUnderline"/>
        </w:rPr>
        <w:t>s spoke out to criticize</w:t>
      </w:r>
      <w:r w:rsidRPr="0021090A">
        <w:rPr>
          <w:sz w:val="12"/>
        </w:rPr>
        <w:t xml:space="preserve"> the proposed changes, </w:t>
      </w:r>
      <w:r w:rsidRPr="0021090A">
        <w:rPr>
          <w:rStyle w:val="StyleUnderline"/>
        </w:rPr>
        <w:t xml:space="preserve">arguing they would </w:t>
      </w:r>
      <w:r w:rsidRPr="0021090A">
        <w:rPr>
          <w:rStyle w:val="Emphasis"/>
        </w:rPr>
        <w:t>impose high costs on states.</w:t>
      </w:r>
      <w:r w:rsidRPr="0021090A">
        <w:rPr>
          <w:sz w:val="12"/>
        </w:rPr>
        <w:t xml:space="preserve"> California Governor Jerry Brown said that the proposed changes would cost California $6 billion per year by 2020. New York Governor Andrew Cuomo said the federal reform bill would create a gap of almost $7 billion in the state’s budget because of changes to Medicaid reimbursements. </w:t>
      </w:r>
      <w:r w:rsidRPr="0021090A">
        <w:rPr>
          <w:rStyle w:val="StyleUnderline"/>
        </w:rPr>
        <w:t>Republicans</w:t>
      </w:r>
      <w:r w:rsidRPr="0021090A">
        <w:rPr>
          <w:sz w:val="12"/>
        </w:rPr>
        <w:t xml:space="preserve"> did not bring their bill to the floor for a vote after they </w:t>
      </w:r>
      <w:r w:rsidRPr="0021090A">
        <w:rPr>
          <w:rStyle w:val="StyleUnderline"/>
        </w:rPr>
        <w:t>were unable to drum up enough support amid intense opposition</w:t>
      </w:r>
      <w:r w:rsidRPr="0021090A">
        <w:rPr>
          <w:sz w:val="12"/>
        </w:rPr>
        <w:t xml:space="preserve">. </w:t>
      </w:r>
      <w:r w:rsidRPr="0021090A">
        <w:rPr>
          <w:rStyle w:val="StyleUnderline"/>
        </w:rPr>
        <w:t xml:space="preserve">But even without changes, many states are </w:t>
      </w:r>
      <w:r w:rsidRPr="0021090A">
        <w:rPr>
          <w:rStyle w:val="Emphasis"/>
        </w:rPr>
        <w:t>shouldering a larger share of Medicaid costs</w:t>
      </w:r>
      <w:r w:rsidRPr="0021090A">
        <w:rPr>
          <w:rStyle w:val="StyleUnderline"/>
        </w:rPr>
        <w:t xml:space="preserve"> than they have been over the last several years.</w:t>
      </w:r>
      <w:r w:rsidRPr="0021090A">
        <w:rPr>
          <w:sz w:val="12"/>
        </w:rPr>
        <w:t xml:space="preserve"> They’re just doing it under existing law, the Patient Protection and Affordable Care Act, which President Obama signed and President Trump sought to repeal. The way the current law was designed, states' share of Medicaid costs is rising </w:t>
      </w:r>
      <w:r w:rsidRPr="0021090A">
        <w:rPr>
          <w:rStyle w:val="StyleUnderline"/>
        </w:rPr>
        <w:t>as the federal government pulls back on incentives it used to encourage them to expand the program. And when federal spending requirements for states grow, public funding for colleges and universities</w:t>
      </w:r>
      <w:r w:rsidRPr="0021090A">
        <w:rPr>
          <w:sz w:val="12"/>
        </w:rPr>
        <w:t xml:space="preserve"> -- one of the largest so-called discretionary pots of money most states control </w:t>
      </w:r>
      <w:r w:rsidRPr="0021090A">
        <w:rPr>
          <w:rStyle w:val="Emphasis"/>
        </w:rPr>
        <w:t>-- tends to be the target</w:t>
      </w:r>
      <w:r w:rsidRPr="0021090A">
        <w:rPr>
          <w:sz w:val="12"/>
        </w:rPr>
        <w:t>. Consequently, the current law has drawn attention from higher education experts, because more spending requirements on states translates into more pressure on public funding for colleges and universities. “</w:t>
      </w:r>
      <w:r w:rsidRPr="0021090A">
        <w:rPr>
          <w:rStyle w:val="Emphasis"/>
        </w:rPr>
        <w:t>Some states are going to be left really holding the bag</w:t>
      </w:r>
      <w:r w:rsidRPr="0021090A">
        <w:rPr>
          <w:sz w:val="12"/>
        </w:rPr>
        <w:t>,” said George Pernsteiner, president of the State Higher Education Executive Officers association. “</w:t>
      </w:r>
      <w:r w:rsidRPr="0021090A">
        <w:rPr>
          <w:rStyle w:val="StyleUnderline"/>
        </w:rPr>
        <w:t>It</w:t>
      </w:r>
      <w:r w:rsidRPr="0021090A">
        <w:rPr>
          <w:sz w:val="12"/>
        </w:rPr>
        <w:t xml:space="preserve"> </w:t>
      </w:r>
      <w:r w:rsidRPr="0021090A">
        <w:rPr>
          <w:rStyle w:val="StyleUnderline"/>
        </w:rPr>
        <w:t>will put them in a pinch</w:t>
      </w:r>
      <w:r w:rsidRPr="0021090A">
        <w:rPr>
          <w:sz w:val="12"/>
        </w:rPr>
        <w:t xml:space="preserve"> if they don’t have a booming economy. That’s what I worry about.” </w:t>
      </w:r>
      <w:r w:rsidRPr="0021090A">
        <w:rPr>
          <w:rStyle w:val="StyleUnderline"/>
        </w:rPr>
        <w:t>The increased costs are connected to the federal funding mechanism underpinning the expansion of Medicaid</w:t>
      </w:r>
      <w:r w:rsidRPr="0021090A">
        <w:rPr>
          <w:sz w:val="12"/>
        </w:rPr>
        <w:t xml:space="preserve">, which covers many low-income children and adults and people with disabilities. </w:t>
      </w:r>
      <w:r w:rsidRPr="0021090A">
        <w:rPr>
          <w:rStyle w:val="StyleUnderline"/>
        </w:rPr>
        <w:t>States and the federal government share Medicaid costs</w:t>
      </w:r>
      <w:r w:rsidRPr="0021090A">
        <w:rPr>
          <w:sz w:val="12"/>
        </w:rPr>
        <w:t xml:space="preserve"> under a patchwork of funding mechanisms, including the Federal Medical Assistance Percentage, or FMAP, which guarantees a minimum of $1 in federal matching funds for every $1 states spend on Medicaid. But the Affordable Care Act sought to entice states to expand Medicaid to cover adults with incomes of up to 138 percent of the federal poverty level. 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 Washington, D.C., and 31 </w:t>
      </w:r>
      <w:r w:rsidRPr="0021090A">
        <w:rPr>
          <w:rStyle w:val="StyleUnderline"/>
        </w:rPr>
        <w:t>states</w:t>
      </w:r>
      <w:r w:rsidRPr="0021090A">
        <w:rPr>
          <w:sz w:val="12"/>
        </w:rPr>
        <w:t xml:space="preserve"> expanded Medicaid in response to the Affordable Care Act. That means they </w:t>
      </w:r>
      <w:r w:rsidRPr="0021090A">
        <w:rPr>
          <w:rStyle w:val="StyleUnderline"/>
        </w:rPr>
        <w:t xml:space="preserve">are now seeing their share of Medicaid costs </w:t>
      </w:r>
      <w:r w:rsidRPr="0021090A">
        <w:rPr>
          <w:rStyle w:val="Emphasis"/>
        </w:rPr>
        <w:t>rising</w:t>
      </w:r>
      <w:r w:rsidRPr="0021090A">
        <w:rPr>
          <w:sz w:val="12"/>
        </w:rPr>
        <w:t xml:space="preserve">. 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 While 4.4 percent might not sound like an overwhelming increase, </w:t>
      </w:r>
      <w:r w:rsidRPr="0021090A">
        <w:rPr>
          <w:rStyle w:val="StyleUnderline"/>
        </w:rPr>
        <w:t xml:space="preserve">Medicaid spending is a </w:t>
      </w:r>
      <w:r w:rsidRPr="0021090A">
        <w:rPr>
          <w:rStyle w:val="Emphasis"/>
        </w:rPr>
        <w:t>massive portion of states’ budgets.</w:t>
      </w:r>
      <w:r w:rsidRPr="0021090A">
        <w:rPr>
          <w:sz w:val="12"/>
        </w:rPr>
        <w:t xml:space="preserve"> Medicaid spending across all states totaled $509 billion in the 2015 fiscal year, according to the Kaiser Family Foundation. States paid 38 percent of the costs, with the federal government picking up the rest. That means states spent about $193.4 billion on Medicaid in 2015</w:t>
      </w:r>
      <w:r w:rsidRPr="0021090A">
        <w:rPr>
          <w:rStyle w:val="Emphasis"/>
        </w:rPr>
        <w:t>. That dwarfs state higher education appropriations,</w:t>
      </w:r>
      <w:r w:rsidRPr="0021090A">
        <w:rPr>
          <w:sz w:val="12"/>
        </w:rPr>
        <w:t xml:space="preserve"> which totaled about $83.6 billion across the country in 2016-17. </w:t>
      </w:r>
      <w:r w:rsidRPr="0021090A">
        <w:rPr>
          <w:rStyle w:val="StyleUnderline"/>
        </w:rPr>
        <w:t xml:space="preserve">State legislators are essentially </w:t>
      </w:r>
      <w:r w:rsidRPr="0021090A">
        <w:rPr>
          <w:rStyle w:val="Emphasis"/>
        </w:rPr>
        <w:t>locked into spending on Medicaid</w:t>
      </w:r>
      <w:r w:rsidRPr="0021090A">
        <w:rPr>
          <w:sz w:val="12"/>
        </w:rPr>
        <w:t xml:space="preserve">. </w:t>
      </w:r>
      <w:r w:rsidRPr="0021090A">
        <w:rPr>
          <w:rStyle w:val="StyleUnderline"/>
        </w:rPr>
        <w:t xml:space="preserve">So when costs in that program rise, lawmakers have to either raise revenue through taxes and fees or find money in their discretionary budgets to reallocate. </w:t>
      </w:r>
      <w:r w:rsidRPr="0021090A">
        <w:rPr>
          <w:rStyle w:val="Emphasis"/>
        </w:rPr>
        <w:t>Higher education represents one of the few big-ticket discretionary items from which they can draw</w:t>
      </w:r>
      <w:r w:rsidRPr="0021090A">
        <w:rPr>
          <w:rStyle w:val="StyleUnderline"/>
        </w:rPr>
        <w:t>.</w:t>
      </w:r>
      <w:r>
        <w:rPr>
          <w:rStyle w:val="StyleUnderline"/>
        </w:rPr>
        <w:t xml:space="preserve"> </w:t>
      </w:r>
      <w:r w:rsidRPr="0021090A">
        <w:rPr>
          <w:sz w:val="12"/>
        </w:rPr>
        <w:t>“</w:t>
      </w:r>
      <w:r w:rsidRPr="0021090A">
        <w:rPr>
          <w:rStyle w:val="StyleUnderline"/>
        </w:rPr>
        <w:t>They’re going to get the money somewhere</w:t>
      </w:r>
      <w:r w:rsidRPr="0021090A">
        <w:rPr>
          <w:sz w:val="12"/>
        </w:rPr>
        <w:t>,” Pernsteiner said. “</w:t>
      </w:r>
      <w:r w:rsidRPr="0021090A">
        <w:rPr>
          <w:rStyle w:val="Emphasis"/>
        </w:rPr>
        <w:t>Where they make the cuts is higher ed.”</w:t>
      </w:r>
    </w:p>
    <w:p w:rsidR="004F0113" w:rsidRPr="004F0113" w:rsidRDefault="004F0113" w:rsidP="004F0113"/>
    <w:p w:rsidR="00C47278" w:rsidRPr="00AA0D15" w:rsidRDefault="00C47278" w:rsidP="00C47278">
      <w:pPr>
        <w:pStyle w:val="Heading3"/>
        <w:rPr>
          <w:rFonts w:cs="Times New Roman"/>
        </w:rPr>
      </w:pPr>
      <w:r w:rsidRPr="00AA0D15">
        <w:rPr>
          <w:rFonts w:cs="Times New Roman"/>
        </w:rPr>
        <w:t>Funding fails</w:t>
      </w:r>
    </w:p>
    <w:p w:rsidR="00C47278" w:rsidRPr="00AA0D15" w:rsidRDefault="00C47278" w:rsidP="00C47278">
      <w:pPr>
        <w:pStyle w:val="Heading4"/>
        <w:rPr>
          <w:rFonts w:cs="Times New Roman"/>
        </w:rPr>
      </w:pPr>
      <w:r w:rsidRPr="00AA0D15">
        <w:rPr>
          <w:rFonts w:cs="Times New Roman"/>
        </w:rPr>
        <w:t>University funding fails –</w:t>
      </w:r>
    </w:p>
    <w:p w:rsidR="00C47278" w:rsidRPr="00AA0D15" w:rsidRDefault="00C47278" w:rsidP="00C47278">
      <w:pPr>
        <w:pStyle w:val="Heading4"/>
        <w:numPr>
          <w:ilvl w:val="0"/>
          <w:numId w:val="22"/>
        </w:numPr>
        <w:spacing w:before="40" w:line="259" w:lineRule="auto"/>
        <w:rPr>
          <w:rFonts w:cs="Times New Roman"/>
        </w:rPr>
      </w:pPr>
      <w:r w:rsidRPr="00AA0D15">
        <w:rPr>
          <w:rFonts w:cs="Times New Roman"/>
        </w:rPr>
        <w:t>Science is an unattractive industry and no one is resilient enough to stay in it</w:t>
      </w:r>
    </w:p>
    <w:p w:rsidR="00C47278" w:rsidRPr="00AA0D15" w:rsidRDefault="00C47278" w:rsidP="00C47278">
      <w:r w:rsidRPr="00AA0D15">
        <w:rPr>
          <w:b/>
        </w:rPr>
        <w:t>Whitlock 3-21</w:t>
      </w:r>
      <w:r w:rsidR="00CB4C8B">
        <w:rPr>
          <w:b/>
        </w:rPr>
        <w:t>-2017</w:t>
      </w:r>
      <w:r w:rsidRPr="00AA0D15">
        <w:t xml:space="preserve"> – Sara Whitlock is a first-year graduate student studying structural biology at the University of Pittsburgh.  ("One reason young people don't go into science? We don't fail well," 3-21-2017, STAT, </w:t>
      </w:r>
      <w:hyperlink r:id="rId56" w:history="1">
        <w:r w:rsidRPr="00AA0D15">
          <w:rPr>
            <w:rStyle w:val="Hyperlink"/>
          </w:rPr>
          <w:t>https://www.statnews.com/2017/03/21/science-research-fail/)//jkuffour</w:t>
        </w:r>
      </w:hyperlink>
    </w:p>
    <w:p w:rsidR="00C47278" w:rsidRPr="00AA0D15" w:rsidRDefault="00C47278" w:rsidP="00C47278">
      <w:r w:rsidRPr="00AA0D15">
        <w:t xml:space="preserve">Four weeks into my first semester of college, my academic confidence was completely shredded. I had back-to-back tests in cell biology, chemistry, and calculus, and my time management skills weren’t quite there yet. I failed my calculus exam, and suddenly I wasn’t sure I had the intelligence or the ability to get a degree in science. My story has a happy ending — at least to me. Through stress eating, meltdowns, and support from my professor and older students, I studied my way to an A-minus in that calculus class. But, even better: I learned how to fail, something I keep learning and relearning as I come to the end of my second semester in graduate school. </w:t>
      </w:r>
      <w:r w:rsidRPr="00AA0D15">
        <w:rPr>
          <w:rStyle w:val="StyleUnderline"/>
        </w:rPr>
        <w:t xml:space="preserve">It’s the fundamental underpinning of scientific </w:t>
      </w:r>
      <w:r w:rsidRPr="00AA0D15">
        <w:rPr>
          <w:rStyle w:val="Emphasis"/>
        </w:rPr>
        <w:t>resilience</w:t>
      </w:r>
      <w:r w:rsidRPr="00AA0D15">
        <w:rPr>
          <w:rStyle w:val="StyleUnderline"/>
        </w:rPr>
        <w:t xml:space="preserve"> — </w:t>
      </w:r>
      <w:hyperlink r:id="rId57" w:history="1">
        <w:r w:rsidRPr="00AA0D15">
          <w:rPr>
            <w:rStyle w:val="StyleUnderline"/>
          </w:rPr>
          <w:t>failing repeatedly</w:t>
        </w:r>
      </w:hyperlink>
      <w:r w:rsidRPr="00AA0D15">
        <w:rPr>
          <w:rStyle w:val="StyleUnderline"/>
        </w:rPr>
        <w:t xml:space="preserve">, and picking yourself up to try again. It’s what I think </w:t>
      </w:r>
      <w:r w:rsidRPr="00AA0D15">
        <w:rPr>
          <w:rStyle w:val="Emphasis"/>
        </w:rPr>
        <w:t>is missing from many young Americans’ educational experiences,</w:t>
      </w:r>
      <w:r w:rsidRPr="00AA0D15">
        <w:t xml:space="preserve"> and, in part, </w:t>
      </w:r>
      <w:r w:rsidRPr="00AA0D15">
        <w:rPr>
          <w:rStyle w:val="StyleUnderline"/>
        </w:rPr>
        <w:t>why</w:t>
      </w:r>
      <w:r w:rsidRPr="00AA0D15">
        <w:t xml:space="preserve"> I think </w:t>
      </w:r>
      <w:r w:rsidRPr="00AA0D15">
        <w:rPr>
          <w:rStyle w:val="StyleUnderline"/>
        </w:rPr>
        <w:t>so many of us,</w:t>
      </w:r>
      <w:r w:rsidRPr="00AA0D15">
        <w:t xml:space="preserve"> as smart and creative and technically adept as we are, </w:t>
      </w:r>
      <w:r w:rsidRPr="00AA0D15">
        <w:rPr>
          <w:rStyle w:val="StyleUnderline"/>
        </w:rPr>
        <w:t>shy away from scientific research as our careers</w:t>
      </w:r>
      <w:r w:rsidRPr="00AA0D15">
        <w:t xml:space="preserve">. Learning resilience is fundamental to a successful career as a scientist. </w:t>
      </w:r>
      <w:r w:rsidRPr="00AA0D15">
        <w:rPr>
          <w:rStyle w:val="StyleUnderline"/>
        </w:rPr>
        <w:t>The experiments we try will fail many times before they work</w:t>
      </w:r>
      <w:r w:rsidRPr="00AA0D15">
        <w:t xml:space="preserve">, whether as an undergraduate, a PhD student, or a postdoc gunning for a faculty position. I’m dealing with this right now in my third laboratory rotation: In trying to study a protein in zebrafish, I made a mistake and all my embryos died. So, I’m troubleshooting and doing the experiment again. But actually overcoming failure is challenging. </w:t>
      </w:r>
      <w:r w:rsidRPr="00AA0D15">
        <w:rPr>
          <w:rStyle w:val="StyleUnderline"/>
        </w:rPr>
        <w:t xml:space="preserve">Many students who began science degrees </w:t>
      </w:r>
      <w:r w:rsidRPr="00AA0D15">
        <w:t>with me</w:t>
      </w:r>
      <w:r w:rsidRPr="00AA0D15">
        <w:rPr>
          <w:rStyle w:val="StyleUnderline"/>
        </w:rPr>
        <w:t xml:space="preserve"> switched to other majors the first time a project failed. </w:t>
      </w:r>
      <w:r w:rsidRPr="00AA0D15">
        <w:t>One failure and they were gone.</w:t>
      </w:r>
      <w:r w:rsidRPr="00AA0D15">
        <w:rPr>
          <w:rStyle w:val="StyleUnderline"/>
        </w:rPr>
        <w:t xml:space="preserve"> </w:t>
      </w:r>
      <w:r w:rsidRPr="00AA0D15">
        <w:t>This dropout situation has lasting implications for American science</w:t>
      </w:r>
      <w:r w:rsidRPr="00AA0D15">
        <w:rPr>
          <w:rStyle w:val="StyleUnderline"/>
        </w:rPr>
        <w:t xml:space="preserve">. The US has plenty of scientists, </w:t>
      </w:r>
      <w:r w:rsidRPr="00AA0D15">
        <w:rPr>
          <w:rStyle w:val="Emphasis"/>
        </w:rPr>
        <w:t xml:space="preserve">but </w:t>
      </w:r>
      <w:hyperlink r:id="rId58" w:tgtFrame="_blank" w:history="1">
        <w:r w:rsidRPr="00AA0D15">
          <w:rPr>
            <w:rStyle w:val="Emphasis"/>
          </w:rPr>
          <w:t>fewer and fewer</w:t>
        </w:r>
      </w:hyperlink>
      <w:r w:rsidRPr="00AA0D15">
        <w:rPr>
          <w:rStyle w:val="Emphasis"/>
        </w:rPr>
        <w:t xml:space="preserve"> are being born in the US</w:t>
      </w:r>
      <w:r w:rsidRPr="00AA0D15">
        <w:rPr>
          <w:rStyle w:val="StyleUnderline"/>
        </w:rPr>
        <w:t>.</w:t>
      </w:r>
      <w:r w:rsidRPr="00AA0D15">
        <w:t xml:space="preserve"> These foreign-born scientists are welcome, as far as I’m concerned, but with all the recent changes in immigration and visa policy, it’s an uncertain future — </w:t>
      </w:r>
      <w:r w:rsidRPr="00AA0D15">
        <w:rPr>
          <w:rStyle w:val="Emphasis"/>
        </w:rPr>
        <w:t>large numbers of our scientists-in-training could be forced to leave</w:t>
      </w:r>
      <w:r w:rsidRPr="00AA0D15">
        <w:rPr>
          <w:rStyle w:val="StyleUnderline"/>
        </w:rPr>
        <w:t xml:space="preserve"> after they finish graduate school or postdocs. Without these scientists, American science will suffer. </w:t>
      </w:r>
      <w:r w:rsidRPr="00AA0D15">
        <w:t xml:space="preserve">So, why are more immigrant students and fewer American students pursuing science education? Obviously, many factors play into this shift. </w:t>
      </w:r>
      <w:r w:rsidRPr="00AA0D15">
        <w:rPr>
          <w:rStyle w:val="Emphasis"/>
        </w:rPr>
        <w:t xml:space="preserve">With </w:t>
      </w:r>
      <w:hyperlink r:id="rId59" w:history="1">
        <w:r w:rsidRPr="00AA0D15">
          <w:rPr>
            <w:rStyle w:val="Emphasis"/>
          </w:rPr>
          <w:t>proposed cuts</w:t>
        </w:r>
      </w:hyperlink>
      <w:r w:rsidRPr="00AA0D15">
        <w:rPr>
          <w:rStyle w:val="StyleUnderline"/>
        </w:rPr>
        <w:t xml:space="preserve"> to the National Institutes of Health budget, </w:t>
      </w:r>
      <w:r w:rsidRPr="00AA0D15">
        <w:rPr>
          <w:rStyle w:val="Emphasis"/>
        </w:rPr>
        <w:t>a science career doesn’t look all that attractive</w:t>
      </w:r>
      <w:r w:rsidRPr="00AA0D15">
        <w:rPr>
          <w:rStyle w:val="StyleUnderline"/>
        </w:rPr>
        <w:t xml:space="preserve"> to many people</w:t>
      </w:r>
      <w:r w:rsidRPr="00AA0D15">
        <w:t xml:space="preserve"> — </w:t>
      </w:r>
      <w:r w:rsidRPr="00AA0D15">
        <w:rPr>
          <w:rStyle w:val="StyleUnderline"/>
        </w:rPr>
        <w:t xml:space="preserve">the already </w:t>
      </w:r>
      <w:r w:rsidRPr="00AA0D15">
        <w:rPr>
          <w:rStyle w:val="Emphasis"/>
        </w:rPr>
        <w:t>fierce competition for money to fund research will likely become cutthroat</w:t>
      </w:r>
      <w:r w:rsidRPr="00AA0D15">
        <w:rPr>
          <w:rStyle w:val="StyleUnderline"/>
        </w:rPr>
        <w:t xml:space="preserve">. </w:t>
      </w:r>
      <w:r w:rsidRPr="00AA0D15">
        <w:rPr>
          <w:rStyle w:val="Emphasis"/>
        </w:rPr>
        <w:t>Research scientists make lower wages than doctors or lawyers, our early science and math education doesn’t always make these subjects interesting, and</w:t>
      </w:r>
      <w:r w:rsidRPr="00AA0D15">
        <w:rPr>
          <w:rStyle w:val="StyleUnderline"/>
        </w:rPr>
        <w:t xml:space="preserve"> for a lot of scientists, </w:t>
      </w:r>
      <w:r w:rsidRPr="00AA0D15">
        <w:rPr>
          <w:rStyle w:val="Emphasis"/>
          <w:b w:val="0"/>
        </w:rPr>
        <w:t>our</w:t>
      </w:r>
      <w:r w:rsidRPr="00AA0D15">
        <w:rPr>
          <w:rStyle w:val="Emphasis"/>
        </w:rPr>
        <w:t xml:space="preserve"> prime research years also happen to be our prime parenting years</w:t>
      </w:r>
      <w:r w:rsidRPr="00AA0D15">
        <w:rPr>
          <w:rStyle w:val="StyleUnderline"/>
        </w:rPr>
        <w:t xml:space="preserve">. </w:t>
      </w:r>
      <w:r w:rsidRPr="00AA0D15">
        <w:t xml:space="preserve">But again, I think resiliency plays a role. </w:t>
      </w:r>
      <w:r w:rsidRPr="00AA0D15">
        <w:rPr>
          <w:rStyle w:val="StyleUnderline"/>
        </w:rPr>
        <w:t xml:space="preserve">A 2011 </w:t>
      </w:r>
      <w:hyperlink r:id="rId60" w:tgtFrame="_blank" w:history="1">
        <w:r w:rsidRPr="00AA0D15">
          <w:rPr>
            <w:rStyle w:val="StyleUnderline"/>
          </w:rPr>
          <w:t>study</w:t>
        </w:r>
      </w:hyperlink>
      <w:r w:rsidRPr="00AA0D15">
        <w:t xml:space="preserve"> looked at resiliency in disadvantaged students in the US, Japan, Korea, and other countries </w:t>
      </w:r>
      <w:r w:rsidRPr="00AA0D15">
        <w:rPr>
          <w:rStyle w:val="StyleUnderline"/>
          <w:sz w:val="16"/>
          <w:u w:val="none"/>
        </w:rPr>
        <w:t>and</w:t>
      </w:r>
      <w:r w:rsidRPr="00AA0D15">
        <w:rPr>
          <w:rStyle w:val="StyleUnderline"/>
          <w:sz w:val="16"/>
        </w:rPr>
        <w:t xml:space="preserve"> </w:t>
      </w:r>
      <w:r w:rsidRPr="00AA0D15">
        <w:rPr>
          <w:rStyle w:val="StyleUnderline"/>
        </w:rPr>
        <w:t xml:space="preserve">found that </w:t>
      </w:r>
      <w:r w:rsidRPr="00AA0D15">
        <w:rPr>
          <w:rStyle w:val="Emphasis"/>
        </w:rPr>
        <w:t>non-US students were more resilient</w:t>
      </w:r>
      <w:r w:rsidRPr="00AA0D15">
        <w:rPr>
          <w:rStyle w:val="StyleUnderline"/>
        </w:rPr>
        <w:t>. We produce too few students who can recover from academic challenges</w:t>
      </w:r>
      <w:r w:rsidRPr="00AA0D15">
        <w:t>.</w:t>
      </w:r>
    </w:p>
    <w:p w:rsidR="00C47278" w:rsidRPr="00AA0D15" w:rsidRDefault="00C47278" w:rsidP="00C47278">
      <w:pPr>
        <w:pStyle w:val="Heading4"/>
        <w:numPr>
          <w:ilvl w:val="0"/>
          <w:numId w:val="22"/>
        </w:numPr>
        <w:spacing w:before="40" w:line="259" w:lineRule="auto"/>
        <w:rPr>
          <w:rFonts w:cs="Times New Roman"/>
        </w:rPr>
      </w:pPr>
      <w:r w:rsidRPr="00AA0D15">
        <w:rPr>
          <w:rFonts w:cs="Times New Roman"/>
        </w:rPr>
        <w:t>Science is riddled with issues – can’t replicate studies and mass fake news doom solutions to failure</w:t>
      </w:r>
    </w:p>
    <w:p w:rsidR="00C47278" w:rsidRPr="00AA0D15" w:rsidRDefault="00C47278" w:rsidP="00C47278">
      <w:r w:rsidRPr="00AA0D15">
        <w:rPr>
          <w:b/>
        </w:rPr>
        <w:t>Economist 13</w:t>
      </w:r>
      <w:r w:rsidRPr="00AA0D15">
        <w:t xml:space="preserve"> – The Economist is an English-language weekly magazine-format newspaper owned by the Economist Group.  ("Trouble at the lab," 10-18-13, Economist, http://www.economist.com/news/briefing/21588057-scientists-think-science-self-correcting-alarming-degree-it-not-trouble)//jkuffour</w:t>
      </w:r>
    </w:p>
    <w:p w:rsidR="00C47278" w:rsidRPr="00AA0D15" w:rsidRDefault="00C47278" w:rsidP="00C47278">
      <w:r w:rsidRPr="00AA0D15">
        <w:t xml:space="preserve">“I SEE a train wreck looming,” warned Daniel Kahneman, an eminent psychologist, in an open letter last year. The premonition concerned research on a phenomenon known as “priming”. </w:t>
      </w:r>
      <w:r w:rsidRPr="00AA0D15">
        <w:rPr>
          <w:rStyle w:val="StyleUnderline"/>
        </w:rPr>
        <w:t>Priming studies suggest that decisions can be influenced by apparently irrelevant actions or events that took place just before the cusp of choice</w:t>
      </w:r>
      <w:r w:rsidRPr="00AA0D15">
        <w:t xml:space="preserve">. They have been a boom area in psychology over the past decade, and some of their insights have already made it out of the lab and into the toolkits of policy wonks keen on “nudging” the populace. Dr Kahneman and a growing number of his colleagues fear that a lot of this priming research is poorly founded. Over the past few years various researchers have made systematic attempts to replicate some of the more widely cited priming experiments. Many of these replications have failed. In April, for instance, a paper in PLoS ONE, a journal, reported that nine separate experiments had not managed to reproduce the results of a famous study from 1998 purporting to show that thinking about a professor before taking an intelligence test leads to a higher score than imagining a football hooligan. The idea that the same experiments always get the same results, no matter who performs them, is one of the cornerstones of science’s claim to objective truth. If a systematic campaign of replication does not lead to the same results, then either the original research is flawed (as the replicators claim) or the replications are (as many of the original researchers on priming contend). Either way, something is awry. To err is all too common It is tempting to see the priming fracas as an isolated case in an area of science—psychology—easily marginalised as soft and wayward. But </w:t>
      </w:r>
      <w:r w:rsidRPr="00AA0D15">
        <w:rPr>
          <w:rStyle w:val="Emphasis"/>
        </w:rPr>
        <w:t xml:space="preserve">irreproducibility is </w:t>
      </w:r>
      <w:r w:rsidRPr="00AA0D15">
        <w:rPr>
          <w:rStyle w:val="StyleUnderline"/>
        </w:rPr>
        <w:t xml:space="preserve">much more </w:t>
      </w:r>
      <w:r w:rsidRPr="00AA0D15">
        <w:rPr>
          <w:rStyle w:val="Emphasis"/>
        </w:rPr>
        <w:t>widespread</w:t>
      </w:r>
      <w:r w:rsidRPr="00AA0D15">
        <w:t xml:space="preserve">. A few years ago </w:t>
      </w:r>
      <w:r w:rsidRPr="00AA0D15">
        <w:rPr>
          <w:rStyle w:val="StyleUnderline"/>
        </w:rPr>
        <w:t>scientists at Amgen</w:t>
      </w:r>
      <w:r w:rsidRPr="00AA0D15">
        <w:t xml:space="preserve">, an American drug company, </w:t>
      </w:r>
      <w:r w:rsidRPr="00AA0D15">
        <w:rPr>
          <w:rStyle w:val="StyleUnderline"/>
        </w:rPr>
        <w:t>tried to replicate 53 studies that they considered landmarks in the basic science of cancer</w:t>
      </w:r>
      <w:r w:rsidRPr="00AA0D15">
        <w:t>, often co-operating closely with the original researchers to ensure that their experimental technique matched the one used first time round. According to a piece they wrote last year in Nature, a leading scientific journal</w:t>
      </w:r>
      <w:r w:rsidRPr="00AA0D15">
        <w:rPr>
          <w:rStyle w:val="StyleUnderline"/>
        </w:rPr>
        <w:t>, they were able to reproduce the original results in just six.</w:t>
      </w:r>
      <w:r w:rsidRPr="00AA0D15">
        <w:t xml:space="preserve"> Months earlier Florian Prinz and his colleagues at Bayer HealthCare, a German pharmaceutical giant, reported in Nature Reviews Drug Discovery, a sister journal, that they had successfully reproduced the published results in just a quarter of 67 seminal studies. The governments of the OECD, a club of mostly rich countries, spent $59 billion on biomedical research in 2012, nearly double the figure in 2000. One of the justifications for this is that basic-science results provided by governments form the basis for private drug-development work. If companies cannot rely on academic research, that reasoning breaks down. When an official at America’s National Institutes of Health (NIH) reckons, despairingly, that researchers would find it hard to reproduce at least three-quarters of all published biomedical findings, the public part of the process seems to have failed. Academic scientists readily acknowledge that they often get things wrong. But they also hold fast to the idea that these errors get corrected over time as other scientists try to take the work further. </w:t>
      </w:r>
      <w:r w:rsidRPr="00AA0D15">
        <w:rPr>
          <w:rStyle w:val="StyleUnderline"/>
        </w:rPr>
        <w:t xml:space="preserve">Evidence that many </w:t>
      </w:r>
      <w:r w:rsidRPr="00AA0D15">
        <w:rPr>
          <w:rStyle w:val="Emphasis"/>
        </w:rPr>
        <w:t>more dodgy results are published than are subsequently corrected</w:t>
      </w:r>
      <w:r w:rsidRPr="00AA0D15">
        <w:rPr>
          <w:rStyle w:val="StyleUnderline"/>
        </w:rPr>
        <w:t xml:space="preserve"> or withdrawn calls that much-vaunted capacity for self-correction into question. There are errors in a lot more of the scientific papers being published, written about and acted on than anyone would normally suppose, or like to think. </w:t>
      </w:r>
      <w:r w:rsidRPr="00AA0D15">
        <w:t xml:space="preserve">Various factors contribute to the problem. </w:t>
      </w:r>
      <w:r w:rsidRPr="00AA0D15">
        <w:rPr>
          <w:rStyle w:val="Emphasis"/>
        </w:rPr>
        <w:t>Statistical mistakes are widespread</w:t>
      </w:r>
      <w:r w:rsidRPr="00AA0D15">
        <w:rPr>
          <w:rStyle w:val="StyleUnderline"/>
        </w:rPr>
        <w:t xml:space="preserve">. The peer reviewers who evaluate papers before journals commit to publishing them are much worse at spotting mistakes than they or others appreciate. </w:t>
      </w:r>
      <w:r w:rsidRPr="00AA0D15">
        <w:rPr>
          <w:rStyle w:val="Emphasis"/>
        </w:rPr>
        <w:t>Professional pressure, competition and ambition push scientists to publish more quickly than would be wise</w:t>
      </w:r>
      <w:r w:rsidRPr="00AA0D15">
        <w:t xml:space="preserve">. A career structure which lays great stress on publishing copious papers exacerbates all these problems. “There is no cost to getting things wrong,” says Brian Nosek, a psychologist at the University of Virginia who has taken an interest in his discipline’s persistent errors. “The cost is not getting them published.” First, the statistics, which if perhaps off-putting are quite crucial. Scientists divide errors into two classes. A type I error is the mistake of thinking something is true when it is not (also known as a “false positive”). A type II error is thinking something is not true when in fact it is (a “false negative”). When testing a specific hypothesis, scientists run statistical checks to work out how likely it would be for data which seem to support the idea to have come about simply by chance. If the likelihood of such a false-positive conclusion is less than 5%, they deem the evidence that the hypothesis is true “statistically significant”. They are thus accepting that one result in 20 will be falsely positive—but one in 20 seems a satisfactorily low rate. Understanding insignificance In 2005 John Ioannidis, an epidemiologist from Stanford University, caused a stir with a paper showing why, as a matter of statistical logic, the idea that only one such paper in 20 gives a false-positive result was hugely optimistic. Instead, he argued, “most published research findings are probably false.” As he told the quadrennial International Congress on Peer Review and Biomedical Publication, held this September in Chicago, the problem has not gone away. Dr Ioannidis draws his stark conclusion on the basis that the customary approach to statistical significance ignores three things: the “statistical power” of the study (a measure of its ability to avoid type II errors, false negatives in which a real signal is missed in the noise); the unlikeliness of the hypothesis being tested; and the pervasive bias favouring the publication of claims to have found something new. A statistically powerful study is one able to pick things up even when their effects on the data are small. In general bigger studies—those which run the experiment more times, recruit more patients for the trial, or whatever—are more powerful. A power of 0.8 means that of ten true hypotheses tested, only two will be ruled out because their effects are not picked up in the data; this is widely accepted as powerful enough for most purposes. But this benchmark is not always met, not least because big studies are more expensive. A study in April by Dr Ioannidis and colleagues found that in neuroscience the typical statistical power is a dismal 0.21; writing in Perspectives on Psychological Science, Marjan Bakker of the University of Amsterdam and colleagues reckon that in that field the average power is 0.35. Unlikeliness is a measure of how surprising the result might be. By and large, </w:t>
      </w:r>
      <w:r w:rsidRPr="00AA0D15">
        <w:rPr>
          <w:rStyle w:val="StyleUnderline"/>
        </w:rPr>
        <w:t>scientists want surprising results, and so they test hypotheses that are normally pretty unlikely and often very unlikely</w:t>
      </w:r>
      <w:r w:rsidRPr="00AA0D15">
        <w:t xml:space="preserve">. Dr Ioannidis argues that in his field, epidemiology, you might expect one in ten hypotheses to be true. In exploratory disciplines like genomics, which rely on combing through vast troves of data about genes and proteins for interesting relationships, you might expect just one in a thousand to prove correct. With this in mind, consider 1,000 hypotheses being tested of which just 100 are true (see chart). Studies with a power of 0.8 will find 80 of them, missing 20 because of false negatives. Of the 900 hypotheses that are wrong, 5%—that is, 45 of them—will look right because of type I errors. Add the false positives to the 80 true positives and you have 125 positive results, fully a third of which are specious. If you dropped the statistical power from 0.8 to 0.4, which would seem realistic for many fields, you would still have 45 false positives but only 40 true positives. </w:t>
      </w:r>
      <w:r w:rsidRPr="00AA0D15">
        <w:rPr>
          <w:rStyle w:val="StyleUnderline"/>
        </w:rPr>
        <w:t xml:space="preserve">More than half your positive results would be wrong. </w:t>
      </w:r>
      <w:r w:rsidRPr="00AA0D15">
        <w:t xml:space="preserve">The negative results are much more trustworthy; for the case where the power is 0.8 there are 875 negative results of which only 20 are false, giving an accuracy of over 97%. But researchers and the journals in which they publish are not very interested in negative results. They prefer to accentuate the positive, and thus the error-prone. Negative results account for just 10-30% of published scientific literature, depending on the discipline. This bias may be growing. A study of 4,600 papers from across the sciences conducted by Daniele Fanelli of the University of Edinburgh found that the proportion of negative results dropped from 30% to 14% between 1990 and 2007. Lesley Yellowlees, president of Britain’s Royal Society of Chemistry, has published more than 100 papers. She remembers only one that reported a negative result. </w:t>
      </w:r>
      <w:r w:rsidRPr="00AA0D15">
        <w:rPr>
          <w:rStyle w:val="StyleUnderline"/>
        </w:rPr>
        <w:t>Statisticians have ways to deal with such problems. But most scientists are not statisticians.</w:t>
      </w:r>
      <w:r w:rsidRPr="00AA0D15">
        <w:t xml:space="preserve"> Victoria Stodden, a statistician at Columbia, speaks for many in her trade when she says that scientists’ grasp of statistics has not kept pace with the development of complex mathematical techniques for crunching data. </w:t>
      </w:r>
      <w:r w:rsidRPr="00AA0D15">
        <w:rPr>
          <w:rStyle w:val="Emphasis"/>
        </w:rPr>
        <w:t>Some scientists use inappropriate techniques</w:t>
      </w:r>
      <w:r w:rsidRPr="00AA0D15">
        <w:rPr>
          <w:rStyle w:val="StyleUnderline"/>
        </w:rPr>
        <w:t xml:space="preserve"> because those are the ones they feel comfortable with; others latch on to new ones without understanding their subtleties.</w:t>
      </w:r>
      <w:r w:rsidRPr="00AA0D15">
        <w:t xml:space="preserve"> Some just rely on the methods built into their software, even if they don’t understand them. Not even wrong This fits with another line of evidence suggesting that a lot of scientific research is poorly thought through, or executed, or both. The peer-reviewers at a journal like Nature provide editors with opinions on a paper’s novelty and significance as well as its shortcomings. But some new journals—PLoS One, published by the not-for-profit Public Library of Science, was the pioneer—make a point of being less picky. These “</w:t>
      </w:r>
      <w:r w:rsidRPr="00AA0D15">
        <w:rPr>
          <w:rStyle w:val="Emphasis"/>
        </w:rPr>
        <w:t>minimal-threshold” journals</w:t>
      </w:r>
      <w:r w:rsidRPr="00AA0D15">
        <w:rPr>
          <w:rStyle w:val="StyleUnderline"/>
        </w:rPr>
        <w:t xml:space="preserve">, which are online-only, </w:t>
      </w:r>
      <w:r w:rsidRPr="00AA0D15">
        <w:rPr>
          <w:rStyle w:val="Emphasis"/>
        </w:rPr>
        <w:t>seek to publish as much science as possible, rather than to pick out the best</w:t>
      </w:r>
      <w:r w:rsidRPr="00AA0D15">
        <w:t xml:space="preserve">. They thus ask their peer reviewers only if a paper is methodologically sound. Remarkably, almost half the submissions to PLoS One are rejected for failing to clear that seemingly low bar. The pitfalls Dr Stodden points to get deeper as research increasingly involves sifting through untold quantities of data. Take subatomic physics, where data are churned out by the petabyte. It uses notoriously exacting methodological standards, setting an acceptable false-positive rate of one in 3.5m (known as the five-sigma standard). But maximising a single figure of merit, such as statistical significance, is never enough: witness the “pentaquark” saga. Quarks are normally seen only two or three at a time, but in the mid-2000s various labs found evidence of bizarre five-quark composites. The analyses met the five-sigma test. But the data were not “blinded” properly; the analysts knew a lot about where the numbers were coming from. When an experiment is not blinded, the chances that the experimenters will see what they “should” see rise. This is why people analysing clinical-trials data should be blinded to whether data come from the “study group” or the control group. When looked for with proper blinding, the previously ubiquitous pentaquarks disappeared. Other data-heavy disciplines face similar challenges. </w:t>
      </w:r>
      <w:r w:rsidRPr="00AA0D15">
        <w:rPr>
          <w:rStyle w:val="Emphasis"/>
        </w:rPr>
        <w:t>Models</w:t>
      </w:r>
      <w:r w:rsidRPr="00AA0D15">
        <w:rPr>
          <w:rStyle w:val="StyleUnderline"/>
        </w:rPr>
        <w:t xml:space="preserve"> which </w:t>
      </w:r>
      <w:r w:rsidRPr="00AA0D15">
        <w:rPr>
          <w:rStyle w:val="Emphasis"/>
        </w:rPr>
        <w:t>can be “tuned”</w:t>
      </w:r>
      <w:r w:rsidRPr="00AA0D15">
        <w:rPr>
          <w:rStyle w:val="StyleUnderline"/>
        </w:rPr>
        <w:t xml:space="preserve"> in many different ways give researchers more scope to perceive a pattern where none exists.</w:t>
      </w:r>
      <w:r w:rsidRPr="00AA0D15">
        <w:t xml:space="preserve"> According to some estimates, </w:t>
      </w:r>
      <w:r w:rsidRPr="00AA0D15">
        <w:rPr>
          <w:rStyle w:val="Emphasis"/>
        </w:rPr>
        <w:t>three-quarters of published scientific papers in the field of machine learning are bunk because of this “overfitting”</w:t>
      </w:r>
      <w:r w:rsidRPr="00AA0D15">
        <w:t xml:space="preserve">, says Sandy Pentland, a computer scientist at the Massachusetts Institute of Technology. Similar problems undid a 2010 study published in Science, a prestigious American journal (and reported in this newspaper). The paper seemed to uncover genetic variants strongly associated with longevity. Other geneticists immediately noticed that the samples taken from centenarians on which the results rested had been treated in different ways from those from a younger control group. The paper was retracted a year later, after its authors admitted to “technical errors” and “an inadequate quality-control protocol”. The number of retractions has grown tenfold over the past decade. But they still make up no more than 0.2% of the 1.4m papers published annually in scholarly journals. </w:t>
      </w:r>
      <w:r w:rsidRPr="00AA0D15">
        <w:rPr>
          <w:rStyle w:val="StyleUnderline"/>
        </w:rPr>
        <w:t>Papers with fundamental flaws often live on</w:t>
      </w:r>
      <w:r w:rsidRPr="00AA0D15">
        <w:t xml:space="preserve">. Some may develop a bad reputation among those in the know, who will warn colleagues. But to outsiders they will appear part of the scientific canon. Blame the ref The idea that there are a lot of uncorrected flaws in published studies may seem hard to square with the fact that almost all of them will have been through peer-review. This sort of </w:t>
      </w:r>
      <w:r w:rsidRPr="00AA0D15">
        <w:rPr>
          <w:rStyle w:val="Emphasis"/>
        </w:rPr>
        <w:t>scrutiny by disinterested experts</w:t>
      </w:r>
      <w:r w:rsidRPr="00AA0D15">
        <w:t xml:space="preserve">—acting out of a sense of professional obligation, rather than for pay—is often said to make the scientific literature particularly reliable. In practice it </w:t>
      </w:r>
      <w:r w:rsidRPr="00AA0D15">
        <w:rPr>
          <w:rStyle w:val="Emphasis"/>
        </w:rPr>
        <w:t>is poor at detecting many types of error</w:t>
      </w:r>
      <w:r w:rsidRPr="00AA0D15">
        <w:rPr>
          <w:rStyle w:val="StyleUnderline"/>
        </w:rPr>
        <w:t xml:space="preserve">. </w:t>
      </w:r>
      <w:r w:rsidRPr="00AA0D15">
        <w:t xml:space="preserve">John Bohannon, a biologist at Harvard, recently submitted a pseudonymous paper on the effects of a chemical derived from lichen on cancer cells to 304 journals describing themselves as using peer review. An unusual move; but it was an unusual paper, concocted wholesale and stuffed with clangers in study design, analysis and interpretation of results. Receiving this dog’s dinner from a fictitious researcher at a made up university, 157 of the journals accepted it for publication. Dr Bohannon’s sting was directed at the lower tier of academic journals. But in a classic 1998 study Fiona Godlee, editor of the prestigious British Medical Journal, sent an article containing eight deliberate mistakes in study design, analysis and interpretation to more than 200 of the BMJ’s regular reviewers. Not one picked out all the mistakes. On average, they reported fewer than two; some did not spot any. Another experiment at the BMJ showed that reviewers did no better when more clearly instructed on the problems they might encounter. They also seem to get worse with experience. Charles McCulloch and Michael Callaham, of the University of California, San Francisco, looked at how 1,500 referees were rated by editors at leading journals over a 14-year period and found that 92% showed a slow but steady drop in their scores. As well as not spotting things they ought to spot, there is a lot that peer reviewers do not even try to check. </w:t>
      </w:r>
      <w:r w:rsidRPr="00AA0D15">
        <w:rPr>
          <w:rStyle w:val="Emphasis"/>
        </w:rPr>
        <w:t>They do not</w:t>
      </w:r>
      <w:r w:rsidRPr="00AA0D15">
        <w:rPr>
          <w:rStyle w:val="StyleUnderline"/>
        </w:rPr>
        <w:t xml:space="preserve"> typically </w:t>
      </w:r>
      <w:r w:rsidRPr="00AA0D15">
        <w:rPr>
          <w:rStyle w:val="Emphasis"/>
        </w:rPr>
        <w:t>re-analyse the data presented from scratch</w:t>
      </w:r>
      <w:r w:rsidRPr="00AA0D15">
        <w:rPr>
          <w:rStyle w:val="StyleUnderline"/>
        </w:rPr>
        <w:t>, contenting themselves with a sense that the authors’ analysis is properly conceived. And they cannot be expected to spot deliberate falsifications if they are carried out with a modicum of subtlety. Fraud is very likely second to incompetence in generating erroneous results, though it is hard to tell for certain</w:t>
      </w:r>
      <w:r w:rsidRPr="00AA0D15">
        <w:t xml:space="preserve">. Dr Fanelli has looked at 21 different surveys of academics (mostly in the biomedical sciences but also in civil engineering, chemistry and economics) carried out between 1987 and 2008. Only 2% of respondents admitted falsifying or fabricating data, but 28% of respondents claimed to know of colleagues who engaged in questionable research practices. Peer review’s multiple failings would matter less if science’s self-correction mechanism—replication—was in working order. Sometimes replications make a difference and even hit the headlines—as in the case of Thomas Herndon, a graduate student at the University of Massachusetts. He tried to replicate results on growth and austerity by two economists, Carmen Reinhart and Kenneth Rogoff, and found that their paper contained various errors, including one in the use of a spreadsheet. Harder to clone than you would wish Such headlines are rare, though, because </w:t>
      </w:r>
      <w:r w:rsidRPr="00AA0D15">
        <w:rPr>
          <w:rStyle w:val="Emphasis"/>
        </w:rPr>
        <w:t>replication is hard</w:t>
      </w:r>
      <w:r w:rsidRPr="00AA0D15">
        <w:rPr>
          <w:rStyle w:val="StyleUnderline"/>
        </w:rPr>
        <w:t xml:space="preserve"> and thankless. </w:t>
      </w:r>
      <w:r w:rsidRPr="00AA0D15">
        <w:rPr>
          <w:rStyle w:val="Emphasis"/>
        </w:rPr>
        <w:t>Journals</w:t>
      </w:r>
      <w:r w:rsidRPr="00AA0D15">
        <w:t xml:space="preserve">, thirsty for novelty, </w:t>
      </w:r>
      <w:r w:rsidRPr="00AA0D15">
        <w:rPr>
          <w:rStyle w:val="Emphasis"/>
        </w:rPr>
        <w:t xml:space="preserve">show little interest </w:t>
      </w:r>
      <w:r w:rsidRPr="00AA0D15">
        <w:rPr>
          <w:rStyle w:val="StyleUnderline"/>
        </w:rPr>
        <w:t>in it</w:t>
      </w:r>
      <w:r w:rsidRPr="00AA0D15">
        <w:t xml:space="preserve">; though minimum-threshold journals could change this, they have yet to do so in a big way. </w:t>
      </w:r>
      <w:r w:rsidRPr="00AA0D15">
        <w:rPr>
          <w:rStyle w:val="StyleUnderline"/>
        </w:rPr>
        <w:t>Most academic researchers would rather spend time on work that is more likely to enhance their careers</w:t>
      </w:r>
      <w:r w:rsidRPr="00AA0D15">
        <w:t xml:space="preserve">. This is especially true of junior researchers, who are aware that overzealous replication can be seen as an implicit challenge to authority. Often, only people with an axe to grind pursue replications with vigour—a state of affairs which makes people wary of having their work replicated. There are ways, too, to make replication difficult. </w:t>
      </w:r>
      <w:r w:rsidRPr="00AA0D15">
        <w:rPr>
          <w:rStyle w:val="StyleUnderline"/>
        </w:rPr>
        <w:t>Reproducing research done by others often requires access to their original methods and data</w:t>
      </w:r>
      <w:r w:rsidRPr="00AA0D15">
        <w:t xml:space="preserve">. A study published last month in PeerJ by Melissa Haendel, of the Oregon Health and Science University, and colleagues found that </w:t>
      </w:r>
      <w:r w:rsidRPr="00AA0D15">
        <w:rPr>
          <w:rStyle w:val="Emphasis"/>
        </w:rPr>
        <w:t>more than half of 238 biomedical papers published in 84 journals failed to identify all the resources</w:t>
      </w:r>
      <w:r w:rsidRPr="00AA0D15">
        <w:rPr>
          <w:rStyle w:val="StyleUnderline"/>
        </w:rPr>
        <w:t xml:space="preserve"> </w:t>
      </w:r>
      <w:r w:rsidRPr="00AA0D15">
        <w:t xml:space="preserve">(such as chemical reagents) </w:t>
      </w:r>
      <w:r w:rsidRPr="00AA0D15">
        <w:rPr>
          <w:rStyle w:val="Emphasis"/>
        </w:rPr>
        <w:t>necessary to reproduce the results</w:t>
      </w:r>
      <w:r w:rsidRPr="00AA0D15">
        <w:rPr>
          <w:rStyle w:val="StyleUnderline"/>
        </w:rPr>
        <w:t xml:space="preserve">. </w:t>
      </w:r>
      <w:r w:rsidRPr="00AA0D15">
        <w:t xml:space="preserve">On data, Christine Laine, the editor of the Annals of Internal Medicine, told the peer-review congress in Chicago that five years ago about 60% of researchers said they would share their raw data if asked; now just 45% do. Journals’ growing insistence that at least some raw data be made available seems to count for little: a recent review by Dr Ioannidis which showed that only 143 of 351 randomly selected papers published in the world’s 50 leading journals and covered by some data-sharing policy actually complied. And then there are the data behind unpublished research. A study in the BMJ last year found that fewer than half the clinical trials financed by the NIH resulted in publication in a scholarly journal within 30 months of completion; a third remained unpublished after 51 months. Only 22% of trials released their summary results within one year of completion, even though the NIH requires that they should. </w:t>
      </w:r>
      <w:r w:rsidRPr="00AA0D15">
        <w:rPr>
          <w:rStyle w:val="Emphasis"/>
        </w:rPr>
        <w:t>Clinical trials are very costly</w:t>
      </w:r>
      <w:r w:rsidRPr="00AA0D15">
        <w:rPr>
          <w:rStyle w:val="StyleUnderline"/>
        </w:rPr>
        <w:t xml:space="preserve"> to rerun. </w:t>
      </w:r>
      <w:r w:rsidRPr="00AA0D15">
        <w:t xml:space="preserve">Other people looking at the same problems thus need to be able to access their data. And that means all the data. Focusing on a subset of the data can, wittingly or unwittingly, provide researchers with the answer they want. Ben Goldacre, a British doctor and writer, has been leading a campaign to bring pharmaceutical firms to book for failing to make available all the data from their trials. It may be working. In February GlaxoSmithKline, a British drugmaker, became the first big pharma company to promise to publish all its trial data. </w:t>
      </w:r>
      <w:r w:rsidRPr="00AA0D15">
        <w:rPr>
          <w:rStyle w:val="Emphasis"/>
        </w:rPr>
        <w:t xml:space="preserve">Software can also be a problem </w:t>
      </w:r>
      <w:r w:rsidRPr="00AA0D15">
        <w:rPr>
          <w:rStyle w:val="StyleUnderline"/>
        </w:rPr>
        <w:t>for would-be replicators. Some code used to analyse data or run models may be the result of years of work and thus precious intellectual property that gives its possessors an edge in future research</w:t>
      </w:r>
      <w:r w:rsidRPr="00AA0D15">
        <w:t xml:space="preserve">. Although most scientists agree in principle that data should be openly available, there is genuine disagreement on software. Journals which insist on data-sharing tend not to do the same for programs. Harry Collins, a sociologist of science at Cardiff University, makes a more subtle point that cuts to the heart of what a replication can be. Even when the part of the paper devoted to describing the methods used is up to snuff (and often it is not), performing an experiment always entails what sociologists call “tacit knowledge”—craft skills and extemporisations that their possessors take for granted but can pass on only through example. Thus if a replication fails, it could be because the repeaters didn’t quite get these je-ne-sais-quoi bits of the protocol right. </w:t>
      </w:r>
      <w:r w:rsidRPr="00AA0D15">
        <w:rPr>
          <w:rStyle w:val="StyleUnderline"/>
        </w:rPr>
        <w:t>Taken to extremes, this leads to what Dr Collins calls “the experimenter’s regress”—you can say an experiment has truly been replicated only if the replication gets the same result as the original, a conclusion which makes replication pointless.</w:t>
      </w:r>
      <w:r w:rsidRPr="00AA0D15">
        <w:t xml:space="preserve"> Avoiding this, and agreeing that a replication counts as “the same procedure” even when it gets a different result, requires recognising the role of tacit knowledge and judgment in experiments. Scientists are not comfortable discussing such things at the best of times; in adversarial contexts it gets yet more vexed. Some organisations are trying to encourage more replication. PLoS ONE and Science Exchange, a matchmaking service for researchers and labs, have launched a programme called the Reproducibility Initiative through which life scientists can pay to have their work validated by an independent lab. On October 16th the initiative announced it had been given $1.3m by the Laura and John Arnold Foundation, a charity, to look at 50 of the highest-impact cancer findings published between 2010 and 2012. Blog Syn, a website run by graduate students, is dedicated to reproducing chemical reactions reported in papers. The first reaction they tried to repeat worked—but only at a much lower yield than was suggested in the original research. Making the paymasters care Conscious that it and other journals “fail to exert sufficient scrutiny over the results that they publish” in the life sciences, Nature and its sister publications introduced an 18-point checklist for authors this May. The aim is to ensure that all technical and statistical information that is crucial to an experiment’s reproducibility or that might introduce bias is published. The methods sections of papers are being expanded online to cope with the extra detail; and whereas previously only some classes of data had to be deposited online, now all must be. Things appear to be moving fastest in psychology. In March Dr Nosek unveiled the Centre for Open Science, a new independent laboratory, endowed with $5.3m from the Arnold Foundation, which aims to make replication respectable. Thanks to Alan Kraut, the director of the Association for Psychological Science, Perspectives on Psychological Science, one of the association’s flagship publications, will soon have a section devoted to replications. It might be a venue for papers from a project, spearheaded by Dr Nosek, to replicate 100 studies across the whole of psychology that were published in the first three months of 2008 in three leading psychology journals. </w:t>
      </w:r>
      <w:r w:rsidRPr="00AA0D15">
        <w:rPr>
          <w:rStyle w:val="Emphasis"/>
        </w:rPr>
        <w:t>People who pay for science</w:t>
      </w:r>
      <w:r w:rsidRPr="00AA0D15">
        <w:rPr>
          <w:rStyle w:val="StyleUnderline"/>
        </w:rPr>
        <w:t xml:space="preserve">, though, </w:t>
      </w:r>
      <w:r w:rsidRPr="00AA0D15">
        <w:rPr>
          <w:rStyle w:val="Emphasis"/>
        </w:rPr>
        <w:t>do not seem seized by a desire</w:t>
      </w:r>
      <w:r w:rsidRPr="00AA0D15">
        <w:rPr>
          <w:rStyle w:val="StyleUnderline"/>
        </w:rPr>
        <w:t xml:space="preserve"> for improvement in this area</w:t>
      </w:r>
      <w:r w:rsidRPr="00AA0D15">
        <w:t xml:space="preserve">. Helga Nowotny, president of the European Research Council, says proposals for </w:t>
      </w:r>
      <w:r w:rsidRPr="00AA0D15">
        <w:rPr>
          <w:rStyle w:val="Emphasis"/>
        </w:rPr>
        <w:t>replication studies</w:t>
      </w:r>
      <w:r w:rsidRPr="00AA0D15">
        <w:rPr>
          <w:rStyle w:val="StyleUnderline"/>
        </w:rPr>
        <w:t xml:space="preserve"> “in all likelihood would be turned down” </w:t>
      </w:r>
      <w:r w:rsidRPr="00AA0D15">
        <w:rPr>
          <w:rStyle w:val="Emphasis"/>
        </w:rPr>
        <w:t>because of the agency’s focus on pioneering work</w:t>
      </w:r>
      <w:r w:rsidRPr="00AA0D15">
        <w:t>. James Ulvestad, who heads the division of astronomical sciences at America’s National Science Foundation, says the independent “merit panels” that make grant decisions “tend not to put research that seeks to reproduce previous results at or near the top of their priority lists”. Douglas Kell of Research Councils UK, which oversees Britain’s publicly funded research argues that current procedures do at least tackle the problem of bias towards positive results: “If you do the experiment and find nothing, the grant will nonetheless be judged more highly if you publish.” In testimony before Congress on March 5th Bruce Alberts, then the editor of Science, outlined what needs to be done to bolster the credibility of the scientific enterprise. Journals must do more to enforce standards. Checklists such as the one introduced by Nature should be adopted widely, to help guard against the most common research errors. Budding scientists must be taught technical skills, including statistics, and must be imbued with scepticism towards their own results and those of others. Researchers ought to be judged on the basis of the quality, not the quantity, of their work. Funding agencies should encourage replications and lower the barriers to reporting serious efforts which failed to reproduce a published result. Information about such failures ought to be attached to the original publications. And scientists themselves, Dr Alberts insisted, “need to develop a value system where simply moving on from one’s mistakes without publicly acknowledging them severely damages, rather than protects, a scientific reputation.” This will not be easy. But if science is to stay on its tracks, and be worthy of the trust so widely invested in it, it may be necessary.</w:t>
      </w:r>
    </w:p>
    <w:p w:rsidR="00C47278" w:rsidRPr="00AA0D15" w:rsidRDefault="00C47278" w:rsidP="00C47278">
      <w:pPr>
        <w:pStyle w:val="Heading4"/>
        <w:numPr>
          <w:ilvl w:val="0"/>
          <w:numId w:val="22"/>
        </w:numPr>
        <w:spacing w:before="40" w:line="259" w:lineRule="auto"/>
        <w:rPr>
          <w:rFonts w:cs="Times New Roman"/>
        </w:rPr>
      </w:pPr>
      <w:r w:rsidRPr="00AA0D15">
        <w:rPr>
          <w:rFonts w:cs="Times New Roman"/>
        </w:rPr>
        <w:t>Trump is cutting NIH funding which is the primary way universities get funding for research</w:t>
      </w:r>
    </w:p>
    <w:p w:rsidR="00C47278" w:rsidRPr="00AA0D15" w:rsidRDefault="00C47278" w:rsidP="00C47278">
      <w:r w:rsidRPr="00AA0D15">
        <w:rPr>
          <w:b/>
        </w:rPr>
        <w:t>Harris and Stein 3-16</w:t>
      </w:r>
      <w:r w:rsidRPr="00AA0D15">
        <w:t xml:space="preserve"> – Richard Harris Correspondent at the Science Desk of NPR and Rob Stein is a correspondent and senior editor on NPR's science desk.  "</w:t>
      </w:r>
      <w:r w:rsidRPr="00AA0D15">
        <w:rPr>
          <w:rStyle w:val="StyleUnderline"/>
        </w:rPr>
        <w:t>Trump Administration Proposes Big Cuts In Medical Research</w:t>
      </w:r>
      <w:r w:rsidRPr="00AA0D15">
        <w:t>," 3-16-2017, NPR.org, http://www.npr.org/sections/health-shots/2017/03/16/520390147/trump-administration-proposes-big-cuts-in-medical-research)//jkuffour</w:t>
      </w:r>
    </w:p>
    <w:p w:rsidR="00C47278" w:rsidRPr="00AA0D15" w:rsidRDefault="00C47278" w:rsidP="00C47278">
      <w:r w:rsidRPr="00AA0D15">
        <w:rPr>
          <w:rStyle w:val="StyleUnderline"/>
        </w:rPr>
        <w:t xml:space="preserve">Biomedical </w:t>
      </w:r>
      <w:r w:rsidRPr="00AA0D15">
        <w:rPr>
          <w:rStyle w:val="Emphasis"/>
        </w:rPr>
        <w:t>research</w:t>
      </w:r>
      <w:r w:rsidRPr="00AA0D15">
        <w:rPr>
          <w:rStyle w:val="StyleUnderline"/>
        </w:rPr>
        <w:t xml:space="preserve"> </w:t>
      </w:r>
      <w:r w:rsidRPr="00AA0D15">
        <w:rPr>
          <w:rStyle w:val="Emphasis"/>
        </w:rPr>
        <w:t>and</w:t>
      </w:r>
      <w:r w:rsidRPr="00AA0D15">
        <w:rPr>
          <w:rStyle w:val="StyleUnderline"/>
        </w:rPr>
        <w:t xml:space="preserve"> public </w:t>
      </w:r>
      <w:r w:rsidRPr="00AA0D15">
        <w:rPr>
          <w:rStyle w:val="Emphasis"/>
        </w:rPr>
        <w:t>health are</w:t>
      </w:r>
      <w:r w:rsidRPr="00AA0D15">
        <w:rPr>
          <w:rStyle w:val="StyleUnderline"/>
        </w:rPr>
        <w:t xml:space="preserve"> among the </w:t>
      </w:r>
      <w:r w:rsidRPr="00AA0D15">
        <w:rPr>
          <w:rStyle w:val="Emphasis"/>
        </w:rPr>
        <w:t>big losers in the Trump</w:t>
      </w:r>
      <w:r w:rsidRPr="00AA0D15">
        <w:rPr>
          <w:rStyle w:val="StyleUnderline"/>
        </w:rPr>
        <w:t xml:space="preserve"> administration's proposed </w:t>
      </w:r>
      <w:r w:rsidRPr="00AA0D15">
        <w:rPr>
          <w:rStyle w:val="Emphasis"/>
        </w:rPr>
        <w:t>budget</w:t>
      </w:r>
      <w:r w:rsidRPr="00AA0D15">
        <w:rPr>
          <w:rStyle w:val="StyleUnderline"/>
        </w:rPr>
        <w:t xml:space="preserve">. </w:t>
      </w:r>
      <w:r w:rsidRPr="00AA0D15">
        <w:rPr>
          <w:rStyle w:val="Emphasis"/>
        </w:rPr>
        <w:t xml:space="preserve">The </w:t>
      </w:r>
      <w:hyperlink r:id="rId61" w:history="1">
        <w:r w:rsidRPr="00AA0D15">
          <w:rPr>
            <w:rStyle w:val="Emphasis"/>
          </w:rPr>
          <w:t>proposal</w:t>
        </w:r>
      </w:hyperlink>
      <w:r w:rsidRPr="00AA0D15">
        <w:rPr>
          <w:rStyle w:val="Emphasis"/>
        </w:rPr>
        <w:t xml:space="preserve"> promises: A "major reorganization" in the N</w:t>
      </w:r>
      <w:r w:rsidRPr="00AA0D15">
        <w:rPr>
          <w:rStyle w:val="StyleUnderline"/>
        </w:rPr>
        <w:t xml:space="preserve">ational </w:t>
      </w:r>
      <w:r w:rsidRPr="00AA0D15">
        <w:rPr>
          <w:rStyle w:val="Emphasis"/>
        </w:rPr>
        <w:t>I</w:t>
      </w:r>
      <w:r w:rsidRPr="00AA0D15">
        <w:rPr>
          <w:rStyle w:val="StyleUnderline"/>
        </w:rPr>
        <w:t xml:space="preserve">nstitutes of </w:t>
      </w:r>
      <w:r w:rsidRPr="00AA0D15">
        <w:rPr>
          <w:rStyle w:val="Emphasis"/>
        </w:rPr>
        <w:t>H</w:t>
      </w:r>
      <w:r w:rsidRPr="00AA0D15">
        <w:rPr>
          <w:rStyle w:val="StyleUnderline"/>
        </w:rPr>
        <w:t>ealth</w:t>
      </w:r>
      <w:r w:rsidRPr="00AA0D15">
        <w:t xml:space="preserve">, which supports most of the nation's research on diseases and treatments. That </w:t>
      </w:r>
      <w:r w:rsidRPr="00AA0D15">
        <w:rPr>
          <w:rStyle w:val="Emphasis"/>
        </w:rPr>
        <w:t xml:space="preserve">includes a cut of </w:t>
      </w:r>
      <w:r w:rsidRPr="00AA0D15">
        <w:rPr>
          <w:rStyle w:val="StyleUnderline"/>
        </w:rPr>
        <w:t xml:space="preserve">$5.8 billion, about </w:t>
      </w:r>
      <w:r w:rsidRPr="00AA0D15">
        <w:rPr>
          <w:rStyle w:val="Emphasis"/>
        </w:rPr>
        <w:t>20 percent of NIH's</w:t>
      </w:r>
      <w:r w:rsidRPr="00AA0D15">
        <w:t xml:space="preserve"> $30 billion </w:t>
      </w:r>
      <w:r w:rsidRPr="00AA0D15">
        <w:rPr>
          <w:rStyle w:val="Emphasis"/>
        </w:rPr>
        <w:t>budget</w:t>
      </w:r>
      <w:r w:rsidRPr="00AA0D15">
        <w:t xml:space="preserve">. "Reform" of funding for the Centers for Disease and Prevention, which works to prevent, monitor and combat disease outbreaks. The budget mentions a $500 million block grant to states. An additional $500 million for the Department of Health and Human Services to "expand opioid misuse prevention efforts and to increase access to treatment and recovery services to help Americans who are misusing opioids get the help they need." Investment in "mental health activities that are awarded to high-performing entities and focus on high priority areas, such as suicide prevention, serious mental illness, and children's mental health." No specifics are provided. </w:t>
      </w:r>
      <w:r w:rsidRPr="00AA0D15">
        <w:rPr>
          <w:rStyle w:val="Emphasis"/>
        </w:rPr>
        <w:t>Funding</w:t>
      </w:r>
      <w:r w:rsidRPr="00AA0D15">
        <w:rPr>
          <w:rStyle w:val="StyleUnderline"/>
        </w:rPr>
        <w:t xml:space="preserve"> from the National Institutes of Health </w:t>
      </w:r>
      <w:r w:rsidRPr="00AA0D15">
        <w:rPr>
          <w:rStyle w:val="Emphasis"/>
        </w:rPr>
        <w:t>flows to</w:t>
      </w:r>
      <w:r w:rsidRPr="00AA0D15">
        <w:rPr>
          <w:rStyle w:val="StyleUnderline"/>
        </w:rPr>
        <w:t xml:space="preserve"> more than 2,600 </w:t>
      </w:r>
      <w:r w:rsidRPr="00AA0D15">
        <w:rPr>
          <w:rStyle w:val="Emphasis"/>
        </w:rPr>
        <w:t>institutions</w:t>
      </w:r>
      <w:r w:rsidRPr="00AA0D15">
        <w:rPr>
          <w:rStyle w:val="StyleUnderline"/>
        </w:rPr>
        <w:t xml:space="preserve"> around the country </w:t>
      </w:r>
      <w:r w:rsidRPr="00AA0D15">
        <w:rPr>
          <w:rStyle w:val="Emphasis"/>
        </w:rPr>
        <w:t xml:space="preserve">and creates more than 313,000 </w:t>
      </w:r>
      <w:r w:rsidRPr="00AA0D15">
        <w:rPr>
          <w:rStyle w:val="Emphasis"/>
          <w:b w:val="0"/>
        </w:rPr>
        <w:t>full- and part-time</w:t>
      </w:r>
      <w:r w:rsidRPr="00AA0D15">
        <w:rPr>
          <w:rStyle w:val="Emphasis"/>
        </w:rPr>
        <w:t xml:space="preserve"> jobs</w:t>
      </w:r>
      <w:r w:rsidRPr="00AA0D15">
        <w:t xml:space="preserve">, according to a </w:t>
      </w:r>
      <w:hyperlink r:id="rId62" w:history="1">
        <w:r w:rsidRPr="00AA0D15">
          <w:rPr>
            <w:rStyle w:val="Hyperlink"/>
          </w:rPr>
          <w:t>2016 study</w:t>
        </w:r>
      </w:hyperlink>
      <w:r w:rsidRPr="00AA0D15">
        <w:t xml:space="preserve">. So it's not obvious how slashing billions from the NIH budget, as the Trump administration proposes, will bring more jobs to America. That $5.8 billion cut represents a 20 percent reduction in the NIH budget, which is about $30 billion. The federal government hands out most of this funding rather than spending it on its own employees, but the budget proposal is not clear on how much of the spending cuts target grants to university scientists. </w:t>
      </w:r>
      <w:r w:rsidRPr="00AA0D15">
        <w:rPr>
          <w:rStyle w:val="Emphasis"/>
        </w:rPr>
        <w:t>Federal research grant money flows primarily to universities</w:t>
      </w:r>
      <w:r w:rsidRPr="00AA0D15">
        <w:rPr>
          <w:rStyle w:val="StyleUnderline"/>
        </w:rPr>
        <w:t>, and they in turn spend billions to buy equipment and services from local companies.</w:t>
      </w:r>
      <w:r w:rsidRPr="00AA0D15">
        <w:t xml:space="preserve"> Economist Bruce Weinberg and colleagues at Ohio State University </w:t>
      </w:r>
      <w:hyperlink r:id="rId63" w:history="1">
        <w:r w:rsidRPr="00AA0D15">
          <w:rPr>
            <w:rStyle w:val="Hyperlink"/>
          </w:rPr>
          <w:t>looked at</w:t>
        </w:r>
      </w:hyperlink>
      <w:r w:rsidRPr="00AA0D15">
        <w:t xml:space="preserve"> what happened to federal research dollars that flowed to nine major Midwestern universities. In 2012, these </w:t>
      </w:r>
      <w:r w:rsidRPr="00AA0D15">
        <w:rPr>
          <w:rStyle w:val="Emphasis"/>
        </w:rPr>
        <w:t>nine institutions received about $7 billion for research, more than half of which came from the NIH</w:t>
      </w:r>
      <w:r w:rsidRPr="00AA0D15">
        <w:t xml:space="preserve">, the National Science Foundation and other funding agencies. Of that, the universities spent almost $1 billion on goods and services from U.S. vendors and subcontractors, the study found. Of that, 16 percent went to vendors in the university's home county, over 16 percent was spent elsewhere in the state, and the balance was spread to companies across the United States. University researchers buy chemicals and other ingredients needed for experiments and purchase laboratory equipment. There are entire industries devoted to supporting biomedical research. "We were surprised by how many were small, niche high-technology companies," Weinberg and his colleagues wrote. "Of course, science funding is not primarily a jobs or economic stimulus program," they added. After all, research is a long-term investment in knowledge and the driving force for economic growth. The budget proposal doesn't include a specific funding figure for the Centers for Disease Control and Prevention, which had a budget of $7 billion in 2016. But the proposed budget says it "reforms" the CDC through a new $500 million block grant that would "increase state flexibility and focus on the leading public health challenges to each state." No additional details are included, but that could mean diverting those funds from the CDC's core budget to provide block grants to individual states. "We are encouraged to see that state health agency priorities, such as flexible funding to meet state and territorial public health needs and the public health Emergency Fund, are in the President's Budget," said Michael Fraser, executive director of the </w:t>
      </w:r>
      <w:hyperlink r:id="rId64" w:history="1">
        <w:r w:rsidRPr="00AA0D15">
          <w:rPr>
            <w:rStyle w:val="Hyperlink"/>
          </w:rPr>
          <w:t>Association of State and Territorial Health Officials</w:t>
        </w:r>
      </w:hyperlink>
      <w:r w:rsidRPr="00AA0D15">
        <w:t>, in an email. "Those are things we really do want to see," Fraser continued. "However, the fact is that</w:t>
      </w:r>
      <w:r w:rsidRPr="00AA0D15">
        <w:rPr>
          <w:rStyle w:val="StyleUnderline"/>
        </w:rPr>
        <w:t xml:space="preserve"> support for those priorities comes at what looks like a very significant cost to existing programs. The proposed reductions to HHS may have serious negative impacts on both federal and state responses to public health needs </w:t>
      </w:r>
      <w:r w:rsidRPr="00AA0D15">
        <w:t>and that leaves many of us extremely concerned." The budget also calls for the creation of a new "Federal Emergency Response Fund" that would be designed to "rapidly respond to public health outbreaks," such as Zika. This is an idea that has been gaining support recently, especially in the wake of the Ebola outbreak in West Africa and the emergence of Zika as a threat to pregnant women and their babies. President Obama's emergency funding request to respond to Zika got mired in politics in Congress. The budget doesn't specify how big this new fund would be. The proposed budget is silent on the National Science Foundation, which provides about $7 billion a year in grants to researchers in many fields.</w:t>
      </w:r>
    </w:p>
    <w:p w:rsidR="00C47278" w:rsidRPr="00AA0D15" w:rsidRDefault="00C47278" w:rsidP="00C47278"/>
    <w:p w:rsidR="00C47278" w:rsidRDefault="00C47278" w:rsidP="00C47278">
      <w:pPr>
        <w:pStyle w:val="Heading3"/>
        <w:rPr>
          <w:rFonts w:cs="Times New Roman"/>
        </w:rPr>
      </w:pPr>
      <w:r w:rsidRPr="00AA0D15">
        <w:rPr>
          <w:rFonts w:cs="Times New Roman"/>
        </w:rPr>
        <w:t>AT disease impact</w:t>
      </w:r>
    </w:p>
    <w:p w:rsidR="007C2097" w:rsidRDefault="007C2097" w:rsidP="007C2097">
      <w:pPr>
        <w:pStyle w:val="Heading4"/>
      </w:pPr>
      <w:r>
        <w:t>US agencies and international collaboration checks</w:t>
      </w:r>
    </w:p>
    <w:p w:rsidR="007C2097" w:rsidRPr="00922F67" w:rsidRDefault="007C2097" w:rsidP="007C2097">
      <w:pPr>
        <w:rPr>
          <w:rStyle w:val="Style13ptBold"/>
        </w:rPr>
      </w:pPr>
      <w:r>
        <w:rPr>
          <w:rStyle w:val="Style13ptBold"/>
        </w:rPr>
        <w:t xml:space="preserve">Kaiser 14 </w:t>
      </w:r>
      <w:r w:rsidRPr="00922F67">
        <w:t>(The Henry J. Kaiser Family Foundation, “The U.S. Government &amp; Global Emerging Infectious Disease Preparedness and Response” 12/8/14 http://www.kff.org/global-health-policy/fact-sheet/the-u-s-government-global-emerging-infectious-disease-preparedness-and-response/) GG</w:t>
      </w:r>
    </w:p>
    <w:p w:rsidR="007C2097" w:rsidRDefault="007C2097" w:rsidP="007C2097">
      <w:r w:rsidRPr="00922F67">
        <w:rPr>
          <w:rStyle w:val="StyleUnderline"/>
        </w:rPr>
        <w:t>Multiple USG agencies support activities to prevent, prepare for, detect, and respond to EIDs, including</w:t>
      </w:r>
      <w:r>
        <w:t xml:space="preserve">: the </w:t>
      </w:r>
      <w:r w:rsidRPr="00922F67">
        <w:rPr>
          <w:rStyle w:val="StyleUnderline"/>
        </w:rPr>
        <w:t>D</w:t>
      </w:r>
      <w:r>
        <w:t xml:space="preserve">epartments </w:t>
      </w:r>
      <w:r w:rsidRPr="00922F67">
        <w:rPr>
          <w:rStyle w:val="StyleUnderline"/>
        </w:rPr>
        <w:t>o</w:t>
      </w:r>
      <w:r>
        <w:t xml:space="preserve">f </w:t>
      </w:r>
      <w:r w:rsidRPr="00922F67">
        <w:rPr>
          <w:rStyle w:val="StyleUnderline"/>
        </w:rPr>
        <w:t>S</w:t>
      </w:r>
      <w:r>
        <w:t xml:space="preserve">tate (global health diplomacy related to EIDs and technical assistance and capacity building for biosecurity), </w:t>
      </w:r>
      <w:r w:rsidRPr="00922F67">
        <w:rPr>
          <w:rStyle w:val="StyleUnderline"/>
        </w:rPr>
        <w:t>Agriculture</w:t>
      </w:r>
      <w:r>
        <w:t xml:space="preserve"> (animal health and food safety capacity-building efforts as well as disease surveillance and research), </w:t>
      </w:r>
      <w:r w:rsidRPr="00922F67">
        <w:rPr>
          <w:rStyle w:val="StyleUnderline"/>
        </w:rPr>
        <w:t>and Energy</w:t>
      </w:r>
      <w:r>
        <w:t xml:space="preserve"> (EID research and development) </w:t>
      </w:r>
      <w:r w:rsidRPr="00922F67">
        <w:rPr>
          <w:rStyle w:val="StyleUnderline"/>
        </w:rPr>
        <w:t>as well as the</w:t>
      </w:r>
      <w:r>
        <w:t xml:space="preserve"> </w:t>
      </w:r>
      <w:r w:rsidRPr="00922F67">
        <w:t>D</w:t>
      </w:r>
      <w:r>
        <w:t xml:space="preserve">epartments of </w:t>
      </w:r>
      <w:r w:rsidRPr="00922F67">
        <w:t>H</w:t>
      </w:r>
      <w:r>
        <w:t>ealth and Human Services (</w:t>
      </w:r>
      <w:r w:rsidRPr="00922F67">
        <w:rPr>
          <w:rStyle w:val="StyleUnderline"/>
        </w:rPr>
        <w:t>HHS</w:t>
      </w:r>
      <w:r>
        <w:t>), Defense (</w:t>
      </w:r>
      <w:r w:rsidRPr="00922F67">
        <w:rPr>
          <w:rStyle w:val="StyleUnderline"/>
        </w:rPr>
        <w:t>DoD</w:t>
      </w:r>
      <w:r>
        <w:t xml:space="preserve">), </w:t>
      </w:r>
      <w:r w:rsidRPr="00922F67">
        <w:rPr>
          <w:rStyle w:val="StyleUnderline"/>
        </w:rPr>
        <w:t>and the</w:t>
      </w:r>
      <w:r>
        <w:t xml:space="preserve"> U.S. Agency for International Development (</w:t>
      </w:r>
      <w:r w:rsidRPr="00922F67">
        <w:rPr>
          <w:rStyle w:val="StyleUnderline"/>
        </w:rPr>
        <w:t>USAID</w:t>
      </w:r>
      <w:r>
        <w:t xml:space="preserve">), which are described below. HHS: </w:t>
      </w:r>
      <w:r w:rsidRPr="00922F67">
        <w:rPr>
          <w:rStyle w:val="StyleUnderline"/>
        </w:rPr>
        <w:t>Through the</w:t>
      </w:r>
      <w:r>
        <w:t xml:space="preserve"> Centers for Disease Control and Prevention (</w:t>
      </w:r>
      <w:r w:rsidRPr="00922F67">
        <w:rPr>
          <w:rStyle w:val="StyleUnderline"/>
        </w:rPr>
        <w:t>CDC</w:t>
      </w:r>
      <w:r>
        <w:t>), the Food and Drug Administration (</w:t>
      </w:r>
      <w:r w:rsidRPr="00922F67">
        <w:rPr>
          <w:rStyle w:val="StyleUnderline"/>
        </w:rPr>
        <w:t>FDA</w:t>
      </w:r>
      <w:r>
        <w:t>), the National Institutes of Health (NIH</w:t>
      </w:r>
      <w:r w:rsidRPr="00922F67">
        <w:rPr>
          <w:rStyle w:val="StyleUnderline"/>
        </w:rPr>
        <w:t>),</w:t>
      </w:r>
      <w:r>
        <w:t xml:space="preserve"> </w:t>
      </w:r>
      <w:r w:rsidRPr="00922F67">
        <w:rPr>
          <w:rStyle w:val="StyleUnderline"/>
        </w:rPr>
        <w:t>and other offices, HHS coordinates U.S. domestic health surveillance, preparedness, and response efforts with those of other countries. These agencies provide training and educational support to other countries, expert technical assistance during outbreak investigations and response efforts overseas</w:t>
      </w:r>
      <w:r>
        <w:t xml:space="preserve"> (particularly through CDC’s Global Disease Detection (GDD) program), and support for the research and development of vaccines and drugs for EIDs (as well as their subsequent regulatory approval). </w:t>
      </w:r>
      <w:r w:rsidRPr="00922F67">
        <w:rPr>
          <w:rStyle w:val="StyleUnderline"/>
        </w:rPr>
        <w:t xml:space="preserve">HHS also serves as the official U.S. point of contact with WHO on IHR-related issues </w:t>
      </w:r>
      <w:r>
        <w:t xml:space="preserve">and is typically the primary U.S. representative at multilateral meetings on EID topics. USAID: </w:t>
      </w:r>
      <w:r w:rsidRPr="00922F67">
        <w:rPr>
          <w:rStyle w:val="StyleUnderline"/>
        </w:rPr>
        <w:t>USAID’s Emerging Pandemic Threats (EPT) program helps countries build their capacity to identify and respond to dangerous pathogens in animals and humans and to be prepared for outbreaks, including pandemics</w:t>
      </w:r>
      <w:r>
        <w:t xml:space="preserve">. In addition, many of USAID’s global health programs (like many CDC global health programs) support general health systems strengthening in developing countries, which can include activities to build surveillance and laboratory capacities that have applications for EIDs as well. DoD: </w:t>
      </w:r>
      <w:r w:rsidRPr="00922F67">
        <w:rPr>
          <w:rStyle w:val="StyleUnderline"/>
        </w:rPr>
        <w:t>The Army and Navy maintain a network of laboratories that support EID surveillance, research, and development</w:t>
      </w:r>
      <w:r>
        <w:t xml:space="preserve">, including a number that are located overseas. </w:t>
      </w:r>
      <w:r w:rsidRPr="00922F67">
        <w:rPr>
          <w:rStyle w:val="StyleUnderline"/>
        </w:rPr>
        <w:t>In addition, the DoD’s Global Emerging Infections Surveillance and Response System (GEIS) provides technical and funding support for DoD and partner organizations</w:t>
      </w:r>
      <w:r>
        <w:t xml:space="preserve">’ EID-focused </w:t>
      </w:r>
      <w:r w:rsidRPr="00922F67">
        <w:rPr>
          <w:rStyle w:val="StyleUnderline"/>
        </w:rPr>
        <w:t>surveillance</w:t>
      </w:r>
      <w:r>
        <w:t xml:space="preserve">, </w:t>
      </w:r>
      <w:r w:rsidRPr="00922F67">
        <w:rPr>
          <w:rStyle w:val="StyleUnderline"/>
        </w:rPr>
        <w:t>r</w:t>
      </w:r>
      <w:r>
        <w:t xml:space="preserve">esearch </w:t>
      </w:r>
      <w:r w:rsidRPr="00922F67">
        <w:rPr>
          <w:rStyle w:val="StyleUnderline"/>
        </w:rPr>
        <w:t>and</w:t>
      </w:r>
      <w:r>
        <w:t xml:space="preserve"> </w:t>
      </w:r>
      <w:r w:rsidRPr="00922F67">
        <w:rPr>
          <w:rStyle w:val="StyleUnderline"/>
        </w:rPr>
        <w:t>d</w:t>
      </w:r>
      <w:r>
        <w:t xml:space="preserve">evelopment, </w:t>
      </w:r>
      <w:r w:rsidRPr="00922F67">
        <w:rPr>
          <w:rStyle w:val="StyleUnderline"/>
        </w:rPr>
        <w:t>outbreak response, and local capacity-building efforts</w:t>
      </w:r>
      <w:r>
        <w:t xml:space="preserve">, and the Defense Threat Reduction Agency’s Cooperative Biological Engagement Program (DTRA/CBEP) funds capacity-building efforts to strengthen partner countries’ biosecurity, surveillance, and response capabilities.12 U.S. GOVERNMENT FUNDING13 </w:t>
      </w:r>
      <w:r w:rsidRPr="00922F67">
        <w:rPr>
          <w:rStyle w:val="StyleUnderline"/>
        </w:rPr>
        <w:t xml:space="preserve">Congress provides international EID funding to several USG agencies including </w:t>
      </w:r>
      <w:r>
        <w:t xml:space="preserve">(but not limited to): </w:t>
      </w:r>
      <w:r w:rsidRPr="00922F67">
        <w:rPr>
          <w:rStyle w:val="StyleUnderline"/>
        </w:rPr>
        <w:t>CDC</w:t>
      </w:r>
      <w:r>
        <w:t xml:space="preserve"> (primarily GDD), </w:t>
      </w:r>
      <w:r w:rsidRPr="00922F67">
        <w:rPr>
          <w:rStyle w:val="StyleUnderline"/>
        </w:rPr>
        <w:t>USAID (through Pandemic Influenza and Other Emerging Threats</w:t>
      </w:r>
      <w:r>
        <w:t xml:space="preserve">, which includes EPT), </w:t>
      </w:r>
      <w:r w:rsidRPr="00922F67">
        <w:rPr>
          <w:rStyle w:val="StyleUnderline"/>
        </w:rPr>
        <w:t>and DoD</w:t>
      </w:r>
      <w:r>
        <w:t xml:space="preserve"> (for GEIS and CBEP); see Figure 2. </w:t>
      </w:r>
      <w:r w:rsidRPr="00922F67">
        <w:rPr>
          <w:rStyle w:val="StyleUnderline"/>
        </w:rPr>
        <w:t>Congress has also at times provided additional funds through supplemental appropriations as needed to bolster response during important epidemic or pandemic events</w:t>
      </w:r>
      <w:r>
        <w:t xml:space="preserve">, </w:t>
      </w:r>
      <w:r w:rsidRPr="00922F67">
        <w:rPr>
          <w:rStyle w:val="StyleUnderline"/>
        </w:rPr>
        <w:t>as it did following</w:t>
      </w:r>
      <w:r>
        <w:t xml:space="preserve"> the emergence of </w:t>
      </w:r>
      <w:r w:rsidRPr="00922F67">
        <w:rPr>
          <w:rStyle w:val="StyleUnderline"/>
        </w:rPr>
        <w:t>H1N1</w:t>
      </w:r>
      <w:r>
        <w:t xml:space="preserve"> influenza </w:t>
      </w:r>
      <w:r w:rsidRPr="00922F67">
        <w:rPr>
          <w:rStyle w:val="StyleUnderline"/>
        </w:rPr>
        <w:t>in 2009</w:t>
      </w:r>
      <w:r>
        <w:t xml:space="preserve">. Additionally, the USG funds other activities that support broader health systems capabilities in the U.S. and/or overseas that contribute to EID preparedness and response in emergencies (e.g., CDC’s epidemiology and laboratory training activities that are supported by its International Public Health Capacity Training funding and some domestic and overseas outbreak-related activities of CDC’s National Center for Emerging and Zoonotic Infectious Diseases). </w:t>
      </w:r>
    </w:p>
    <w:p w:rsidR="007C2097" w:rsidRDefault="007C2097" w:rsidP="007C2097">
      <w:pPr>
        <w:pStyle w:val="Heading4"/>
      </w:pPr>
      <w:r>
        <w:t>Nanobots solve future disease threats</w:t>
      </w:r>
    </w:p>
    <w:p w:rsidR="007C2097" w:rsidRPr="00FC3DD9" w:rsidRDefault="007C2097" w:rsidP="007C2097">
      <w:pPr>
        <w:rPr>
          <w:rStyle w:val="Style13ptBold"/>
        </w:rPr>
      </w:pPr>
      <w:r>
        <w:rPr>
          <w:rStyle w:val="Style13ptBold"/>
        </w:rPr>
        <w:t xml:space="preserve">Robbins 15 </w:t>
      </w:r>
      <w:r w:rsidRPr="00FC3DD9">
        <w:t>(Gary Robbins, San Diego Tribune, “Will scientists wipe out disease by 2030?” 11/8/15 http://www.sandiegouniontribune.com/sdut-ray-kurzweil-conference-2015nov08-story.html) GG</w:t>
      </w:r>
    </w:p>
    <w:p w:rsidR="007C2097" w:rsidRDefault="007C2097" w:rsidP="007C2097">
      <w:r w:rsidRPr="00FC3DD9">
        <w:rPr>
          <w:rStyle w:val="StyleUnderline"/>
        </w:rPr>
        <w:t>Is it possible that scientists will be able to wipe out most diseases in</w:t>
      </w:r>
      <w:r w:rsidRPr="00FC3DD9">
        <w:t xml:space="preserve"> about </w:t>
      </w:r>
      <w:r w:rsidRPr="00FC3DD9">
        <w:rPr>
          <w:rStyle w:val="StyleUnderline"/>
        </w:rPr>
        <w:t>15 years</w:t>
      </w:r>
      <w:r w:rsidRPr="00FC3DD9">
        <w:t>?</w:t>
      </w:r>
      <w:r>
        <w:t xml:space="preserve"> Famed inventor-futurist Ray Kurzweil says yes -- a claim that’s expected to stir debate this week in San Diego when some of the nation’s top thinkers meet to discuss the near-term future of medicine. </w:t>
      </w:r>
      <w:r w:rsidRPr="00FC3DD9">
        <w:rPr>
          <w:rStyle w:val="StyleUnderline"/>
        </w:rPr>
        <w:t>More than 750 scientists, engineers, physicians and inventors will attend the sold-out Exponential Medicine conference</w:t>
      </w:r>
      <w:r>
        <w:t xml:space="preserve">, which was organized by Singularity University, a Bay-area think tank co-founded by Kurzweil. The conference will focus on Kurzweil’s belief that </w:t>
      </w:r>
      <w:r w:rsidRPr="00FC3DD9">
        <w:rPr>
          <w:rStyle w:val="StyleUnderline"/>
        </w:rPr>
        <w:t>many forms of technology will evolve rapidly, greatly improving human health and extending longevity</w:t>
      </w:r>
      <w:r>
        <w:t>. He is particularly optimistic about “</w:t>
      </w:r>
      <w:r w:rsidRPr="00FC3DD9">
        <w:rPr>
          <w:rStyle w:val="StyleUnderline"/>
        </w:rPr>
        <w:t>nanobots</w:t>
      </w:r>
      <w:r>
        <w:t xml:space="preserve">,” microscopic robots </w:t>
      </w:r>
      <w:r w:rsidRPr="00FC3DD9">
        <w:rPr>
          <w:rStyle w:val="StyleUnderline"/>
        </w:rPr>
        <w:t>designed to roam around inside the body, fighting disease</w:t>
      </w:r>
      <w:r>
        <w:t xml:space="preserve">. Kurzweil says that </w:t>
      </w:r>
      <w:r w:rsidRPr="00FC3DD9">
        <w:rPr>
          <w:rStyle w:val="Emphasis"/>
        </w:rPr>
        <w:t>millions of nanobots will be placed in humans by the 2030s to augment the immune system, vanquishing most diseases</w:t>
      </w:r>
      <w:r>
        <w:t xml:space="preserve">. He’s also been quoted as saying it would happen sooner. Kurzweil also says </w:t>
      </w:r>
      <w:r w:rsidRPr="00FC3DD9">
        <w:t>that human could</w:t>
      </w:r>
      <w:r>
        <w:t xml:space="preserve">, for the most part, become immortal by 2040 due to advances in technology and medicine. He believes science will reach a technological singularity five years later, in 2045. Kurzweil has described singularity as: “A future period during which the pace of technological change will be so rapid, its impact so deep, that human life will be irreversibly transformed. “ Although neither utopian nor dystopian, this epoch will transform the concepts that we rely on to give meaning to our lifes, from our business models to the cycle of human life, including death itself." The 67 year-old </w:t>
      </w:r>
      <w:r w:rsidRPr="00FC3DD9">
        <w:rPr>
          <w:rStyle w:val="StyleUnderline"/>
        </w:rPr>
        <w:t>Kurzweil</w:t>
      </w:r>
      <w:r>
        <w:t xml:space="preserve"> has many admirers because of the major contributions he’s made to engineering, including the creation of the first flatbed word scanner. He </w:t>
      </w:r>
      <w:r w:rsidRPr="00FC3DD9">
        <w:rPr>
          <w:rStyle w:val="StyleUnderline"/>
        </w:rPr>
        <w:t>was awarded the National Medal of Technology</w:t>
      </w:r>
      <w:r>
        <w:t xml:space="preserve"> for his collective creations, and elected to the National Inventors Hall of Fame. Among the general public, Kurzweil is better known for the bold predictions he’s made about science and health in a series of books, including, “The Singularity is Near: When Humans Transcend Biology”, published in 2006. Some of his predictions have come true. Others have not. Still others remain unresolved matters, including the future of nanobots. </w:t>
      </w:r>
      <w:r w:rsidRPr="00FC3DD9">
        <w:rPr>
          <w:rStyle w:val="StyleUnderline"/>
        </w:rPr>
        <w:t>The tiny machines are in development at such schools as UC San Diego. The field shows promise, but scientists are circumspect about the bots -- and broader efforts to push medicine forward</w:t>
      </w:r>
      <w:r>
        <w:t>. “Ray does us a great service by carefully tracking a broad set of exponential technologies,” said Larry Smarr, a UC San Diego computer scientist who helped with the initial planning of Singularity University. “He gives us an early warning about technological disruptions that can have ethical and legal ramifications that we should be discussing. The nanobots is an emotionally charged topic. A lot of people want it to come true. But you can’t give false hope. “</w:t>
      </w:r>
      <w:r w:rsidRPr="00FC3DD9">
        <w:rPr>
          <w:rStyle w:val="StyleUnderline"/>
        </w:rPr>
        <w:t>There’s a lot of basic research still to be done on nanobots, and probably a decade of clinical trials</w:t>
      </w:r>
      <w:r>
        <w:t xml:space="preserve">.” </w:t>
      </w:r>
      <w:r w:rsidRPr="00FC3DD9">
        <w:rPr>
          <w:rStyle w:val="StyleUnderline"/>
        </w:rPr>
        <w:t>Cardiologist</w:t>
      </w:r>
      <w:r>
        <w:t xml:space="preserve"> Eric </w:t>
      </w:r>
      <w:r w:rsidRPr="00FC3DD9">
        <w:rPr>
          <w:rStyle w:val="StyleUnderline"/>
        </w:rPr>
        <w:t>Topol</w:t>
      </w:r>
      <w:r>
        <w:t xml:space="preserve">, who has helped test highly advanced medical devices at the Scripps Translational Science Institute in La Jolla, </w:t>
      </w:r>
      <w:r w:rsidRPr="00FC3DD9">
        <w:rPr>
          <w:rStyle w:val="StyleUnderline"/>
        </w:rPr>
        <w:t>said</w:t>
      </w:r>
      <w:r>
        <w:t>, “</w:t>
      </w:r>
      <w:r w:rsidRPr="00A13FE2">
        <w:rPr>
          <w:rStyle w:val="Emphasis"/>
        </w:rPr>
        <w:t>I think we will see nanobots in medicine and they will help manage and even prevent diseases and medical conditions</w:t>
      </w:r>
      <w:r w:rsidRPr="00FC3DD9">
        <w:rPr>
          <w:rStyle w:val="StyleUnderline"/>
        </w:rPr>
        <w:t>, such as heart attacks.</w:t>
      </w:r>
      <w:r>
        <w:rPr>
          <w:rStyle w:val="StyleUnderline"/>
        </w:rPr>
        <w:t xml:space="preserve"> </w:t>
      </w:r>
      <w:r>
        <w:t>“ But there are overwhelming genetic and environmental issues(lifestyle, diet, obesity, sedentary behavior, diabetes) that are too pervasive and overriding to ‘wipe out most diseases.’ “Just like the Singularity, Ray Kurzweil has good ideas but gets carried away. There’s not going to be any Singularity—always a Plurality.” The course of science seems far brighter to Peter Diamandis, the engineer-inventor who co-founded both Singularity University and Human Longevity, Inc., the La Jolla company that’s trying to become the world’s largest gene sequencing company. Diamandis wasn’t available to speak about the Exponential Medicine conference. But during a March 2014 interview with the San Diego Union-Tribune, he suggested that scientists take a broader look at what they’ve already accomplished. “</w:t>
      </w:r>
      <w:r w:rsidRPr="00FC3DD9">
        <w:rPr>
          <w:rStyle w:val="StyleUnderline"/>
        </w:rPr>
        <w:t>We are constantly resetting our expectations</w:t>
      </w:r>
      <w:r>
        <w:t xml:space="preserve">,” Diamandis said. “A century ago if you lived over the age of 50 you were lucky. The average human lifespan at the turn of the 19th century was 45-to-50 years old. It is now well over 70 and in some places even 80. “We have the people in their mid-80s coming down with Alzheimer’s disease and cancer. It’s an an epidemic because we have extended human life to the point where these things start showing up. “Now the question is can we continue to increase human aging? The answer is yes, but we need to make sure we are living a higher quality of older life. My shorthand for this is to say that our goal is to make 100 the new 60. There’s no reason why we can’t see 100, with people being vibrant and healthy.” Diamandis added: “ </w:t>
      </w:r>
      <w:r w:rsidRPr="00FC3DD9">
        <w:rPr>
          <w:rStyle w:val="StyleUnderline"/>
        </w:rPr>
        <w:t>We are on the verge of unlocking a lot of the fundamentals of why we get cancer, of why we get Alzheimer’s, why we get heart disease. And not only why, but how you prevent them</w:t>
      </w:r>
      <w:r>
        <w:t>. Those are the three horsemen of mortality right now.”</w:t>
      </w:r>
    </w:p>
    <w:p w:rsidR="007C2097" w:rsidRDefault="007C2097" w:rsidP="007C2097">
      <w:pPr>
        <w:pStyle w:val="Heading4"/>
      </w:pPr>
      <w:r>
        <w:t>CRISPR solves future genetic diseases</w:t>
      </w:r>
    </w:p>
    <w:p w:rsidR="007C2097" w:rsidRPr="0013515C" w:rsidRDefault="007C2097" w:rsidP="007C2097">
      <w:pPr>
        <w:rPr>
          <w:rStyle w:val="Style13ptBold"/>
        </w:rPr>
      </w:pPr>
      <w:r>
        <w:rPr>
          <w:rStyle w:val="Style13ptBold"/>
        </w:rPr>
        <w:t xml:space="preserve">Stockton 17 </w:t>
      </w:r>
      <w:r w:rsidRPr="0013515C">
        <w:t>(Nick Stockton, WIRED, “HOW CRISPR COULD SNIP AWAY SOME OF HUMANITY'S WORST DISEASES” 5/5/17 https://www.wired.com/2017/05/crispr-snip-away-humanitys-worst-diseases/) GG</w:t>
      </w:r>
    </w:p>
    <w:p w:rsidR="007C2097" w:rsidRDefault="007C2097" w:rsidP="007C2097">
      <w:r>
        <w:t xml:space="preserve">HIV HAS NO cure. But it's not quite the implacable scourge it was throughout the 1980s and 1990s. Education, prophylactics, and drugs like PrEP have cut down its transmission. Anti-retroviral treatments keep HIV-positive people's immune systems from collapsing. But still, no cure. Part of the problem is HIV's ability to squirrel itself away inside a cell's DNA—including the DNA of the immune cells that are supposed to be killing it. The same ability, though, could be HIV's undoing. All because of Crispr. You know, </w:t>
      </w:r>
      <w:r w:rsidRPr="00A13FE2">
        <w:t>Crispr</w:t>
      </w:r>
      <w:r>
        <w:t>: The gene-editing technique that got everyone really excited, then really skeptical, and now cautiously optimistic about curing a bunch of intractable diseases. Earlier this week</w:t>
      </w:r>
      <w:r w:rsidRPr="00A13FE2">
        <w:rPr>
          <w:rStyle w:val="StyleUnderline"/>
        </w:rPr>
        <w:t>, a group of biologists published research detailing how they hid an anti-HIV Crispr system inside another type of virus capable of sneaking past a host's immune system. What's more, the virus replicated, and snipped HIV from infected cells along the way</w:t>
      </w:r>
      <w:r>
        <w:t xml:space="preserve">. At this stage, </w:t>
      </w:r>
      <w:r w:rsidRPr="00A13FE2">
        <w:rPr>
          <w:rStyle w:val="StyleUnderline"/>
        </w:rPr>
        <w:t>it works in mice and rats</w:t>
      </w:r>
      <w:r>
        <w:t xml:space="preserve">, not people. But as a proof of concept, </w:t>
      </w:r>
      <w:r w:rsidRPr="00A13FE2">
        <w:rPr>
          <w:rStyle w:val="StyleUnderline"/>
        </w:rPr>
        <w:t>it means similar systems could be developed to fight a huge range of diseases—herpes, cystic fibrosis, and all sorts of cancers</w:t>
      </w:r>
      <w:r>
        <w:t xml:space="preserve">. </w:t>
      </w:r>
      <w:r w:rsidRPr="00A13FE2">
        <w:rPr>
          <w:rStyle w:val="StyleUnderline"/>
        </w:rPr>
        <w:t>Those diseases are all treatable, to varying degrees. But the problem with treatments is you have</w:t>
      </w:r>
      <w:r>
        <w:t xml:space="preserve"> </w:t>
      </w:r>
      <w:r w:rsidRPr="00A13FE2">
        <w:rPr>
          <w:rStyle w:val="StyleUnderline"/>
        </w:rPr>
        <w:t>to keep doing them</w:t>
      </w:r>
      <w:r>
        <w:t xml:space="preserve"> in order for them to work. "The current anti-retroviral therapy for HIV is very successful in suppressing replication of the virus," says Kamel Khalili, a neurovirologist at Temple University in Philadelphia and lead author of the recent research, published in Molecular Therapy. "But that does not eliminate the copies of the virus that have been integrated into the gene, so any time the patient doesn't take their medication the virus can rebound." Plus treatments can—and often do—fail. </w:t>
      </w:r>
      <w:r w:rsidRPr="00A13FE2">
        <w:rPr>
          <w:rStyle w:val="StyleUnderline"/>
        </w:rPr>
        <w:t>Gene therapy has promised to revolutionize medicine since the 1970s</w:t>
      </w:r>
      <w:r>
        <w:t xml:space="preserve">, when a pair of researchers introduced the concept of using viruses to replace bad DNA with good DNA. The first working model was tested on mice in the 1980s, and by the 1990s researchers were using gene therapies—with limited success—to treat immune and nutrition deficiencies. Then, in 1999, a patient in a University of Pennsylvania gene therapy trial named Jesse Gelsinger died from complications. The tragedy temporarily skid-stopped whole field. Gene therapy had been steadily getting its groove back, but the 2012 discovery that </w:t>
      </w:r>
      <w:r w:rsidRPr="00A13FE2">
        <w:rPr>
          <w:rStyle w:val="StyleUnderline"/>
        </w:rPr>
        <w:t>Crispr could make easy, and accurate, cuts on human genes, has added even more vigor.</w:t>
      </w:r>
      <w:r>
        <w:rPr>
          <w:rStyle w:val="StyleUnderline"/>
        </w:rPr>
        <w:t xml:space="preserve"> </w:t>
      </w:r>
      <w:r>
        <w:t xml:space="preserve">Crispr as an agent for curing HIV has its own problems. For one, it has to be able to snip away the HIV from an infected cell without damaging any of the surrounding DNA. HIV mutates and evolves, so Khalili and his co-authors couldn't just program their Crispr system with a single genetic mugshot. Instead, they had to target enough unchanging sections that were also critical to the virus' survival. </w:t>
      </w:r>
      <w:r w:rsidRPr="00A13FE2">
        <w:rPr>
          <w:rStyle w:val="StyleUnderline"/>
        </w:rPr>
        <w:t>Their next challenge was delivering the system to a critical mass of infected cells. First you have to get it past the immune system</w:t>
      </w:r>
      <w:r>
        <w:t xml:space="preserve">—which is programmed to attack any non-foreign object entering the body. In a gene therapy trial in 1999, a patient named Jesse Gelsinger died because his immune system overreacted to the viral vectors carrying the therapy. So doctors hoping to prescribe gene therapy have to be aware of patients' prior viral exposure.1 These researchers avoided the problem by packing their Crispr system inside a type of virus called AAV (short for adeno-associated virus). "AAVs are a very small helper virus, they can't actually replicate in a cell on their own unless they have another virus there to help it along," says Keith Jerome, a microbiologist at the Fred Hutchinson Cancer Research Center in Seattle. "The great thing about AAVs is they cause essentially no immune system response in humans." ADVERTISEMENT </w:t>
      </w:r>
      <w:r w:rsidRPr="00A13FE2">
        <w:rPr>
          <w:rStyle w:val="StyleUnderline"/>
        </w:rPr>
        <w:t>In order to get approved for human use, this type of Crispr-borne cure would have to be both safe and effective</w:t>
      </w:r>
      <w:r>
        <w:t xml:space="preserve">. This study got part of the way. This study was going strictly for efficacy: Does this work? Khalili and his co-authors treated mice and rat model with strains of HIV that were latent—hiding away in cellular DNA—and others where the HIV was actively replicating. </w:t>
      </w:r>
      <w:r w:rsidRPr="00A13FE2">
        <w:rPr>
          <w:rStyle w:val="StyleUnderline"/>
        </w:rPr>
        <w:t>Then they used it on mice grafted with human cells. In all three cases, the HIV rates went down significantly</w:t>
      </w:r>
      <w:r>
        <w:t xml:space="preserve">. Other good news on the safety front: There's no evidence their trial made any off-target cuts. But they'll need to run more experiments to make sure that's absolutely the case, probably using primate models, since their DNA is closer to humans'. They also have to make sure the treatment gets rid of enough HIV, so that it doesn't just replicate itself back to harmful levels. "In actual human patients there’s no way that a Crispr gene therapy will ever get 100 percent of HIV," says Paul Knoepfler, a stem cell biologist at UC Davis. "How highly efficient will be 'efficient enough' to make a clinically meaningful impact?" </w:t>
      </w:r>
      <w:r w:rsidRPr="00A13FE2">
        <w:rPr>
          <w:rStyle w:val="StyleUnderline"/>
        </w:rPr>
        <w:t xml:space="preserve">Khalili believes he can get close enough. According to him, the Crispr system doesn’t need to eliminate all the HIV-infected cells—just enough so an HIV-patient’s immune system </w:t>
      </w:r>
      <w:r>
        <w:t>can get strong enough to take care of the rest on its own. "I strongly believe in the gene editing strategy, and with my 30 years in HIV research, I think this is the one that is going to take us to the end." He's not the only optimist. "</w:t>
      </w:r>
      <w:r w:rsidRPr="00A13FE2">
        <w:rPr>
          <w:rStyle w:val="StyleUnderline"/>
        </w:rPr>
        <w:t>The advantage of using a virus as your delivery system is it can infect virtually every cell</w:t>
      </w:r>
      <w:r>
        <w:t xml:space="preserve">," says Jianhua Luo, a pathologist at the University of Pittsburgh. Luo is using a similar Crispr-in-a-virus system to target cancerous DNA in cells. </w:t>
      </w:r>
      <w:r w:rsidRPr="00A13FE2">
        <w:rPr>
          <w:rStyle w:val="StyleUnderline"/>
        </w:rPr>
        <w:t xml:space="preserve">And curing HIV could be a proof-of-concept for </w:t>
      </w:r>
      <w:r w:rsidRPr="00A13FE2">
        <w:rPr>
          <w:rStyle w:val="Emphasis"/>
        </w:rPr>
        <w:t>other diseases—even genetic diseases people are born with</w:t>
      </w:r>
      <w:r>
        <w:t xml:space="preserve">. </w:t>
      </w:r>
      <w:r w:rsidRPr="0013515C">
        <w:rPr>
          <w:rStyle w:val="StyleUnderline"/>
        </w:rPr>
        <w:t>Even though the virus starts as a simple infection, once it becomes part of a person's chromosome, it essentially becomes a genetic disease. Imagine a world where, instead of removing her breasts, Angelina Jolie could instead have taken a dose of genes that snip away the BRCA2 genes</w:t>
      </w:r>
      <w:r>
        <w:t xml:space="preserve"> that threatened her with cancer. That's the difference between a treatment and a cure. 1Update 2:50 pm EST 5/26/17: This story has been updated to correct information about the gene therapy trial that resulted in Jesse Gelsinger's death. It was an adenovirus, not an adeno-associated virus, that was used as a vector in that trial.</w:t>
      </w:r>
    </w:p>
    <w:p w:rsidR="007C2097" w:rsidRPr="007C2097" w:rsidRDefault="007C2097" w:rsidP="007C2097"/>
    <w:p w:rsidR="00C47278" w:rsidRPr="00356811" w:rsidRDefault="00C47278" w:rsidP="00356811">
      <w:pPr>
        <w:pStyle w:val="Heading4"/>
      </w:pPr>
      <w:r w:rsidRPr="00356811">
        <w:t xml:space="preserve">No impact to </w:t>
      </w:r>
      <w:r w:rsidR="007C2097">
        <w:t>disease</w:t>
      </w:r>
    </w:p>
    <w:p w:rsidR="00C47278" w:rsidRPr="00AA0D15" w:rsidRDefault="00C47278" w:rsidP="00C47278">
      <w:r w:rsidRPr="007C2097">
        <w:rPr>
          <w:rStyle w:val="Style13ptBold"/>
        </w:rPr>
        <w:t>Cotton-Barratt 2/3</w:t>
      </w:r>
      <w:r w:rsidR="007C2097">
        <w:rPr>
          <w:rStyle w:val="Style13ptBold"/>
        </w:rPr>
        <w:t>/17</w:t>
      </w:r>
      <w:r w:rsidRPr="00AA0D15">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https://www.fhi.ox.ac.uk/wp-content/uploads/Existential-Risks-2017-01-23.pdf)//jkuffour</w:t>
      </w:r>
    </w:p>
    <w:p w:rsidR="00C47278" w:rsidRPr="00AA0D15" w:rsidRDefault="00C47278" w:rsidP="00C47278">
      <w:pPr>
        <w:rPr>
          <w:rStyle w:val="Emphasis"/>
        </w:rPr>
      </w:pPr>
      <w:r w:rsidRPr="00AA0D15">
        <w:t xml:space="preserve">For most of human history, natural pandemics have posed the greatest risk of mass global fatalities.37 However, </w:t>
      </w:r>
      <w:r w:rsidRPr="00AA0D15">
        <w:rPr>
          <w:rStyle w:val="StyleUnderline"/>
        </w:rPr>
        <w:t xml:space="preserve">there are some reasons to believe that </w:t>
      </w:r>
      <w:r w:rsidRPr="00AA0D15">
        <w:rPr>
          <w:rStyle w:val="Emphasis"/>
        </w:rPr>
        <w:t>natural pandemics are</w:t>
      </w:r>
      <w:r w:rsidRPr="00AA0D15">
        <w:rPr>
          <w:rStyle w:val="StyleUnderline"/>
        </w:rPr>
        <w:t xml:space="preserve"> </w:t>
      </w:r>
      <w:r w:rsidRPr="00AA0D15">
        <w:rPr>
          <w:rStyle w:val="Emphasis"/>
        </w:rPr>
        <w:t>very unlikely to cause human extinction</w:t>
      </w:r>
      <w:r w:rsidRPr="00AA0D15">
        <w:t xml:space="preserve">. Analysis of the International Union for Conservation of Nature (IUCN) red list database has shown that </w:t>
      </w:r>
      <w:r w:rsidRPr="00AA0D15">
        <w:rPr>
          <w:rStyle w:val="Emphasis"/>
        </w:rPr>
        <w:t>of the 833 recorded</w:t>
      </w:r>
      <w:r w:rsidRPr="00AA0D15">
        <w:rPr>
          <w:rStyle w:val="StyleUnderline"/>
        </w:rPr>
        <w:t xml:space="preserve"> plant and animal </w:t>
      </w:r>
      <w:r w:rsidRPr="00AA0D15">
        <w:rPr>
          <w:rStyle w:val="Emphasis"/>
        </w:rPr>
        <w:t>species extinctions known to have occurred since 1500, less than 4%</w:t>
      </w:r>
      <w:r w:rsidRPr="00AA0D15">
        <w:t xml:space="preserve"> (31 species) </w:t>
      </w:r>
      <w:r w:rsidRPr="00AA0D15">
        <w:rPr>
          <w:rStyle w:val="Emphasis"/>
        </w:rPr>
        <w:t>were ascribed to</w:t>
      </w:r>
      <w:r w:rsidRPr="00AA0D15">
        <w:rPr>
          <w:rStyle w:val="StyleUnderline"/>
        </w:rPr>
        <w:t xml:space="preserve"> infectious </w:t>
      </w:r>
      <w:r w:rsidRPr="00AA0D15">
        <w:rPr>
          <w:rStyle w:val="Emphasis"/>
        </w:rPr>
        <w:t>disease</w:t>
      </w:r>
      <w:r w:rsidRPr="00AA0D15">
        <w:t xml:space="preserve">.38 </w:t>
      </w:r>
      <w:r w:rsidRPr="00AA0D15">
        <w:rPr>
          <w:rStyle w:val="Emphasis"/>
        </w:rPr>
        <w:t>None</w:t>
      </w:r>
      <w:r w:rsidRPr="00AA0D15">
        <w:rPr>
          <w:rStyle w:val="StyleUnderline"/>
        </w:rPr>
        <w:t xml:space="preserve"> of the mammals and amphibians on this list </w:t>
      </w:r>
      <w:r w:rsidRPr="00AA0D15">
        <w:rPr>
          <w:rStyle w:val="Emphasis"/>
        </w:rPr>
        <w:t>were globally dispersed, and other factors</w:t>
      </w:r>
      <w:r w:rsidRPr="00AA0D15">
        <w:rPr>
          <w:rStyle w:val="StyleUnderline"/>
        </w:rPr>
        <w:t xml:space="preserve"> aside from infectious disease also </w:t>
      </w:r>
      <w:r w:rsidRPr="00AA0D15">
        <w:rPr>
          <w:rStyle w:val="Emphasis"/>
        </w:rPr>
        <w:t>contributed</w:t>
      </w:r>
      <w:r w:rsidRPr="00AA0D15">
        <w:rPr>
          <w:rStyle w:val="StyleUnderline"/>
        </w:rPr>
        <w:t xml:space="preserve"> to their extinction. It therefore seems that </w:t>
      </w:r>
      <w:r w:rsidRPr="00AA0D15">
        <w:rPr>
          <w:rStyle w:val="Emphasis"/>
        </w:rPr>
        <w:t>our own species,</w:t>
      </w:r>
      <w:r w:rsidRPr="00AA0D15">
        <w:rPr>
          <w:rStyle w:val="StyleUnderline"/>
        </w:rPr>
        <w:t xml:space="preserve"> which </w:t>
      </w:r>
      <w:r w:rsidRPr="00AA0D15">
        <w:rPr>
          <w:rStyle w:val="Emphasis"/>
        </w:rPr>
        <w:t>is</w:t>
      </w:r>
      <w:r w:rsidRPr="00AA0D15">
        <w:rPr>
          <w:rStyle w:val="StyleUnderline"/>
        </w:rPr>
        <w:t xml:space="preserve"> very numerous, </w:t>
      </w:r>
      <w:r w:rsidRPr="00AA0D15">
        <w:rPr>
          <w:rStyle w:val="Emphasis"/>
        </w:rPr>
        <w:t>globally dispersed, and capable of a rational response to problems</w:t>
      </w:r>
      <w:r w:rsidRPr="00AA0D15">
        <w:rPr>
          <w:rStyle w:val="StyleUnderline"/>
        </w:rPr>
        <w:t xml:space="preserve">, is very unlikely to be killed off by a natural pandemic. One underlying explanation for this is that highly </w:t>
      </w:r>
      <w:r w:rsidRPr="00AA0D15">
        <w:rPr>
          <w:rStyle w:val="Emphasis"/>
        </w:rPr>
        <w:t>lethal pathogens can kill their hosts before they</w:t>
      </w:r>
      <w:r w:rsidRPr="00AA0D15">
        <w:rPr>
          <w:rStyle w:val="StyleUnderline"/>
        </w:rPr>
        <w:t xml:space="preserve"> have a chance to </w:t>
      </w:r>
      <w:r w:rsidRPr="00AA0D15">
        <w:rPr>
          <w:rStyle w:val="Emphasis"/>
        </w:rPr>
        <w:t>spread</w:t>
      </w:r>
      <w:r w:rsidRPr="00AA0D15">
        <w:rPr>
          <w:rStyle w:val="StyleUnderline"/>
        </w:rPr>
        <w:t>, so there is a selective pressure for pathogens not to be highly lethal.</w:t>
      </w:r>
      <w:r w:rsidRPr="00AA0D15">
        <w:t xml:space="preserve"> Therefore, </w:t>
      </w:r>
      <w:r w:rsidRPr="00AA0D15">
        <w:rPr>
          <w:rStyle w:val="Emphasis"/>
        </w:rPr>
        <w:t xml:space="preserve">pathogens are likely to co-evolve with their hosts rather than kill all possible hosts.39 </w:t>
      </w:r>
    </w:p>
    <w:p w:rsidR="00C47278" w:rsidRPr="00AA0D15" w:rsidRDefault="00C47278" w:rsidP="00C47278">
      <w:pPr>
        <w:pStyle w:val="Heading4"/>
        <w:rPr>
          <w:rFonts w:cs="Times New Roman"/>
        </w:rPr>
      </w:pPr>
      <w:r w:rsidRPr="00AA0D15">
        <w:rPr>
          <w:rFonts w:cs="Times New Roman"/>
        </w:rPr>
        <w:t>No ABR impact – alt causes and it’s hype</w:t>
      </w:r>
    </w:p>
    <w:p w:rsidR="00C47278" w:rsidRPr="00AA0D15" w:rsidRDefault="00C47278" w:rsidP="00C47278">
      <w:r w:rsidRPr="007C2097">
        <w:rPr>
          <w:rStyle w:val="Style13ptBold"/>
        </w:rPr>
        <w:t>Cara 1-27</w:t>
      </w:r>
      <w:r w:rsidR="007C2097">
        <w:rPr>
          <w:rStyle w:val="Style13ptBold"/>
        </w:rPr>
        <w:t>-17</w:t>
      </w:r>
      <w:r w:rsidRPr="00AA0D15">
        <w:t xml:space="preserve"> – Ed Cara is science writer for The Atlantic, Newsweek, and Vocativ. ("The Attack Of The Superbugs," 1-27-2017, Vocativ, http://www.vocativ.com/394419/attack-of-the-superbugs/)//jkuffour</w:t>
      </w:r>
    </w:p>
    <w:p w:rsidR="00C47278" w:rsidRPr="00AA0D15" w:rsidRDefault="00C47278" w:rsidP="00C47278">
      <w:pPr>
        <w:rPr>
          <w:rStyle w:val="Emphasis"/>
          <w:b w:val="0"/>
          <w:iCs w:val="0"/>
          <w:sz w:val="10"/>
          <w:u w:val="none"/>
        </w:rPr>
      </w:pPr>
      <w:r w:rsidRPr="00AA0D15">
        <w:rPr>
          <w:sz w:val="10"/>
        </w:rPr>
        <w:t xml:space="preserve">For all of our modern comforts, few deserve as much appreciation and praise as antibiotics do. Since their initial, almost accidental discovery in the 1920s, they’ve saved countless lives, rescued untold limbs from amputation, and wiped out entire kinds of disease from all corners of the globe. But their sway over the bacterial kingdom has slowly been fading, a reality that has led many to worry about the worst coming in the not-too-distant future — the end of antibiotics. The end of antibiotics isn’t yet to come, though. It’s already happening right in front of our eyes. Once-easily fought infections are now Herculean struggles between bacteria and doctors across the world. And unless humanity can mount a massive global campaign to tamp down antibiotic resistance while developing effective new drugs soon, this germ warfare will only get worse. Consider one recent case: In January, local Nevada doctors, along with the Centers of Disease Control and Prevention, </w:t>
      </w:r>
      <w:hyperlink r:id="rId65" w:anchor="contribAff" w:tgtFrame="_blank" w:history="1">
        <w:r w:rsidRPr="00AA0D15">
          <w:rPr>
            <w:rStyle w:val="Hyperlink"/>
            <w:sz w:val="10"/>
          </w:rPr>
          <w:t>reported</w:t>
        </w:r>
      </w:hyperlink>
      <w:r w:rsidRPr="00AA0D15">
        <w:rPr>
          <w:sz w:val="10"/>
        </w:rPr>
        <w:t xml:space="preserve"> the death of a 70-something woman in Washoe County. She was hospitalized and diagnosed with sepsis, a widespread inflammation triggered by infection that ravages the body. Despite their efforts, the woman proved unresponsive to any treatment. After falling into septic shock, her organs rapidly shut down and she soon died. Samples from one of her infected wounds had tested positive for a bacteria called Klebsiella pneumoniae that was at least partly resistant to all 14 available antibiotics the hospital had in stock. The CDC, brought in for more testing, additionally found her passenger was truly resistant to at least a whopping 26 antibiotics found in the U.S., including the aptly-called “last resort” drugs colistin and tigecycline. About the only good news was that, thanks to quickly isolating her away from other patients, the doctors seemingly stopped the infection from spreading any further. “We’ve never seen that before [in our area],” Dr. Lei Chen of the Washoe County Health District told Vocativ, referring to the bacteria’s invulnerability. Antibiotic-resistant bacteria are a common enough danger in the U.S., with at least two million infections and 23,000 deaths caused by them annually, according to the CDC, but few are as hardy as the woman’s strain was, repelling both conventional and last-resort drugs. The Nevada case is what doctors call a pan-resistant infection. And while these are still rare occurrences, no one is really sure for how long. “It underscores that this type of thing can happen,” said Dr. Randall Todd, Director of Epidemiology &amp; Public Health Preparedness at Washoe County. “But we don’t ever want it to be common.” If there’s any germ likely to become commonly pan-resistant in the near future, it’s something like K. pneumoniae. The bug is part of a group typically found in the gut called Enterobacteriaceae. Broader still, these bacteria are gram-negative, a term that describes their inability to be colored by a violet dye that scientists use to see bacteria under the microscope. Like a laundry load of tighty whities mixed in with your sister’s red blazer, they instead turn pinkish, but only after a second dye is added. Unfortunately, the same thing that leaves them pink — their unique, thicker cell walls — also gives gram-negative bacteria a built-in buffer against many antibiotics. And our ongoing antibiotic arms-race has only steeled their defenses. Enterobacteriaceae, especially, have learned to deter drug after drug thrown at them, making them one of the </w:t>
      </w:r>
      <w:hyperlink r:id="rId66" w:tgtFrame="_blank" w:history="1">
        <w:r w:rsidRPr="00AA0D15">
          <w:rPr>
            <w:rStyle w:val="Hyperlink"/>
            <w:sz w:val="10"/>
          </w:rPr>
          <w:t>most serious threats</w:t>
        </w:r>
      </w:hyperlink>
      <w:r w:rsidRPr="00AA0D15">
        <w:rPr>
          <w:sz w:val="10"/>
        </w:rPr>
        <w:t xml:space="preserve"> out there, according to the CDC. Some strains have even picked up genes that let them resist a powerful “break glass in case of emergency” line of drugs called carbapenems, leading to Carbapenem-resistant Enterobacteriaceae (CRE). What’s worse, CREs also tend to be resistant to every other antibiotic that came before it, earning them the charming nickname of “nightmare bacteria” from former CDC Director </w:t>
      </w:r>
      <w:hyperlink r:id="rId67" w:tgtFrame="_blank" w:history="1">
        <w:r w:rsidRPr="00AA0D15">
          <w:rPr>
            <w:rStyle w:val="Hyperlink"/>
            <w:sz w:val="10"/>
          </w:rPr>
          <w:t>Tom Frieden</w:t>
        </w:r>
      </w:hyperlink>
      <w:r w:rsidRPr="00AA0D15">
        <w:rPr>
          <w:sz w:val="10"/>
        </w:rPr>
        <w:t xml:space="preserve">. In our desperation, we’ve dusted off ancient drugs, like colistin, which had fallen out of favor because of their toxic side-effects and so-so performance, to use as an absolute last measure against CREs. But in recent years, bacteria have started to adapt to it too. Last year, U.S. Army researchers </w:t>
      </w:r>
      <w:hyperlink r:id="rId68" w:tgtFrame="_blank" w:history="1">
        <w:r w:rsidRPr="00AA0D15">
          <w:rPr>
            <w:rStyle w:val="Hyperlink"/>
            <w:sz w:val="10"/>
          </w:rPr>
          <w:t>confirmed</w:t>
        </w:r>
      </w:hyperlink>
      <w:r w:rsidRPr="00AA0D15">
        <w:rPr>
          <w:sz w:val="10"/>
        </w:rPr>
        <w:t xml:space="preserve"> the presence of a particular colistin resistance gene, MCR-1, in a sample of E. coli (another Enterobacteriaceae) collected from a woman in Pennsylvania. It was only the latest appearance of MCR-1, but the first to be found in a person within the United States. Though the patient’s strain was thankfully susceptible to standard antibiotics, MCR-1, along with a similar gene MCR-2, is troubling because of where it’s been found — on a loop of free-moving DNA called a plasmid. Bacteria have plenty of ways to transfer genes to one another, but plasmids are their version of a private charter plane. Plasmid genes jump from one species to another with little hassle, and often through sources far away from human contact. Indeed, MCR-1 was first </w:t>
      </w:r>
      <w:hyperlink r:id="rId69" w:tgtFrame="_blank" w:history="1">
        <w:r w:rsidRPr="00AA0D15">
          <w:rPr>
            <w:rStyle w:val="Hyperlink"/>
            <w:sz w:val="10"/>
          </w:rPr>
          <w:t>discovered</w:t>
        </w:r>
      </w:hyperlink>
      <w:r w:rsidRPr="00AA0D15">
        <w:rPr>
          <w:sz w:val="10"/>
        </w:rPr>
        <w:t xml:space="preserve"> in the farm animals of China, where colistin had frequently been used in animal feed, though it may have existed since at least the 1980s. In response, China </w:t>
      </w:r>
      <w:hyperlink r:id="rId70" w:tgtFrame="_blank" w:history="1">
        <w:r w:rsidRPr="00AA0D15">
          <w:rPr>
            <w:rStyle w:val="Hyperlink"/>
            <w:sz w:val="10"/>
          </w:rPr>
          <w:t>moved</w:t>
        </w:r>
      </w:hyperlink>
      <w:r w:rsidRPr="00AA0D15">
        <w:rPr>
          <w:sz w:val="10"/>
        </w:rPr>
        <w:t xml:space="preserve"> to ban colistin as a feed additive in October, but the genie has long since left the bottle — MCR-1 has been spotted in over 30 countries as of now, in both meat and man. Though the possibility of MCR-1 attaching onto a CRE bacteria is dreadful enough, the Nevada case proves that it isn’t the only route to pan-resistance. The woman in question had recently returned from a trip to India, where she was hospitalized several times for a fractured femur that turned into a bone infection over a two-year period. It’s likely that, aided by repeated antibiotic treatments and a weakened immune system, her body became a stewpot of resistance, with the strain of K. pneumoniae that eventually killed her collecting mutations like some sort of demented Katamari ball. There’s no official tally, but at least </w:t>
      </w:r>
      <w:hyperlink r:id="rId71" w:tgtFrame="_blank" w:history="1">
        <w:r w:rsidRPr="00AA0D15">
          <w:rPr>
            <w:rStyle w:val="Hyperlink"/>
            <w:sz w:val="10"/>
          </w:rPr>
          <w:t>several hundred cases</w:t>
        </w:r>
      </w:hyperlink>
      <w:r w:rsidRPr="00AA0D15">
        <w:rPr>
          <w:sz w:val="10"/>
        </w:rPr>
        <w:t xml:space="preserve"> of CRE are detected in the U.S. annually, most often in hospitals. And while estimates are tricky, </w:t>
      </w:r>
      <w:hyperlink r:id="rId72" w:tgtFrame="_blank" w:history="1">
        <w:r w:rsidRPr="00AA0D15">
          <w:rPr>
            <w:rStyle w:val="Hyperlink"/>
            <w:sz w:val="10"/>
          </w:rPr>
          <w:t>research</w:t>
        </w:r>
      </w:hyperlink>
      <w:r w:rsidRPr="00AA0D15">
        <w:rPr>
          <w:sz w:val="10"/>
        </w:rPr>
        <w:t xml:space="preserve"> suggests that 10 to 15 percent of CRE strains may also have pan-resistance to collistin and tigecycline. Elsewhere, we’re on our last legs against the common STD gonorrhea. The titular bacteria that causes it, Neisseria gonorrhoeae, is now usually resistant to most front-line drugs, which prompted the CDC and other health agencies to recommend treating it with a combination therapy of one standard antibiotic mixed with another emergency antibiotic, in 2010. But there are already scattered </w:t>
      </w:r>
      <w:hyperlink r:id="rId73" w:tgtFrame="_blank" w:history="1">
        <w:r w:rsidRPr="00AA0D15">
          <w:rPr>
            <w:rStyle w:val="Hyperlink"/>
            <w:sz w:val="10"/>
          </w:rPr>
          <w:t>reports</w:t>
        </w:r>
      </w:hyperlink>
      <w:r w:rsidRPr="00AA0D15">
        <w:rPr>
          <w:sz w:val="10"/>
        </w:rPr>
        <w:t xml:space="preserve"> of gonorrhea steadily becoming hardier against both, if not completely resistant yet, including during an outbreak in Hawaii that began last April. “I would not be shocked to read tomorrow that a colistin resistant CRE or N. gonorrhoeae resistant to both antibiotics used in the current combination therapy has been found,” said Dr. Anne Farewell, a bacterial geneticist at the University of Gothenburg’s Center for Antibiotic Resistance in Sweden, over email. Her message had eerily been sent mere hours before the report on the Nevada case was published. There are other dark horse candidates for pan-resistance, like tuberculosis. Since 2007, there have been several </w:t>
      </w:r>
      <w:hyperlink r:id="rId74" w:tgtFrame="_blank" w:history="1">
        <w:r w:rsidRPr="00AA0D15">
          <w:rPr>
            <w:rStyle w:val="Hyperlink"/>
            <w:sz w:val="10"/>
          </w:rPr>
          <w:t>reports</w:t>
        </w:r>
      </w:hyperlink>
      <w:r w:rsidRPr="00AA0D15">
        <w:rPr>
          <w:sz w:val="10"/>
        </w:rPr>
        <w:t xml:space="preserve"> of what’s being called totally drug-resistant TB, which would be the last grim stage of an ongoing evolution seen since the 1940s. But according to Dr. Mario Raviglione, director of the World Health Organization’s Global TB Program, we don’t have the resources needed to confirm if these cases are truly, completely resistant. What is known that, despite successes in driving down cases of resistant TB, there are still pockets of the world where rates continue to climb, particularly in poorer countries like India. All told, it’s </w:t>
      </w:r>
      <w:hyperlink r:id="rId75" w:tgtFrame="_blank" w:history="1">
        <w:r w:rsidRPr="00AA0D15">
          <w:rPr>
            <w:rStyle w:val="Hyperlink"/>
            <w:sz w:val="10"/>
          </w:rPr>
          <w:t>estimated</w:t>
        </w:r>
      </w:hyperlink>
      <w:r w:rsidRPr="00AA0D15">
        <w:rPr>
          <w:sz w:val="10"/>
        </w:rPr>
        <w:t xml:space="preserve"> that around 10 percent of all resistant TB cases fall under the extensively drug-resistant TB umbrella, meaning they repel the first and second-line of drugs. In many ways, though, looking for the single tipping point of pan-resistance is a distraction, morbidly curious about it as we might be. “It is largely a question of semantics,” explained Farewell. “When a colistin resistant CRE arises but a doctor is able to treat it with a very toxic old drug that requires hospitalization for many months and causes significant long term damage to the patient, is that ‘The Superbug’ or not quite?” “We are already in the middle of this crisis, not waiting for the next shoe to drop,” she added. Antibiotic-resistant infections kill at least 700,000 people worldwide a year right now, according to an </w:t>
      </w:r>
      <w:hyperlink r:id="rId76" w:tgtFrame="_blank" w:history="1">
        <w:r w:rsidRPr="00AA0D15">
          <w:rPr>
            <w:rStyle w:val="Hyperlink"/>
            <w:sz w:val="10"/>
          </w:rPr>
          <w:t xml:space="preserve">exhaustive report </w:t>
        </w:r>
      </w:hyperlink>
      <w:r w:rsidRPr="00AA0D15">
        <w:rPr>
          <w:sz w:val="10"/>
        </w:rPr>
        <w:t xml:space="preserve">commissioned by the UK in 2014, and without any substantial medical breakthroughs or policy changes that slow down resistance, they may claim some 10 million deaths annually by 2050 — eclipsing cancer in general as a leading cause. These deaths largely won’t come from pan-resistant infections, just tougher ones. A preventable death there, a preventable death here.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w:t>
      </w:r>
      <w:hyperlink r:id="rId77" w:tgtFrame="_blank" w:history="1">
        <w:r w:rsidRPr="00AA0D15">
          <w:rPr>
            <w:rStyle w:val="Hyperlink"/>
            <w:sz w:val="10"/>
          </w:rPr>
          <w:t>cystic fibrosis</w:t>
        </w:r>
      </w:hyperlink>
      <w:r w:rsidRPr="00AA0D15">
        <w:rPr>
          <w:sz w:val="10"/>
        </w:rPr>
        <w:t xml:space="preserve">, </w:t>
      </w:r>
      <w:hyperlink r:id="rId78" w:tgtFrame="_blank" w:history="1">
        <w:r w:rsidRPr="00AA0D15">
          <w:rPr>
            <w:rStyle w:val="Hyperlink"/>
            <w:sz w:val="10"/>
          </w:rPr>
          <w:t>prisoners</w:t>
        </w:r>
      </w:hyperlink>
      <w:r w:rsidRPr="00AA0D15">
        <w:rPr>
          <w:sz w:val="10"/>
        </w:rPr>
        <w:t xml:space="preserve">, and the </w:t>
      </w:r>
      <w:hyperlink r:id="rId79" w:tgtFrame="_blank" w:history="1">
        <w:r w:rsidRPr="00AA0D15">
          <w:rPr>
            <w:rStyle w:val="Hyperlink"/>
            <w:sz w:val="10"/>
          </w:rPr>
          <w:t>poor</w:t>
        </w:r>
      </w:hyperlink>
      <w:r w:rsidRPr="00AA0D15">
        <w:rPr>
          <w:sz w:val="10"/>
        </w:rPr>
        <w:t xml:space="preserve"> will lose years off their lives. </w:t>
      </w:r>
      <w:r w:rsidRPr="00AA0D15">
        <w:rPr>
          <w:rStyle w:val="StyleUnderline"/>
        </w:rPr>
        <w:t xml:space="preserve">For all the </w:t>
      </w:r>
      <w:r w:rsidRPr="00AA0D15">
        <w:rPr>
          <w:sz w:val="10"/>
        </w:rPr>
        <w:t xml:space="preserve">warranted </w:t>
      </w:r>
      <w:r w:rsidRPr="00AA0D15">
        <w:rPr>
          <w:rStyle w:val="StyleUnderline"/>
        </w:rPr>
        <w:t>gloom</w:t>
      </w:r>
      <w:r w:rsidRPr="00AA0D15">
        <w:rPr>
          <w:sz w:val="10"/>
        </w:rPr>
        <w:t xml:space="preserve">, though, Farewell does think </w:t>
      </w:r>
      <w:r w:rsidRPr="00AA0D15">
        <w:rPr>
          <w:rStyle w:val="StyleUnderline"/>
        </w:rPr>
        <w:t>there are reasons to be hopeful.</w:t>
      </w:r>
      <w:r w:rsidRPr="00AA0D15">
        <w:rPr>
          <w:sz w:val="10"/>
        </w:rPr>
        <w:t xml:space="preserve"> “I don’t think we are doing enough, but </w:t>
      </w:r>
      <w:r w:rsidRPr="00AA0D15">
        <w:rPr>
          <w:rStyle w:val="Emphasis"/>
        </w:rPr>
        <w:t>the scientific community along with</w:t>
      </w:r>
      <w:r w:rsidRPr="00AA0D15">
        <w:rPr>
          <w:rStyle w:val="StyleUnderline"/>
        </w:rPr>
        <w:t xml:space="preserve"> many </w:t>
      </w:r>
      <w:r w:rsidRPr="00AA0D15">
        <w:rPr>
          <w:rStyle w:val="Emphasis"/>
        </w:rPr>
        <w:t>government</w:t>
      </w:r>
      <w:r w:rsidRPr="00AA0D15">
        <w:rPr>
          <w:rStyle w:val="StyleUnderline"/>
        </w:rPr>
        <w:t xml:space="preserve">al </w:t>
      </w:r>
      <w:r w:rsidRPr="00AA0D15">
        <w:rPr>
          <w:rStyle w:val="Emphasis"/>
        </w:rPr>
        <w:t>and private foundations are very actively involved in finding not only new antibiotics, but new solutions</w:t>
      </w:r>
      <w:r w:rsidRPr="00AA0D15">
        <w:rPr>
          <w:rStyle w:val="StyleUnderline"/>
        </w:rPr>
        <w:t xml:space="preserve"> to this problem</w:t>
      </w:r>
      <w:r w:rsidRPr="00AA0D15">
        <w:rPr>
          <w:sz w:val="10"/>
        </w:rPr>
        <w:t xml:space="preserve">,” she said. </w:t>
      </w:r>
      <w:r w:rsidRPr="00AA0D15">
        <w:rPr>
          <w:rStyle w:val="Emphasis"/>
        </w:rPr>
        <w:t>There’s been a noticeable change in attitude</w:t>
      </w:r>
      <w:r w:rsidRPr="00AA0D15">
        <w:rPr>
          <w:rStyle w:val="StyleUnderline"/>
        </w:rPr>
        <w:t xml:space="preserve"> </w:t>
      </w:r>
      <w:r w:rsidRPr="00AA0D15">
        <w:rPr>
          <w:rStyle w:val="Emphasis"/>
        </w:rPr>
        <w:t>and</w:t>
      </w:r>
      <w:r w:rsidRPr="00AA0D15">
        <w:rPr>
          <w:rStyle w:val="StyleUnderline"/>
        </w:rPr>
        <w:t xml:space="preserve"> increased </w:t>
      </w:r>
      <w:r w:rsidRPr="00AA0D15">
        <w:rPr>
          <w:rStyle w:val="Emphasis"/>
        </w:rPr>
        <w:t>urgency</w:t>
      </w:r>
      <w:r w:rsidRPr="00AA0D15">
        <w:rPr>
          <w:rStyle w:val="StyleUnderline"/>
        </w:rPr>
        <w:t xml:space="preserve"> surrounding antibiotic resistance</w:t>
      </w:r>
      <w:r w:rsidRPr="00AA0D15">
        <w:rPr>
          <w:sz w:val="10"/>
        </w:rPr>
        <w:t xml:space="preserve">, she said, one that she hadn’t seen even five years ago, let alone twenty. Until recently, that attitude change could be seen from places as high up as the U.S. federal government. In 2014, former President Obama issued an executive order aimed at addressing antibiotic resistance,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“There has been a lot of work done the last couple of years, much of it spurred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AA0D15">
        <w:rPr>
          <w:rStyle w:val="Emphasis"/>
        </w:rPr>
        <w:t>cooperation between national and local health agencies</w:t>
      </w:r>
      <w:r w:rsidRPr="00AA0D15">
        <w:rPr>
          <w:rStyle w:val="StyleUnderline"/>
        </w:rPr>
        <w:t xml:space="preserve"> that </w:t>
      </w:r>
      <w:r w:rsidRPr="00AA0D15">
        <w:rPr>
          <w:rStyle w:val="Emphasis"/>
        </w:rPr>
        <w:t>enabled</w:t>
      </w:r>
      <w:r w:rsidRPr="00AA0D15">
        <w:rPr>
          <w:sz w:val="10"/>
        </w:rPr>
        <w:t xml:space="preserve"> Nevada </w:t>
      </w:r>
      <w:r w:rsidRPr="00AA0D15">
        <w:rPr>
          <w:rStyle w:val="Emphasis"/>
        </w:rPr>
        <w:t>doctors to stop the worst</w:t>
      </w:r>
      <w:r w:rsidRPr="00AA0D15">
        <w:rPr>
          <w:rStyle w:val="StyleUnderline"/>
        </w:rPr>
        <w:t xml:space="preserve"> from happening, </w:t>
      </w:r>
      <w:r w:rsidRPr="00AA0D15">
        <w:rPr>
          <w:sz w:val="10"/>
        </w:rPr>
        <w:t xml:space="preserve">said Dr. Lei Chen. The swift identification of a possible CRE strain by the hospital, coupled with the woman’s medical history, led to a precautionary quarantine, while also prompting Chen’s public health department and eventually the CDC into action. And </w:t>
      </w:r>
      <w:r w:rsidRPr="00AA0D15">
        <w:rPr>
          <w:rStyle w:val="StyleUnderline"/>
        </w:rPr>
        <w:t>it may help prevent future cases from spilling into the public</w:t>
      </w:r>
      <w:r w:rsidRPr="00AA0D15">
        <w:rPr>
          <w:sz w:val="10"/>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w:t>
      </w:r>
      <w:hyperlink r:id="rId80" w:tgtFrame="_blank" w:history="1">
        <w:r w:rsidRPr="00AA0D15">
          <w:rPr>
            <w:rStyle w:val="Hyperlink"/>
            <w:sz w:val="10"/>
          </w:rPr>
          <w:t>link</w:t>
        </w:r>
      </w:hyperlink>
      <w:r w:rsidRPr="00AA0D15">
        <w:rPr>
          <w:sz w:val="10"/>
        </w:rPr>
        <w:t xml:space="preserve"> to the Obama administration’s national action plan, and the fact that they’re already tried to bar USDA scientists from discussing their work with the public while stripping funding from other public health agencies isn’t encouraging. </w:t>
      </w:r>
      <w:r w:rsidRPr="00AA0D15">
        <w:rPr>
          <w:rStyle w:val="StyleUnderline"/>
        </w:rPr>
        <w:t>Even with the best public policy, however, there’s no clear light at the end of the tunnel.</w:t>
      </w:r>
      <w:r w:rsidRPr="00AA0D15">
        <w:rPr>
          <w:sz w:val="10"/>
        </w:rPr>
        <w:t xml:space="preserve"> Antibiotic resistance has gradually been worsening, even within the last 15 to 20 years, when superbugs like methicillin-resistant Staphylococcus aureus (MRSA) first became widely known, said Hyun. The </w:t>
      </w:r>
      <w:r w:rsidRPr="00AA0D15">
        <w:rPr>
          <w:rStyle w:val="Emphasis"/>
        </w:rPr>
        <w:t>effort</w:t>
      </w:r>
      <w:r w:rsidRPr="00AA0D15">
        <w:rPr>
          <w:rStyle w:val="StyleUnderline"/>
        </w:rPr>
        <w:t xml:space="preserve"> needed to develop new drugs </w:t>
      </w:r>
      <w:r w:rsidRPr="00AA0D15">
        <w:rPr>
          <w:rStyle w:val="Emphasis"/>
        </w:rPr>
        <w:t>has been in short supply, hamstrung by pharmaceutical companies</w:t>
      </w:r>
      <w:r w:rsidRPr="00AA0D15">
        <w:rPr>
          <w:rStyle w:val="StyleUnderline"/>
        </w:rPr>
        <w:t>’ inability to recoup the costs of bringing new antibiotics to market</w:t>
      </w:r>
      <w:r w:rsidRPr="00AA0D15">
        <w:rPr>
          <w:sz w:val="10"/>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AA0D15">
        <w:rPr>
          <w:rStyle w:val="StyleUnderline"/>
        </w:rPr>
        <w:t xml:space="preserve">There’s no army of sentient E. coli that will rise up and someday overthrow the human race. </w:t>
      </w:r>
      <w:r w:rsidRPr="00AA0D15">
        <w:rPr>
          <w:sz w:val="10"/>
        </w:rPr>
        <w:t xml:space="preserve">But barring the cavalry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AA0D15">
        <w:rPr>
          <w:rStyle w:val="Emphasis"/>
        </w:rPr>
        <w:t>The antibiotic apocalypse will be gentle</w:t>
      </w:r>
      <w:r w:rsidRPr="00AA0D15">
        <w:rPr>
          <w:sz w:val="10"/>
        </w:rPr>
        <w:t>, if it fully arrives, but it won’t be any less devastating to the human spirit.</w:t>
      </w:r>
    </w:p>
    <w:p w:rsidR="00C47278" w:rsidRPr="00AA0D15" w:rsidRDefault="00C47278" w:rsidP="00C47278">
      <w:pPr>
        <w:pStyle w:val="Heading1"/>
        <w:rPr>
          <w:rFonts w:cs="Times New Roman"/>
        </w:rPr>
      </w:pPr>
      <w:r w:rsidRPr="00AA0D15">
        <w:rPr>
          <w:rFonts w:cs="Times New Roman"/>
        </w:rPr>
        <w:t>NEG VS SPECIFIC AFFS</w:t>
      </w:r>
    </w:p>
    <w:p w:rsidR="00C47278" w:rsidRPr="00AA0D15" w:rsidRDefault="00C47278" w:rsidP="00C47278">
      <w:pPr>
        <w:pStyle w:val="Heading2"/>
        <w:rPr>
          <w:rFonts w:cs="Times New Roman"/>
        </w:rPr>
      </w:pPr>
      <w:r w:rsidRPr="00AA0D15">
        <w:rPr>
          <w:rFonts w:cs="Times New Roman"/>
        </w:rPr>
        <w:t>DESEGREGATION</w:t>
      </w:r>
    </w:p>
    <w:p w:rsidR="00C47278" w:rsidRPr="00AA0D15" w:rsidRDefault="00C47278" w:rsidP="00C47278">
      <w:pPr>
        <w:pStyle w:val="Heading3"/>
        <w:rPr>
          <w:rFonts w:cs="Times New Roman"/>
        </w:rPr>
      </w:pPr>
      <w:r w:rsidRPr="00AA0D15">
        <w:rPr>
          <w:rFonts w:cs="Times New Roman"/>
        </w:rPr>
        <w:t xml:space="preserve">1nc </w:t>
      </w:r>
    </w:p>
    <w:p w:rsidR="00C47278" w:rsidRPr="00AA0D15" w:rsidRDefault="00C47278" w:rsidP="00C47278">
      <w:pPr>
        <w:pStyle w:val="Heading4"/>
        <w:rPr>
          <w:rFonts w:cs="Times New Roman"/>
        </w:rPr>
      </w:pPr>
      <w:r w:rsidRPr="00AA0D15">
        <w:rPr>
          <w:rFonts w:cs="Times New Roman"/>
        </w:rPr>
        <w:t xml:space="preserve">The legislatures and courts 50 states and relevant territories should </w:t>
      </w:r>
    </w:p>
    <w:p w:rsidR="00C47278" w:rsidRPr="00AA0D15" w:rsidRDefault="00C47278" w:rsidP="00C47278">
      <w:pPr>
        <w:pStyle w:val="Heading4"/>
        <w:rPr>
          <w:rFonts w:cs="Times New Roman"/>
        </w:rPr>
      </w:pPr>
      <w:r w:rsidRPr="00AA0D15">
        <w:rPr>
          <w:rFonts w:cs="Times New Roman"/>
        </w:rPr>
        <w:t>-- impose disparate impact regulations on K-12 educational institutions receiving federal and/or financial assistance, including a presumption against a school system's choice to assign students in a way that would lead to racial isolation, where non-isolating steps are available</w:t>
      </w:r>
    </w:p>
    <w:p w:rsidR="00C47278" w:rsidRPr="00AA0D15" w:rsidRDefault="00C47278" w:rsidP="00C47278">
      <w:pPr>
        <w:pStyle w:val="Heading4"/>
        <w:rPr>
          <w:rFonts w:cs="Times New Roman"/>
        </w:rPr>
      </w:pPr>
      <w:r w:rsidRPr="00AA0D15">
        <w:rPr>
          <w:rFonts w:cs="Times New Roman"/>
        </w:rPr>
        <w:t xml:space="preserve">-- enforce non-compliance by bolstering efforts of state departments of justice </w:t>
      </w:r>
    </w:p>
    <w:p w:rsidR="00C47278" w:rsidRPr="00AA0D15" w:rsidRDefault="00C47278" w:rsidP="00C47278">
      <w:pPr>
        <w:pStyle w:val="Heading4"/>
        <w:rPr>
          <w:rFonts w:cs="Times New Roman"/>
        </w:rPr>
      </w:pPr>
      <w:r w:rsidRPr="00AA0D15">
        <w:rPr>
          <w:rFonts w:cs="Times New Roman"/>
        </w:rPr>
        <w:t xml:space="preserve">--provide all necessary funding to K-12 educational institutions with the purpose of closing the achievement gap for minority students </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&lt;&lt;GENERIC CARD&gt;&gt;</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 xml:space="preserve">Funding is the ultimate concern to combat inter-school desegregation – states solve it </w:t>
      </w:r>
      <w:r w:rsidR="00356811">
        <w:rPr>
          <w:rFonts w:cs="Times New Roman"/>
        </w:rPr>
        <w:t>[aff author, possibly]</w:t>
      </w:r>
    </w:p>
    <w:p w:rsidR="00C47278" w:rsidRPr="00AA0D15" w:rsidRDefault="00C47278" w:rsidP="00C47278">
      <w:pPr>
        <w:rPr>
          <w:rFonts w:eastAsia="Times New Roman"/>
          <w:color w:val="222222"/>
          <w:shd w:val="clear" w:color="auto" w:fill="FFFFFF"/>
        </w:rPr>
      </w:pPr>
      <w:r w:rsidRPr="00AA0D15">
        <w:rPr>
          <w:rFonts w:eastAsia="Times New Roman"/>
          <w:b/>
          <w:bCs/>
          <w:color w:val="000000"/>
          <w:sz w:val="26"/>
          <w:szCs w:val="26"/>
          <w:shd w:val="clear" w:color="auto" w:fill="FFFFFF"/>
        </w:rPr>
        <w:t>Black, 10</w:t>
      </w:r>
      <w:r w:rsidRPr="00AA0D15">
        <w:rPr>
          <w:rFonts w:eastAsia="Times New Roman"/>
          <w:color w:val="000000"/>
          <w:shd w:val="clear" w:color="auto" w:fill="FFFFFF"/>
        </w:rPr>
        <w:t> --- Associate Professor of Law and Director, Education Rights Center, Howard University School of Law (March 2010, Derek, William and Mary Law Review, “UNLOCKING THE POWER OF STATE CONSTITUTIONS WITH EQUAL PROTECTION: THE FIRST STEP TOWARD EDUCATION AS A FEDERALLY PROTECTED RIGHT,” 51 Wm. &amp; Mary L. Rev. 1343, Lexis-Nexis Academic, JMP)</w:t>
      </w:r>
    </w:p>
    <w:p w:rsidR="00C47278" w:rsidRPr="00AA0D15" w:rsidRDefault="00C47278" w:rsidP="00C47278"/>
    <w:p w:rsidR="00C47278" w:rsidRPr="00AA0D15" w:rsidRDefault="00C47278" w:rsidP="00C47278">
      <w:pPr>
        <w:rPr>
          <w:sz w:val="14"/>
        </w:rPr>
      </w:pPr>
      <w:r w:rsidRPr="00AA0D15">
        <w:rPr>
          <w:sz w:val="14"/>
        </w:rPr>
        <w:t xml:space="preserve">School quality and student achievement, rather than money, must be our primary concern in evaluating education, but </w:t>
      </w:r>
      <w:r w:rsidRPr="00AA0D15">
        <w:rPr>
          <w:rStyle w:val="StyleUnderline"/>
        </w:rPr>
        <w:t>money is far from irrelevant to school quality and student achievement</w:t>
      </w:r>
      <w:r w:rsidRPr="00AA0D15">
        <w:rPr>
          <w:sz w:val="14"/>
        </w:rPr>
        <w:t xml:space="preserve">. </w:t>
      </w:r>
      <w:r w:rsidRPr="00AA0D15">
        <w:rPr>
          <w:rStyle w:val="StyleUnderline"/>
        </w:rPr>
        <w:t>Critics</w:t>
      </w:r>
      <w:r w:rsidRPr="00AA0D15">
        <w:rPr>
          <w:sz w:val="14"/>
        </w:rPr>
        <w:t xml:space="preserve"> of school funding reform regularly </w:t>
      </w:r>
      <w:r w:rsidRPr="00AA0D15">
        <w:rPr>
          <w:rStyle w:val="StyleUnderline"/>
        </w:rPr>
        <w:t>charge that school funding increases</w:t>
      </w:r>
      <w:r w:rsidRPr="00AA0D15">
        <w:rPr>
          <w:sz w:val="14"/>
        </w:rPr>
        <w:t xml:space="preserve"> are often squandered and </w:t>
      </w:r>
      <w:r w:rsidRPr="00AA0D15">
        <w:rPr>
          <w:rStyle w:val="StyleUnderline"/>
        </w:rPr>
        <w:t>fail to produce</w:t>
      </w:r>
      <w:r w:rsidRPr="00AA0D15">
        <w:rPr>
          <w:sz w:val="14"/>
        </w:rPr>
        <w:t xml:space="preserve"> tangible </w:t>
      </w:r>
      <w:r w:rsidRPr="00AA0D15">
        <w:rPr>
          <w:rStyle w:val="StyleUnderline"/>
        </w:rPr>
        <w:t>results</w:t>
      </w:r>
      <w:r w:rsidRPr="00AA0D15">
        <w:rPr>
          <w:sz w:val="14"/>
        </w:rPr>
        <w:t xml:space="preserve">. (45) Based on these historic critiques, even the Rodriguez Court assumed that money and educational quality are disconnected. (46) This premise, however, has been undermined by more recent evidence and scrutiny. Michael Rebell, reviewing cases since Rodriguez, finds that </w:t>
      </w:r>
      <w:r w:rsidRPr="00AA0D15">
        <w:rPr>
          <w:rStyle w:val="StyleUnderline"/>
        </w:rPr>
        <w:t>no state court addressing the issue has ever found that money does not affect educational opportunities</w:t>
      </w:r>
      <w:r w:rsidRPr="00AA0D15">
        <w:rPr>
          <w:sz w:val="14"/>
        </w:rPr>
        <w:t xml:space="preserve">. (47) Most poignantly, after evaluating the evidence on both sides of an adequacy case at trial, one conservative judge wrote, </w:t>
      </w:r>
      <w:r w:rsidRPr="00AA0D15">
        <w:rPr>
          <w:rStyle w:val="Emphasis"/>
        </w:rPr>
        <w:t>"Only a fool would find that money does not matter in education</w:t>
      </w:r>
      <w:r w:rsidRPr="00AA0D15">
        <w:rPr>
          <w:sz w:val="14"/>
        </w:rPr>
        <w:t xml:space="preserve">." (48) Rob Greenwald </w:t>
      </w:r>
      <w:r w:rsidRPr="00AA0D15">
        <w:rPr>
          <w:rStyle w:val="StyleUnderline"/>
        </w:rPr>
        <w:t>analyzed thirty-eight</w:t>
      </w:r>
      <w:r w:rsidRPr="00AA0D15">
        <w:rPr>
          <w:sz w:val="14"/>
        </w:rPr>
        <w:t xml:space="preserve"> different </w:t>
      </w:r>
      <w:r w:rsidRPr="00AA0D15">
        <w:rPr>
          <w:rStyle w:val="StyleUnderline"/>
        </w:rPr>
        <w:t>studies</w:t>
      </w:r>
      <w:r w:rsidRPr="00AA0D15">
        <w:rPr>
          <w:sz w:val="14"/>
        </w:rPr>
        <w:t xml:space="preserve"> </w:t>
      </w:r>
      <w:r w:rsidRPr="00AA0D15">
        <w:rPr>
          <w:rStyle w:val="StyleUnderline"/>
        </w:rPr>
        <w:t xml:space="preserve">regarding the relationship between money and educational outcomes </w:t>
      </w:r>
      <w:r w:rsidRPr="00AA0D15">
        <w:rPr>
          <w:sz w:val="14"/>
        </w:rPr>
        <w:t xml:space="preserve">and </w:t>
      </w:r>
      <w:r w:rsidRPr="00AA0D15">
        <w:rPr>
          <w:rStyle w:val="StyleUnderline"/>
        </w:rPr>
        <w:t>found</w:t>
      </w:r>
      <w:r w:rsidRPr="00AA0D15">
        <w:rPr>
          <w:sz w:val="14"/>
        </w:rPr>
        <w:t xml:space="preserve"> that </w:t>
      </w:r>
      <w:r w:rsidRPr="00AA0D15">
        <w:rPr>
          <w:rStyle w:val="Emphasis"/>
        </w:rPr>
        <w:t>positive student outcomes correlate with higher</w:t>
      </w:r>
      <w:r w:rsidRPr="00AA0D15">
        <w:rPr>
          <w:sz w:val="14"/>
        </w:rPr>
        <w:t xml:space="preserve"> per pupil </w:t>
      </w:r>
      <w:r w:rsidRPr="00AA0D15">
        <w:rPr>
          <w:rStyle w:val="Emphasis"/>
        </w:rPr>
        <w:t>spending</w:t>
      </w:r>
      <w:r w:rsidRPr="00AA0D15">
        <w:rPr>
          <w:sz w:val="14"/>
        </w:rPr>
        <w:t xml:space="preserve">. (49) </w:t>
      </w:r>
      <w:r w:rsidRPr="00AA0D15">
        <w:rPr>
          <w:rStyle w:val="StyleUnderline"/>
        </w:rPr>
        <w:t>New Jersey</w:t>
      </w:r>
      <w:r w:rsidRPr="00AA0D15">
        <w:rPr>
          <w:sz w:val="14"/>
        </w:rPr>
        <w:t xml:space="preserve">, where the supreme court has forced the state to direct additional funding to low performing school districts, </w:t>
      </w:r>
      <w:r w:rsidRPr="00AA0D15">
        <w:rPr>
          <w:rStyle w:val="StyleUnderline"/>
        </w:rPr>
        <w:t>provides an excellent example</w:t>
      </w:r>
      <w:r w:rsidRPr="00AA0D15">
        <w:rPr>
          <w:sz w:val="14"/>
        </w:rPr>
        <w:t xml:space="preserve">. Between 1999 and 2007, a period of major finance reform in New Jersey, the overall student scores on the statewide fourth grade mathematics assessment rose twenty-six points, with the greatest increases occurring in those school districts receiving supplemental funding. (50) Moreover, "the </w:t>
      </w:r>
      <w:r w:rsidRPr="00AA0D15">
        <w:rPr>
          <w:rStyle w:val="StyleUnderline"/>
        </w:rPr>
        <w:t xml:space="preserve">achievement gap between those districts and the rest of the state </w:t>
      </w:r>
      <w:r w:rsidRPr="00AA0D15">
        <w:rPr>
          <w:rStyle w:val="Emphasis"/>
        </w:rPr>
        <w:t>declined by more than one-third.</w:t>
      </w:r>
      <w:r w:rsidRPr="00AA0D15">
        <w:rPr>
          <w:rStyle w:val="StyleUnderline"/>
        </w:rPr>
        <w:t>"</w:t>
      </w:r>
      <w:r w:rsidRPr="00AA0D15">
        <w:rPr>
          <w:sz w:val="14"/>
        </w:rPr>
        <w:t xml:space="preserve"> (51) Gordon MacInnes attributes the closing of the achievement gap to districts' ability to focus new financial resources on early childhood education and reading. (52) New Jersey is not alone. Kansas, Kentucky, Massachusetts, and New York have made similar gains in conjunction with school funding litigation and reform. (53) In particular, </w:t>
      </w:r>
      <w:r w:rsidRPr="00AA0D15">
        <w:rPr>
          <w:rStyle w:val="StyleUnderline"/>
        </w:rPr>
        <w:t xml:space="preserve">studies show that access to core inputs such as high quality teachers, early reading programs, and tutoring have a </w:t>
      </w:r>
      <w:r w:rsidRPr="00AA0D15">
        <w:rPr>
          <w:rStyle w:val="Emphasis"/>
        </w:rPr>
        <w:t>significant impact on student achievement</w:t>
      </w:r>
      <w:r w:rsidRPr="00AA0D15">
        <w:rPr>
          <w:sz w:val="14"/>
        </w:rPr>
        <w:t xml:space="preserve">. (54) But the </w:t>
      </w:r>
      <w:r w:rsidRPr="00AA0D15">
        <w:rPr>
          <w:rStyle w:val="StyleUnderline"/>
        </w:rPr>
        <w:t xml:space="preserve">ability of low performing and high minority school districts to secure these services is </w:t>
      </w:r>
      <w:r w:rsidRPr="00AA0D15">
        <w:rPr>
          <w:rStyle w:val="Emphasis"/>
        </w:rPr>
        <w:t>entirely dependent on money.</w:t>
      </w:r>
      <w:r w:rsidRPr="00AA0D15">
        <w:rPr>
          <w:sz w:val="14"/>
        </w:rPr>
        <w:t xml:space="preserve"> (55) For instance, </w:t>
      </w:r>
      <w:r w:rsidRPr="00AA0D15">
        <w:rPr>
          <w:rStyle w:val="StyleUnderline"/>
        </w:rPr>
        <w:t xml:space="preserve">school </w:t>
      </w:r>
      <w:r w:rsidRPr="00AA0D15">
        <w:rPr>
          <w:rStyle w:val="Emphasis"/>
        </w:rPr>
        <w:t>districts</w:t>
      </w:r>
      <w:r w:rsidRPr="00AA0D15">
        <w:rPr>
          <w:rStyle w:val="StyleUnderline"/>
        </w:rPr>
        <w:t xml:space="preserve"> that serve these student populations would need to </w:t>
      </w:r>
      <w:r w:rsidRPr="00AA0D15">
        <w:rPr>
          <w:rStyle w:val="Emphasis"/>
        </w:rPr>
        <w:t>provide salaries</w:t>
      </w:r>
      <w:r w:rsidRPr="00AA0D15">
        <w:rPr>
          <w:rStyle w:val="StyleUnderline"/>
        </w:rPr>
        <w:t xml:space="preserve"> anywhere from around 50 to 100 percent higher than they currently offer to attract and retain high quality teachers</w:t>
      </w:r>
      <w:r w:rsidRPr="00AA0D15">
        <w:rPr>
          <w:sz w:val="14"/>
        </w:rPr>
        <w:t xml:space="preserve">. (56) Thus, </w:t>
      </w:r>
      <w:r w:rsidRPr="00AA0D15">
        <w:rPr>
          <w:rStyle w:val="Emphasis"/>
        </w:rPr>
        <w:t>money necessarily determines the quality of instruction that many students receive.</w:t>
      </w:r>
      <w:r w:rsidRPr="00AA0D15">
        <w:rPr>
          <w:sz w:val="14"/>
        </w:rPr>
        <w:t xml:space="preserve"> And when states have created inequalities in these respects for low-income, minority, or rural children, state supreme courts have consistently found these students have been deprived of their constitutional right to a basic quality education. (57) Rebell succinctly makes the point by saying "money matters," and rhetorically adds that, if money did not matter, parents would not move to the suburbs and spend high amounts of money per pupil, nor would others pull their children from public schools and spend even larger sums in private schools. (58)</w:t>
      </w:r>
    </w:p>
    <w:p w:rsidR="00C47278" w:rsidRPr="00AA0D15" w:rsidRDefault="00C47278" w:rsidP="00C47278">
      <w:pPr>
        <w:pStyle w:val="Heading4"/>
        <w:rPr>
          <w:rFonts w:cs="Times New Roman"/>
        </w:rPr>
      </w:pPr>
      <w:r w:rsidRPr="00AA0D15">
        <w:rPr>
          <w:rFonts w:cs="Times New Roman"/>
        </w:rPr>
        <w:t>State courts solve</w:t>
      </w:r>
    </w:p>
    <w:p w:rsidR="00C47278" w:rsidRPr="00AA0D15" w:rsidRDefault="00C47278" w:rsidP="00C47278">
      <w:pPr>
        <w:rPr>
          <w:b/>
        </w:rPr>
      </w:pPr>
      <w:r w:rsidRPr="00AA0D15">
        <w:rPr>
          <w:b/>
        </w:rPr>
        <w:t xml:space="preserve">Kahlenberg 4-6 - </w:t>
      </w:r>
      <w:r w:rsidRPr="00AA0D15">
        <w:t>Richard D. Kahlenberg is a senior fellow at The Century Foundation and author of </w:t>
      </w:r>
      <w:hyperlink r:id="rId81" w:tgtFrame="outlink" w:history="1">
        <w:r w:rsidRPr="00AA0D15">
          <w:rPr>
            <w:rStyle w:val="Hyperlink"/>
          </w:rPr>
          <w:t>The Remedy: Class, Race, and Affirmative Action</w:t>
        </w:r>
      </w:hyperlink>
      <w:r w:rsidRPr="00AA0D15">
        <w:rPr>
          <w:rStyle w:val="Hyperlink"/>
        </w:rPr>
        <w:t xml:space="preserve"> (</w:t>
      </w:r>
      <w:r w:rsidRPr="00AA0D15">
        <w:t>"School Integration Needs a New Hero," 4-6-2017, Atlantic, https://www.theatlantic.com/education/archive/2017/04/the-new-champions-of-school-integration/522141)//jkuffour</w:t>
      </w:r>
    </w:p>
    <w:p w:rsidR="00C47278" w:rsidRPr="00AA0D15" w:rsidRDefault="00C47278" w:rsidP="00C47278">
      <w:pPr>
        <w:rPr>
          <w:rStyle w:val="StyleUnderline"/>
        </w:rPr>
      </w:pPr>
      <w:r w:rsidRPr="00AA0D15">
        <w:rPr>
          <w:rStyle w:val="StyleUnderline"/>
        </w:rPr>
        <w:t xml:space="preserve">Policies that promote school integration by race and class took a significant hit last week when </w:t>
      </w:r>
      <w:r w:rsidRPr="00AA0D15">
        <w:rPr>
          <w:rStyle w:val="Emphasis"/>
        </w:rPr>
        <w:t xml:space="preserve">the U.S. Department of Education </w:t>
      </w:r>
      <w:hyperlink r:id="rId82" w:history="1">
        <w:r w:rsidRPr="00AA0D15">
          <w:rPr>
            <w:rStyle w:val="Emphasis"/>
          </w:rPr>
          <w:t>announced</w:t>
        </w:r>
      </w:hyperlink>
      <w:r w:rsidRPr="00AA0D15">
        <w:rPr>
          <w:rStyle w:val="Emphasis"/>
        </w:rPr>
        <w:t xml:space="preserve"> that it was killing a</w:t>
      </w:r>
      <w:r w:rsidRPr="00AA0D15">
        <w:rPr>
          <w:sz w:val="12"/>
        </w:rPr>
        <w:t xml:space="preserve"> small but </w:t>
      </w:r>
      <w:r w:rsidRPr="00AA0D15">
        <w:rPr>
          <w:rStyle w:val="StyleUnderline"/>
        </w:rPr>
        <w:t xml:space="preserve">important </w:t>
      </w:r>
      <w:r w:rsidRPr="00AA0D15">
        <w:rPr>
          <w:rStyle w:val="Emphasis"/>
        </w:rPr>
        <w:t>federal program to support local diversity efforts. The initiative</w:t>
      </w:r>
      <w:r w:rsidRPr="00AA0D15">
        <w:rPr>
          <w:rStyle w:val="StyleUnderline"/>
        </w:rPr>
        <w:t>,</w:t>
      </w:r>
      <w:r w:rsidRPr="00AA0D15">
        <w:rPr>
          <w:sz w:val="12"/>
        </w:rPr>
        <w:t xml:space="preserve"> “Opening Doors, Expanding Opportunities,” </w:t>
      </w:r>
      <w:r w:rsidRPr="00AA0D15">
        <w:rPr>
          <w:rStyle w:val="Emphasis"/>
        </w:rPr>
        <w:t>was slated to provide $12 million to</w:t>
      </w:r>
      <w:r w:rsidRPr="00AA0D15">
        <w:rPr>
          <w:rStyle w:val="StyleUnderline"/>
        </w:rPr>
        <w:t xml:space="preserve"> school </w:t>
      </w:r>
      <w:r w:rsidRPr="00AA0D15">
        <w:rPr>
          <w:rStyle w:val="Emphasis"/>
        </w:rPr>
        <w:t>districts</w:t>
      </w:r>
      <w:r w:rsidRPr="00AA0D15">
        <w:rPr>
          <w:rStyle w:val="StyleUnderline"/>
        </w:rPr>
        <w:t xml:space="preserve"> </w:t>
      </w:r>
      <w:r w:rsidRPr="00AA0D15">
        <w:rPr>
          <w:rStyle w:val="Emphasis"/>
        </w:rPr>
        <w:t>to boost socioeconomic diversity.</w:t>
      </w:r>
      <w:r w:rsidRPr="00AA0D15">
        <w:rPr>
          <w:sz w:val="12"/>
        </w:rPr>
        <w:t xml:space="preserve"> The brainchild of President Obama’s Secretary of Education, John B. King Jr., the program had attracted interest from 26 school districts across the country that believed kids would be better off in schools that educate rich and poor, and white and minority students, together rather than separately. According to the Washington Post, </w:t>
      </w:r>
      <w:r w:rsidRPr="00AA0D15">
        <w:rPr>
          <w:rStyle w:val="StyleUnderline"/>
        </w:rPr>
        <w:t xml:space="preserve">an Education Department spokesperson said the program was nixed because “it was not a wise use of tax dollars, in part because the money was to be used for planning, not implementation.” </w:t>
      </w:r>
      <w:r w:rsidRPr="00AA0D15">
        <w:rPr>
          <w:sz w:val="12"/>
        </w:rPr>
        <w:t>But supporters of the plan rejected that view. Representative Bobby Scott, a Virginia Democrat and the ranking member of the House Committee on Education and the Workforce,</w:t>
      </w:r>
      <w:hyperlink r:id="rId83" w:history="1">
        <w:r w:rsidRPr="00AA0D15">
          <w:rPr>
            <w:rStyle w:val="Hyperlink"/>
            <w:sz w:val="12"/>
          </w:rPr>
          <w:t xml:space="preserve"> said</w:t>
        </w:r>
      </w:hyperlink>
      <w:r w:rsidRPr="00AA0D15">
        <w:rPr>
          <w:sz w:val="12"/>
        </w:rPr>
        <w:t>, “</w:t>
      </w:r>
      <w:r w:rsidRPr="00AA0D15">
        <w:rPr>
          <w:rStyle w:val="StyleUnderline"/>
        </w:rPr>
        <w:t xml:space="preserve">Continuing this important program would have been an easy way for the Trump Administration to affirm its commitment to civil rights. Unfortunately, the Trump administration missed that opportunity.” </w:t>
      </w:r>
      <w:r w:rsidRPr="00AA0D15">
        <w:rPr>
          <w:sz w:val="12"/>
        </w:rPr>
        <w:t xml:space="preserve">By coincidence, as the news of the program’s discontinuation broke, proponents of school diversity, including King, were gathering at the Harvard Graduate School of Education for a strategic-planning conference on school-diversity efforts. The day-long meeting, sponsored by Harvard’s Reimagining Integration program, the National Coalition on School Diversity, and The Century Foundation (where I work), brought together 50 scholars, civil-rights activists, and educators to plot out new strategies for school diversity in the age of Trump. </w:t>
      </w:r>
      <w:r w:rsidRPr="00AA0D15">
        <w:rPr>
          <w:rStyle w:val="StyleUnderline"/>
        </w:rPr>
        <w:t>The decision by</w:t>
      </w:r>
      <w:r w:rsidRPr="00AA0D15">
        <w:rPr>
          <w:sz w:val="12"/>
        </w:rPr>
        <w:t xml:space="preserve"> Donald Trump’s education secretary, </w:t>
      </w:r>
      <w:r w:rsidRPr="00AA0D15">
        <w:rPr>
          <w:rStyle w:val="StyleUnderline"/>
        </w:rPr>
        <w:t>Betsy DeVos, to kill Opening Doors was a reminder</w:t>
      </w:r>
      <w:r w:rsidRPr="00AA0D15">
        <w:rPr>
          <w:sz w:val="12"/>
        </w:rPr>
        <w:t>, if any was needed</w:t>
      </w:r>
      <w:r w:rsidRPr="00AA0D15">
        <w:rPr>
          <w:rStyle w:val="StyleUnderline"/>
        </w:rPr>
        <w:t xml:space="preserve">, that </w:t>
      </w:r>
      <w:r w:rsidRPr="00AA0D15">
        <w:rPr>
          <w:rStyle w:val="Emphasis"/>
        </w:rPr>
        <w:t>proponents of school diversity need to look beyond the federal government for support during Trump’s administration</w:t>
      </w:r>
      <w:r w:rsidRPr="00AA0D15">
        <w:rPr>
          <w:rStyle w:val="StyleUnderline"/>
        </w:rPr>
        <w:t>. The decision on whether to proceed with the Opening Doors program</w:t>
      </w:r>
      <w:r w:rsidRPr="00AA0D15">
        <w:rPr>
          <w:sz w:val="12"/>
        </w:rPr>
        <w:t xml:space="preserve">, Philip Tegeler of the Poverty and Race Research Action Council told Patrick Wall in an Atlantic </w:t>
      </w:r>
      <w:hyperlink r:id="rId84" w:history="1">
        <w:r w:rsidRPr="00AA0D15">
          <w:rPr>
            <w:rStyle w:val="Hyperlink"/>
            <w:sz w:val="12"/>
          </w:rPr>
          <w:t>article</w:t>
        </w:r>
      </w:hyperlink>
      <w:r w:rsidRPr="00AA0D15">
        <w:rPr>
          <w:sz w:val="12"/>
        </w:rPr>
        <w:t xml:space="preserve"> last month</w:t>
      </w:r>
      <w:r w:rsidRPr="00AA0D15">
        <w:rPr>
          <w:rStyle w:val="StyleUnderline"/>
        </w:rPr>
        <w:t xml:space="preserve">, was “going to be a real test of her commitment to school integration.” And now she had failed. </w:t>
      </w:r>
      <w:r w:rsidRPr="00AA0D15">
        <w:rPr>
          <w:sz w:val="12"/>
        </w:rPr>
        <w:t xml:space="preserve">At the conference, King called the decision a “heartbreaking signal” on an issue of utmost importance. Students of color represent more than 50 percent of public-school students, King noted, and </w:t>
      </w:r>
      <w:r w:rsidRPr="00AA0D15">
        <w:rPr>
          <w:rStyle w:val="StyleUnderline"/>
        </w:rPr>
        <w:t>“the fate of the country” will be determined by how well it decides to educate this new majority of students.</w:t>
      </w:r>
      <w:r w:rsidRPr="00AA0D15">
        <w:rPr>
          <w:sz w:val="12"/>
        </w:rPr>
        <w:t xml:space="preserve"> School integration is also tied to “the fate of our democracy,” he suggested, because segregated schools allow politicians to scapegoat minorities, while integrated schools remind students of what they have in common as Americans. </w:t>
      </w:r>
      <w:hyperlink r:id="rId85" w:history="1">
        <w:r w:rsidRPr="00AA0D15">
          <w:rPr>
            <w:rStyle w:val="Hyperlink"/>
            <w:sz w:val="12"/>
          </w:rPr>
          <w:t>Research</w:t>
        </w:r>
      </w:hyperlink>
      <w:r w:rsidRPr="00AA0D15">
        <w:rPr>
          <w:sz w:val="12"/>
        </w:rPr>
        <w:t xml:space="preserve"> finds that school diversity reduces racial prejudice and improves academic attainment, which, in turn, is tied to higher voter participation. </w:t>
      </w:r>
      <w:r w:rsidRPr="00AA0D15">
        <w:rPr>
          <w:rStyle w:val="StyleUnderline"/>
        </w:rPr>
        <w:t xml:space="preserve">The death of a small federal school-integration initiative is connected to a much larger concern that </w:t>
      </w:r>
      <w:r w:rsidRPr="00AA0D15">
        <w:rPr>
          <w:rStyle w:val="Emphasis"/>
        </w:rPr>
        <w:t>DeVos’s primary education-reform idea—using public money for private school vouchers—will produce poor academic results for students, and Balkanize students by religion, race, and class</w:t>
      </w:r>
      <w:r w:rsidRPr="00AA0D15">
        <w:rPr>
          <w:sz w:val="12"/>
        </w:rPr>
        <w:t>. As my Century Foundation colleague Halley Potter noted in a new report, “</w:t>
      </w:r>
      <w:r w:rsidRPr="00AA0D15">
        <w:rPr>
          <w:rStyle w:val="Emphasis"/>
        </w:rPr>
        <w:t>voucher programs</w:t>
      </w:r>
      <w:r w:rsidRPr="00AA0D15">
        <w:rPr>
          <w:rStyle w:val="StyleUnderline"/>
        </w:rPr>
        <w:t xml:space="preserve"> on balance </w:t>
      </w:r>
      <w:r w:rsidRPr="00AA0D15">
        <w:rPr>
          <w:rStyle w:val="Emphasis"/>
        </w:rPr>
        <w:t>are more likely to increase school segregation than to decrease it or leave it at status quo</w:t>
      </w:r>
      <w:r w:rsidRPr="00AA0D15">
        <w:rPr>
          <w:sz w:val="12"/>
        </w:rPr>
        <w:t xml:space="preserve">.” King reminded participants, however, that this was not a moment “to admire the problem,” but a time to engage in fresh thinking about new approaches. What options do supporters of diversity have? Could progressives capitalize on DeVos’s rhetoric around school choice—particularly, the compelling need to liberate kids from struggling, high-poverty schools—to encourage choice within the public-school system that is designed to bring children of different backgrounds together? Should progressives pivot from Washington to focus on progressive states and localities? What is the role of foundations? What about state courts? </w:t>
      </w:r>
      <w:r w:rsidRPr="00AA0D15">
        <w:rPr>
          <w:rStyle w:val="StyleUnderline"/>
        </w:rPr>
        <w:t xml:space="preserve">Progressives in blue states appear to have a strong appetite for pushing against Donald Trump’s agenda on issues from immigration to climate change. Could this sentiment provide an important spark for school diversity initiatives? </w:t>
      </w:r>
      <w:r w:rsidRPr="00AA0D15">
        <w:rPr>
          <w:sz w:val="12"/>
        </w:rPr>
        <w:t xml:space="preserve">Under the federal Every Student Succeeds Act (ESSA), </w:t>
      </w:r>
      <w:r w:rsidRPr="00AA0D15">
        <w:rPr>
          <w:rStyle w:val="Emphasis"/>
        </w:rPr>
        <w:t>states are required to devote 7 percent of Title I funds to improving the lowest-performing schools</w:t>
      </w:r>
      <w:r w:rsidRPr="00AA0D15">
        <w:rPr>
          <w:rStyle w:val="StyleUnderline"/>
        </w:rPr>
        <w:t>.</w:t>
      </w:r>
      <w:r w:rsidRPr="00AA0D15">
        <w:rPr>
          <w:sz w:val="12"/>
        </w:rPr>
        <w:t xml:space="preserve"> New York state has a program (begun by King when he was its education commissioner) to use federal school-improvement funds to turn around struggling schools by implementing attractive magnet programs. </w:t>
      </w:r>
      <w:r w:rsidRPr="00AA0D15">
        <w:rPr>
          <w:rStyle w:val="StyleUnderline"/>
        </w:rPr>
        <w:t xml:space="preserve">Research suggests that </w:t>
      </w:r>
      <w:r w:rsidRPr="00AA0D15">
        <w:rPr>
          <w:rStyle w:val="Emphasis"/>
        </w:rPr>
        <w:t>low-income students in mixed-income schools</w:t>
      </w:r>
      <w:r w:rsidRPr="00AA0D15">
        <w:rPr>
          <w:rStyle w:val="StyleUnderline"/>
        </w:rPr>
        <w:t>—surrounded by peers who expect to go on to college, parents in the school community who regularly volunteer in class, and strong teachers—</w:t>
      </w:r>
      <w:r w:rsidRPr="00AA0D15">
        <w:rPr>
          <w:rStyle w:val="Emphasis"/>
        </w:rPr>
        <w:t>perform substantially better than comparable students in high-poverty schools that often lack those ingredients for success. State charter-school laws</w:t>
      </w:r>
      <w:r w:rsidRPr="00AA0D15">
        <w:rPr>
          <w:rStyle w:val="StyleUnderline"/>
        </w:rPr>
        <w:t xml:space="preserve">, likewise, </w:t>
      </w:r>
      <w:r w:rsidRPr="00AA0D15">
        <w:rPr>
          <w:rStyle w:val="Emphasis"/>
        </w:rPr>
        <w:t xml:space="preserve">could set aside a certain proportion of charter-school funds—say, 25 percent—for schools that are diverse by design, using a weighted lottery to ensure that school choice promotes socioeconomic diversity. </w:t>
      </w:r>
      <w:r w:rsidRPr="00AA0D15">
        <w:rPr>
          <w:sz w:val="12"/>
        </w:rPr>
        <w:t xml:space="preserve">Local school districts, as well, can forge ahead with diversity plans, with or without federal support. The day after Trump's election, for example, the Charlotte-Mecklenburg, North Carolina, school board voted 9-0 to adopt a socioeconomic-integration plan for its magnet schools, a reminder that under the United States system of federalism, changes in Washington don’t have to spell the end of education movements. (I worked with the district on this project). What should be the role of courts in pursuing school-diversity strategies today? Nationally, </w:t>
      </w:r>
      <w:r w:rsidRPr="00AA0D15">
        <w:rPr>
          <w:rStyle w:val="StyleUnderline"/>
        </w:rPr>
        <w:t xml:space="preserve">the Century Foundation has identified 100 school districts and charter-school chains that voluntarily are pursuing diversity policies </w:t>
      </w:r>
      <w:r w:rsidRPr="00AA0D15">
        <w:rPr>
          <w:sz w:val="12"/>
        </w:rPr>
        <w:t xml:space="preserve">that consider student economic status in their student assignment plans. </w:t>
      </w:r>
      <w:r w:rsidRPr="00AA0D15">
        <w:rPr>
          <w:rStyle w:val="StyleUnderline"/>
        </w:rPr>
        <w:t>With</w:t>
      </w:r>
      <w:r w:rsidRPr="00AA0D15">
        <w:rPr>
          <w:sz w:val="12"/>
        </w:rPr>
        <w:t xml:space="preserve"> philanthropic </w:t>
      </w:r>
      <w:r w:rsidRPr="00AA0D15">
        <w:rPr>
          <w:rStyle w:val="StyleUnderline"/>
        </w:rPr>
        <w:t>support, these districts could</w:t>
      </w:r>
      <w:r w:rsidRPr="00AA0D15">
        <w:rPr>
          <w:sz w:val="12"/>
        </w:rPr>
        <w:t xml:space="preserve"> form a community of practice to </w:t>
      </w:r>
      <w:r w:rsidRPr="00AA0D15">
        <w:rPr>
          <w:rStyle w:val="StyleUnderline"/>
        </w:rPr>
        <w:t xml:space="preserve">support one another and expand the number of districts pursuing diversity policies </w:t>
      </w:r>
      <w:r w:rsidRPr="00AA0D15">
        <w:rPr>
          <w:sz w:val="12"/>
        </w:rPr>
        <w:t xml:space="preserve">by showing how it can be done in a politically palatable way that is also good for kids. In growing the movement for integrated schools, participants at the Harvard conference discussed how various constituencies—civil-rights groups, business leaders, people of faith, students, and teachers unions—might support diversity. Sarah Camiscoli, the director of IntegrateNYC4me, a student group that is seeking school integration in New York City, suggested bringing in new constituencies, such as military veterans, firefighters, and police officers who are focused on the public good. A message that “integration is the fair choice that works for the common good and personal achievement” could resonate with people in these professions, she said, adding that veterans also have personal experience working in a diverse institution. David Hinojosa, who works with the education department to provide school districts the technical support they need to promote civil rights, discussed ways in which low-income communities and communities of color can be reassured that integration does not suggest that they possess deficiencies but rather that they bring strengths that will add to a healthy school environment. Likewise, some participants asked, would framing school integration primarily around socioeconomic status unite the interests of working-class people of color who supported Hillary Clinton and working-class, white Trump supporters, thereby scrambling existing political alliances? Finally, because the school-integration movement famously gained national attention with the landmark 1954 U.S. Supreme Court decision in Brown v. Board of Education, it is natural to ask: </w:t>
      </w:r>
      <w:r w:rsidRPr="00AA0D15">
        <w:rPr>
          <w:rStyle w:val="StyleUnderline"/>
        </w:rPr>
        <w:t xml:space="preserve">What should be the role of courts in pursuing school-diversity strategies today? </w:t>
      </w:r>
      <w:r w:rsidRPr="00AA0D15">
        <w:rPr>
          <w:sz w:val="12"/>
        </w:rPr>
        <w:t xml:space="preserve">In recent years, </w:t>
      </w:r>
      <w:r w:rsidRPr="00AA0D15">
        <w:rPr>
          <w:rStyle w:val="Emphasis"/>
        </w:rPr>
        <w:t>the federal courts have been an impediment</w:t>
      </w:r>
      <w:r w:rsidRPr="00AA0D15">
        <w:rPr>
          <w:sz w:val="12"/>
        </w:rPr>
        <w:t xml:space="preserve">, such as when the Supreme Court struck down voluntary racial-integration plans in Louisville, Kentucky, and Seattle in 2007. But socioeconomic-integration plans are perfectly legal. </w:t>
      </w:r>
      <w:r w:rsidRPr="00AA0D15">
        <w:rPr>
          <w:rStyle w:val="StyleUnderline"/>
        </w:rPr>
        <w:t xml:space="preserve">And </w:t>
      </w:r>
      <w:r w:rsidRPr="00AA0D15">
        <w:rPr>
          <w:rStyle w:val="Emphasis"/>
        </w:rPr>
        <w:t xml:space="preserve">state courts have an important role to play interpreting state constitutions to foster school integration. </w:t>
      </w:r>
      <w:r w:rsidRPr="00AA0D15">
        <w:rPr>
          <w:rStyle w:val="StyleUnderline"/>
        </w:rPr>
        <w:t xml:space="preserve">The best example is the Connecticut Supreme Court, which in </w:t>
      </w:r>
      <w:r w:rsidRPr="00AA0D15">
        <w:rPr>
          <w:rStyle w:val="Emphasis"/>
        </w:rPr>
        <w:t>the 1996 case of Sheff v. O’Neill ruled that segregation between</w:t>
      </w:r>
      <w:r w:rsidRPr="00AA0D15">
        <w:rPr>
          <w:rStyle w:val="StyleUnderline"/>
        </w:rPr>
        <w:t xml:space="preserve"> Hartford </w:t>
      </w:r>
      <w:r w:rsidRPr="00AA0D15">
        <w:rPr>
          <w:rStyle w:val="Emphasis"/>
        </w:rPr>
        <w:t>schools and the surrounding suburbs violated the state constitution,</w:t>
      </w:r>
      <w:r w:rsidRPr="00AA0D15">
        <w:rPr>
          <w:rStyle w:val="StyleUnderline"/>
        </w:rPr>
        <w:t xml:space="preserve"> whether or not the segregation was intentional.</w:t>
      </w:r>
      <w:r w:rsidRPr="00AA0D15">
        <w:rPr>
          <w:sz w:val="12"/>
        </w:rPr>
        <w:t xml:space="preserve"> James Ryan, the dean of Harvard’s Education School, has been writing for decades about the idea of </w:t>
      </w:r>
      <w:r w:rsidRPr="00AA0D15">
        <w:rPr>
          <w:rStyle w:val="Emphasis"/>
        </w:rPr>
        <w:t>replicating Sheff-type state-level decisions in places where courts have found a constitutional right to a decent education</w:t>
      </w:r>
      <w:r w:rsidRPr="00AA0D15">
        <w:rPr>
          <w:sz w:val="12"/>
        </w:rPr>
        <w:t xml:space="preserve">. Given research suggesting that </w:t>
      </w:r>
      <w:r w:rsidRPr="00AA0D15">
        <w:rPr>
          <w:rStyle w:val="Emphasis"/>
        </w:rPr>
        <w:t>socioeconomic school integration is an even more powerful lever for boosting achievement than funding, he has suggested that state finance litigation be extended to integration</w:t>
      </w:r>
      <w:r w:rsidRPr="00AA0D15">
        <w:rPr>
          <w:rStyle w:val="StyleUnderline"/>
        </w:rPr>
        <w:t xml:space="preserve">. </w:t>
      </w:r>
      <w:r w:rsidRPr="00AA0D15">
        <w:rPr>
          <w:sz w:val="12"/>
        </w:rPr>
        <w:t xml:space="preserve">Now, at the conference, he wondered: Could the time be opportune, given that “courts have found their voice” in promoting democratic values in the age of Trump, resisting, for example, the ban on immigration from majority-Muslim nations? Might the courts be newly open to lawsuits that seek to encourage efforts to ensure that children of different backgrounds have the opportunity to learn together and from one another? It may be the worst of times for school integration at the federal level, </w:t>
      </w:r>
      <w:r w:rsidRPr="00AA0D15">
        <w:rPr>
          <w:rStyle w:val="StyleUnderline"/>
        </w:rPr>
        <w:t>but could this be the best time for progressive school boards and state courts, newly energized by the national political scene, to embrace an education reform that will strengthen American democracy?</w:t>
      </w:r>
    </w:p>
    <w:p w:rsidR="00C47278" w:rsidRPr="00AA0D15" w:rsidRDefault="00C47278" w:rsidP="00C47278">
      <w:pPr>
        <w:pStyle w:val="Heading3"/>
        <w:rPr>
          <w:rFonts w:cs="Times New Roman"/>
        </w:rPr>
      </w:pPr>
      <w:r w:rsidRPr="00AA0D15">
        <w:rPr>
          <w:rFonts w:cs="Times New Roman"/>
        </w:rPr>
        <w:t>2nc – states solvency</w:t>
      </w:r>
    </w:p>
    <w:p w:rsidR="00C47278" w:rsidRPr="00AA0D15" w:rsidRDefault="00C47278" w:rsidP="00C47278">
      <w:pPr>
        <w:pStyle w:val="Heading4"/>
        <w:rPr>
          <w:rFonts w:cs="Times New Roman"/>
        </w:rPr>
      </w:pPr>
      <w:r w:rsidRPr="00AA0D15">
        <w:rPr>
          <w:rFonts w:cs="Times New Roman"/>
        </w:rPr>
        <w:t>State control is better – ensures compliance by adapting to local citizens/needs</w:t>
      </w:r>
    </w:p>
    <w:p w:rsidR="00C47278" w:rsidRPr="00AA0D15" w:rsidRDefault="00C47278" w:rsidP="00C47278">
      <w:pPr>
        <w:rPr>
          <w:rStyle w:val="Style13ptBold"/>
          <w:b w:val="0"/>
        </w:rPr>
      </w:pPr>
      <w:r w:rsidRPr="00AA0D15">
        <w:rPr>
          <w:rStyle w:val="Style13ptBold"/>
        </w:rPr>
        <w:t xml:space="preserve">Greenspahn 8 </w:t>
      </w:r>
      <w:r w:rsidRPr="00AA0D15">
        <w:rPr>
          <w:rStyle w:val="Style13ptBold"/>
          <w:b w:val="0"/>
        </w:rPr>
        <w:t>– Daniel S., Attorney at U.S. Department of Education Office for Civil Rights, “THE ROBERTS COURT AND EQUAL PROTECTION: GENDER, RACE, AND CLASS: RACE: A Constitutional Right to Learn: The Uncertain Allure of Making a Federal Case out of EducationSummer, 2008 South Carolina Law Review 59 S.C. L. Rev. 755, accessed via LexisNexis Academic//ninerz</w:t>
      </w:r>
    </w:p>
    <w:p w:rsidR="00C47278" w:rsidRPr="00AA0D15" w:rsidRDefault="00C47278" w:rsidP="00C47278">
      <w:pPr>
        <w:rPr>
          <w:sz w:val="14"/>
        </w:rPr>
      </w:pPr>
      <w:r w:rsidRPr="00AA0D15">
        <w:rPr>
          <w:sz w:val="14"/>
        </w:rPr>
        <w:t xml:space="preserve">E. Local Control over Education </w:t>
      </w:r>
      <w:r w:rsidRPr="00AA0D15">
        <w:rPr>
          <w:rStyle w:val="StyleUnderline"/>
        </w:rPr>
        <w:t>Local control over education remains a reality</w:t>
      </w:r>
      <w:r w:rsidRPr="00AA0D15">
        <w:rPr>
          <w:sz w:val="14"/>
        </w:rPr>
        <w:t xml:space="preserve"> and a touchstone of accountable government </w:t>
      </w:r>
      <w:r w:rsidRPr="00AA0D15">
        <w:rPr>
          <w:rStyle w:val="StyleUnderline"/>
        </w:rPr>
        <w:t>that weighs against</w:t>
      </w:r>
      <w:r w:rsidRPr="00AA0D15">
        <w:rPr>
          <w:sz w:val="14"/>
        </w:rPr>
        <w:t xml:space="preserve"> a federal right to education. </w:t>
      </w:r>
      <w:r w:rsidRPr="00AA0D15">
        <w:rPr>
          <w:rStyle w:val="StyleUnderline"/>
        </w:rPr>
        <w:t>Federal participation in education has increased</w:t>
      </w:r>
      <w:r w:rsidRPr="00AA0D15">
        <w:rPr>
          <w:sz w:val="14"/>
        </w:rPr>
        <w:t xml:space="preserve"> in recent years, n257 but decisions regarding curriculum, personnel, and school administration are overwhelmingly made at the community level. n258 The American tradition of decentralized education is viewed as "more responsive ... [and] democratic" than an educational system controlled by a distant federal government. n259 A policy of allowing wide-ranging local reforms encourages states, as individual laboratories, to work toward educational success. n260 </w:t>
      </w:r>
      <w:r w:rsidRPr="00AA0D15">
        <w:rPr>
          <w:rStyle w:val="StyleUnderline"/>
        </w:rPr>
        <w:t>State and local governments also provide funding for over 90% of public school expenditures</w:t>
      </w:r>
      <w:r w:rsidRPr="00AA0D15">
        <w:rPr>
          <w:sz w:val="14"/>
        </w:rPr>
        <w:t xml:space="preserve">. n261 Brown I's famous proclamation that "education is perhaps the most important function of state and local governments" n262 still reflects modern [*782] practice. Even if NCLB has imposed federal requirements in the area of education, no single expenditure receives more state and local support than public schools. n263 There is a certain logic in having state litigation alleging resource deficiencies track state expenditures, the primary source of funding for education. </w:t>
      </w:r>
      <w:r w:rsidRPr="00AA0D15">
        <w:rPr>
          <w:rStyle w:val="StyleUnderline"/>
        </w:rPr>
        <w:t>Despite growing "federal involvement in education, the tradition of local-state governance has prevailed over efforts to equalize education resources across state lines through litigation or legislation</w:t>
      </w:r>
      <w:r w:rsidRPr="00AA0D15">
        <w:rPr>
          <w:sz w:val="14"/>
        </w:rPr>
        <w:t xml:space="preserve">." n264 The Supreme Court has been a chief defender of local control. The year following Rodriguez, the Court declared that "no single tradition in public education is more deeply rooted than local control over the operation of schools." n265 Ever since, </w:t>
      </w:r>
      <w:r w:rsidRPr="00AA0D15">
        <w:rPr>
          <w:rStyle w:val="StyleUnderline"/>
        </w:rPr>
        <w:t>the Court has reiterated the value of local control in decisions involving school desegregation</w:t>
      </w:r>
      <w:r w:rsidRPr="00AA0D15">
        <w:rPr>
          <w:sz w:val="14"/>
        </w:rPr>
        <w:t>, n266</w:t>
      </w:r>
      <w:r w:rsidRPr="00AA0D15">
        <w:rPr>
          <w:rStyle w:val="StyleUnderline"/>
        </w:rPr>
        <w:t xml:space="preserve"> education funding, </w:t>
      </w:r>
      <w:r w:rsidRPr="00AA0D15">
        <w:rPr>
          <w:sz w:val="14"/>
        </w:rPr>
        <w:t xml:space="preserve">n267 </w:t>
      </w:r>
      <w:r w:rsidRPr="00AA0D15">
        <w:rPr>
          <w:rStyle w:val="StyleUnderline"/>
        </w:rPr>
        <w:t xml:space="preserve">student assignment, </w:t>
      </w:r>
      <w:r w:rsidRPr="00AA0D15">
        <w:rPr>
          <w:sz w:val="14"/>
        </w:rPr>
        <w:t xml:space="preserve">n268 </w:t>
      </w:r>
      <w:r w:rsidRPr="00AA0D15">
        <w:rPr>
          <w:rStyle w:val="StyleUnderline"/>
        </w:rPr>
        <w:t>and student speech</w:t>
      </w:r>
      <w:r w:rsidRPr="00AA0D15">
        <w:rPr>
          <w:sz w:val="14"/>
        </w:rPr>
        <w:t xml:space="preserve">. n269 </w:t>
      </w:r>
      <w:r w:rsidRPr="00AA0D15">
        <w:rPr>
          <w:rStyle w:val="StyleUnderline"/>
        </w:rPr>
        <w:t>The Court has praised local control because it "</w:t>
      </w:r>
      <w:r w:rsidRPr="00AA0D15">
        <w:rPr>
          <w:rStyle w:val="Emphasis"/>
        </w:rPr>
        <w:t>affords citizens an opportunity to participate in decisionmaking, permits the structuring of school programs to fit local needs, and encourages "experimentation, innovation, and a healthy competition for educational excellence</w:t>
      </w:r>
      <w:r w:rsidRPr="00AA0D15">
        <w:rPr>
          <w:sz w:val="14"/>
        </w:rPr>
        <w:t>.'" n270 The prominence of community decisionmaking in schooling and the Supreme Court's commitment to this policy weigh heavily against pursuit of a federal right to education.</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 xml:space="preserve">2nc – state courts solvency </w:t>
      </w:r>
    </w:p>
    <w:p w:rsidR="00C47278" w:rsidRPr="00AA0D15" w:rsidRDefault="00C47278" w:rsidP="00C47278">
      <w:pPr>
        <w:pStyle w:val="Heading4"/>
        <w:rPr>
          <w:rFonts w:cs="Times New Roman"/>
        </w:rPr>
      </w:pPr>
      <w:r w:rsidRPr="00AA0D15">
        <w:rPr>
          <w:rFonts w:cs="Times New Roman"/>
        </w:rPr>
        <w:t xml:space="preserve">State courts litigation for funding and desegregation work  </w:t>
      </w:r>
    </w:p>
    <w:p w:rsidR="00C47278" w:rsidRPr="00AA0D15" w:rsidRDefault="00C47278" w:rsidP="00C47278">
      <w:pPr>
        <w:rPr>
          <w:rStyle w:val="Style13ptBold"/>
        </w:rPr>
      </w:pPr>
      <w:r w:rsidRPr="00AA0D15">
        <w:rPr>
          <w:rStyle w:val="Style13ptBold"/>
        </w:rPr>
        <w:t xml:space="preserve">Pinder 13 </w:t>
      </w:r>
      <w:r w:rsidRPr="00AA0D15">
        <w:t>(Kamina Aliya Pinder, Visiting Associate Professor of Law, Mercer University School of Law; former program attorney, Office of the General Counsel, U.S. Department of Education. B.A. Smith College; J.D. New York University School of Law; LL.M. Georgetown University Law Center. In memory of Professor Derrick Bell, Stanford Law, “RECONCILING RACE-NEUTRAL STRATEGIES AND RACE-CONSCIOUS OBJECTIVES: THE POTENTIAL RESURGENCE OF THE STRUCTURAL INJUNCTION IN EDUCATION LITIGATION” Stanford Journal of Civil Rights &amp; Civil Liberties, 9(2), 247—279) GG</w:t>
      </w:r>
    </w:p>
    <w:p w:rsidR="00C47278" w:rsidRPr="00AA0D15" w:rsidRDefault="00C47278" w:rsidP="00C47278">
      <w:pPr>
        <w:rPr>
          <w:sz w:val="14"/>
        </w:rPr>
      </w:pPr>
      <w:r w:rsidRPr="00AA0D15">
        <w:rPr>
          <w:rStyle w:val="Emphasis"/>
        </w:rPr>
        <w:t>Public litigation is not limited to federal constitutional issues</w:t>
      </w:r>
      <w:r w:rsidRPr="00AA0D15">
        <w:rPr>
          <w:rStyle w:val="StyleUnderline"/>
        </w:rPr>
        <w:t>, and as with desegregation cases, the structural injunction has been a major factor in school finance reform</w:t>
      </w:r>
      <w:r w:rsidRPr="00AA0D15">
        <w:rPr>
          <w:sz w:val="14"/>
        </w:rPr>
        <w:t xml:space="preserve">. Indeed, Professors Charles </w:t>
      </w:r>
      <w:r w:rsidRPr="00AA0D15">
        <w:rPr>
          <w:rStyle w:val="StyleUnderline"/>
        </w:rPr>
        <w:t>Sabel and</w:t>
      </w:r>
      <w:r w:rsidRPr="00AA0D15">
        <w:rPr>
          <w:sz w:val="14"/>
        </w:rPr>
        <w:t xml:space="preserve"> William </w:t>
      </w:r>
      <w:r w:rsidRPr="00AA0D15">
        <w:rPr>
          <w:rStyle w:val="StyleUnderline"/>
        </w:rPr>
        <w:t>Simon</w:t>
      </w:r>
      <w:r w:rsidRPr="00AA0D15">
        <w:rPr>
          <w:sz w:val="14"/>
        </w:rPr>
        <w:t xml:space="preserve"> cite school desegregation and school finance litigation cases as examples of public litigation.55 While they do not explicitly refer to the remedial overhaul of school finance systems as structural injunctive relief, they do </w:t>
      </w:r>
      <w:r w:rsidRPr="00AA0D15">
        <w:rPr>
          <w:rStyle w:val="StyleUnderline"/>
        </w:rPr>
        <w:t>note public law cases in which the judiciary responded to what they call the ‘new accountability’ movement in educational reform.</w:t>
      </w:r>
      <w:r w:rsidRPr="00AA0D15">
        <w:rPr>
          <w:sz w:val="14"/>
        </w:rPr>
        <w:t xml:space="preserve">56 School </w:t>
      </w:r>
      <w:r w:rsidRPr="00AA0D15">
        <w:rPr>
          <w:rStyle w:val="StyleUnderline"/>
        </w:rPr>
        <w:t>finance reform litigation is such a movement. It is a movement in which plaintiffs use public law litigation to achieve equal access to quality education t</w:t>
      </w:r>
      <w:r w:rsidRPr="00AA0D15">
        <w:rPr>
          <w:sz w:val="14"/>
        </w:rPr>
        <w:t xml:space="preserve">hrough the redistribution of economic resources. Because school finance litigation is aimed to help all poor students rather than only minority students, it is a particularly attractive alternative for those who seek a colorblind solution to issues of equitable access to educational resources.57 And yet, </w:t>
      </w:r>
      <w:r w:rsidRPr="00AA0D15">
        <w:rPr>
          <w:rStyle w:val="StyleUnderline"/>
        </w:rPr>
        <w:t xml:space="preserve">while the school finance reform litigation movement is examined primarily in terms of equity and adequacy of educational resources, race is integral to school funding issues. While not always the impetus of school finance litigation, </w:t>
      </w:r>
      <w:r w:rsidRPr="00AA0D15">
        <w:rPr>
          <w:rStyle w:val="Emphasis"/>
        </w:rPr>
        <w:t>school funding has historically been used both to preserve and challenge segregation</w:t>
      </w:r>
      <w:r w:rsidRPr="00AA0D15">
        <w:rPr>
          <w:rStyle w:val="StyleUnderline"/>
        </w:rPr>
        <w:t>.</w:t>
      </w:r>
      <w:r w:rsidRPr="00AA0D15">
        <w:rPr>
          <w:sz w:val="14"/>
        </w:rPr>
        <w:t xml:space="preserve"> From the time free blacks were educated in the United States, the schools they attended were funded at levels inferior to those of white schools.58 </w:t>
      </w:r>
      <w:r w:rsidRPr="00AA0D15">
        <w:rPr>
          <w:rStyle w:val="StyleUnderline"/>
        </w:rPr>
        <w:t>Prior to judicial and legislative efforts to dismantle de jure segregation, many Southern states attempted to create funding equalization programs between white and black schools as an attempt to use “separate but equal” to preserve segregation</w:t>
      </w:r>
      <w:r w:rsidRPr="00AA0D15">
        <w:rPr>
          <w:sz w:val="14"/>
        </w:rPr>
        <w:t xml:space="preserve">.59 These systematic efforts to preserve segregation ceased as civil rights laws and judicial mandates to desegregate began to dismantle de jure segregation.60 </w:t>
      </w:r>
      <w:r w:rsidRPr="00AA0D15">
        <w:rPr>
          <w:rStyle w:val="StyleUnderline"/>
        </w:rPr>
        <w:t>The legal and practical failures of desegregation efforts resulted in the birth of modern school finance litigation—a movement generally recognized to have three historic waves</w:t>
      </w:r>
      <w:r w:rsidRPr="00AA0D15">
        <w:rPr>
          <w:sz w:val="14"/>
        </w:rPr>
        <w:t xml:space="preserve">.61 The first wave was based on cases that relied on the federal Equal Protection Clause to support efforts to achieve equality in education.62 By the 1970s, substantial disparities existed in school funding, and it was estimated that the government spent an average of 15 to 20 percent more on each white student’s education than on each black student’s education.63 </w:t>
      </w:r>
      <w:r w:rsidRPr="00AA0D15">
        <w:rPr>
          <w:rStyle w:val="StyleUnderline"/>
        </w:rPr>
        <w:t xml:space="preserve">The California Supreme Court determined that California’s funding scheme violated the state Equal Protection Clause </w:t>
      </w:r>
      <w:r w:rsidRPr="00AA0D15">
        <w:rPr>
          <w:sz w:val="14"/>
        </w:rPr>
        <w:t xml:space="preserve">through its disparate funding of education.64 It did so even though this first wave had ended four years earlier when, in San Antonio Independent School District v. Rodriguez, the Supreme Court held that the Equal Protection Clause did not support equal education as a fundamental right.65 </w:t>
      </w:r>
      <w:r w:rsidRPr="00AA0D15">
        <w:rPr>
          <w:rStyle w:val="StyleUnderline"/>
        </w:rPr>
        <w:t>As desegregation cases continued to decline in impact and number, plaintiffs who sought equal educational access experienced more success by challenging funding expenditures</w:t>
      </w:r>
      <w:r w:rsidRPr="00AA0D15">
        <w:rPr>
          <w:sz w:val="14"/>
        </w:rPr>
        <w:t xml:space="preserve">.66 The second wave of school finance litigation began in the early seventies </w:t>
      </w:r>
      <w:r w:rsidRPr="00AA0D15">
        <w:rPr>
          <w:rStyle w:val="StyleUnderline"/>
        </w:rPr>
        <w:t>and was based on challenges to inequitable state spending</w:t>
      </w:r>
      <w:r w:rsidRPr="00AA0D15">
        <w:rPr>
          <w:sz w:val="14"/>
        </w:rPr>
        <w:t xml:space="preserve"> on schools.67 </w:t>
      </w:r>
      <w:r w:rsidRPr="00AA0D15">
        <w:rPr>
          <w:rStyle w:val="StyleUnderline"/>
        </w:rPr>
        <w:t>Plaintiffs succeeded in seven of twenty-one state high court decisions, and more than twenty states modified their school finance systems</w:t>
      </w:r>
      <w:r w:rsidRPr="00AA0D15">
        <w:rPr>
          <w:sz w:val="14"/>
        </w:rPr>
        <w:t xml:space="preserve"> as a result.</w:t>
      </w:r>
      <w:r w:rsidRPr="00AA0D15">
        <w:rPr>
          <w:rStyle w:val="StyleUnderline"/>
        </w:rPr>
        <w:t xml:space="preserve">68 </w:t>
      </w:r>
      <w:r w:rsidRPr="00AA0D15">
        <w:rPr>
          <w:rStyle w:val="Emphasis"/>
        </w:rPr>
        <w:t>The initial success of these claims resulted in significant state reform in education spending and prioritized education policy</w:t>
      </w:r>
      <w:r w:rsidRPr="00AA0D15">
        <w:rPr>
          <w:sz w:val="14"/>
        </w:rPr>
        <w:t xml:space="preserve"> as a national issue.69 Later, the wave ebbed as plaintiffs failed to establish a connection between levels of funding and improved educational quality.70 Moreover, plaintiff successes often resulted in lower per-pupil expenditures.71 Consequently, </w:t>
      </w:r>
      <w:r w:rsidRPr="00AA0D15">
        <w:rPr>
          <w:rStyle w:val="StyleUnderline"/>
        </w:rPr>
        <w:t>state courts began to apply a rational basis test under which local authorities merely had to provide legal justification for upholding the disparate allocation of education funding.</w:t>
      </w:r>
      <w:r w:rsidRPr="00AA0D15">
        <w:rPr>
          <w:sz w:val="14"/>
        </w:rPr>
        <w:t xml:space="preserve">72 The third and current wave began in 1989 and includes claims based on schools failing to meet minimum levels of adequacy as required under education clauses in state constitutions and statutes.73 </w:t>
      </w:r>
      <w:r w:rsidRPr="00AA0D15">
        <w:rPr>
          <w:rStyle w:val="StyleUnderline"/>
        </w:rPr>
        <w:t xml:space="preserve">As with public law litigation </w:t>
      </w:r>
      <w:r w:rsidRPr="00AA0D15">
        <w:rPr>
          <w:sz w:val="14"/>
        </w:rPr>
        <w:t xml:space="preserve">that results in structural reform on the federal level, </w:t>
      </w:r>
      <w:r w:rsidRPr="00AA0D15">
        <w:rPr>
          <w:rStyle w:val="StyleUnderline"/>
        </w:rPr>
        <w:t>these cases arise from a constitution, albeit state rather than federal.</w:t>
      </w:r>
      <w:r w:rsidRPr="00AA0D15">
        <w:rPr>
          <w:sz w:val="14"/>
        </w:rPr>
        <w:t xml:space="preserve"> </w:t>
      </w:r>
      <w:r w:rsidRPr="00AA0D15">
        <w:rPr>
          <w:rStyle w:val="Emphasis"/>
        </w:rPr>
        <w:t>Because all fifty states have education clauses in their constitutions, courts can use the constitutional language as a basis for issuing a remedy that requires districts to meet the adequacy standard.74</w:t>
      </w:r>
      <w:r w:rsidRPr="00AA0D15">
        <w:rPr>
          <w:sz w:val="14"/>
        </w:rPr>
        <w:t xml:space="preserve"> </w:t>
      </w:r>
      <w:r w:rsidRPr="00AA0D15">
        <w:rPr>
          <w:rStyle w:val="StyleUnderline"/>
        </w:rPr>
        <w:t>Adequacy presents plaintiffs and defendants a lower legal threshold than equity law; instead of having to distribute finances evenly, adequacy allows districts to merely finance economically disadvantaged districts</w:t>
      </w:r>
      <w:r w:rsidRPr="00AA0D15">
        <w:rPr>
          <w:sz w:val="14"/>
        </w:rPr>
        <w:t xml:space="preserve"> to the extent necessary to provide an “adequate” education, however adequate is defined.75 Courts were less likely to determine that adequacy cases were nonjusticiable than equity cases.76 </w:t>
      </w:r>
      <w:r w:rsidRPr="00AA0D15">
        <w:rPr>
          <w:rStyle w:val="StyleUnderline"/>
        </w:rPr>
        <w:t>While equity cases required courts to reallocate resources, in adequacy cases the courts were more deferential to the</w:t>
      </w:r>
      <w:r w:rsidRPr="00AA0D15">
        <w:rPr>
          <w:sz w:val="14"/>
        </w:rPr>
        <w:t xml:space="preserve"> </w:t>
      </w:r>
      <w:r w:rsidRPr="00AA0D15">
        <w:rPr>
          <w:rStyle w:val="StyleUnderline"/>
        </w:rPr>
        <w:t>state legislature with regard to decisions about how to improve school performance.77 Plaintiffs in adequacy suits experienced a success rate of over 75% between the years of 1989 and 2005</w:t>
      </w:r>
      <w:r w:rsidRPr="00AA0D15">
        <w:rPr>
          <w:sz w:val="14"/>
        </w:rPr>
        <w:t xml:space="preserve">; however, the successive years resulted in a judicial unwillingness to involve themselves in issues of school funding.78 The costs associated with raising school quality once again raise the separation of powers concerns that thwarted structural injunctive relief in desegregation cases.79 </w:t>
      </w:r>
      <w:r w:rsidRPr="00AA0D15">
        <w:rPr>
          <w:rStyle w:val="StyleUnderline"/>
        </w:rPr>
        <w:t>Courts are often reluctant to issue relief that prescribes how much the state has to provide in order to bring education up to the constitutional level</w:t>
      </w:r>
      <w:r w:rsidRPr="00AA0D15">
        <w:rPr>
          <w:sz w:val="14"/>
        </w:rPr>
        <w:t xml:space="preserve"> of adequate; requiring a cost-benefit study to determine that level is often perceived to be a task best left within the purview of the state legislature.80 When courts are willing to venture into the fiscal realm, many courts are not convinced that money (and certainly not money alone) is enough to bring education up to an adequate level. 81</w:t>
      </w:r>
    </w:p>
    <w:p w:rsidR="00C47278" w:rsidRPr="00AA0D15" w:rsidRDefault="00C47278" w:rsidP="00C47278">
      <w:pPr>
        <w:pStyle w:val="Heading3"/>
        <w:rPr>
          <w:rFonts w:cs="Times New Roman"/>
        </w:rPr>
      </w:pPr>
      <w:r w:rsidRPr="00AA0D15">
        <w:rPr>
          <w:rFonts w:cs="Times New Roman"/>
        </w:rPr>
        <w:t>NB – politics link turns case</w:t>
      </w:r>
    </w:p>
    <w:p w:rsidR="00C47278" w:rsidRPr="00AA0D15" w:rsidRDefault="00C47278" w:rsidP="00C47278">
      <w:pPr>
        <w:pStyle w:val="Heading4"/>
        <w:rPr>
          <w:rFonts w:cs="Times New Roman"/>
        </w:rPr>
      </w:pPr>
      <w:r w:rsidRPr="00AA0D15">
        <w:rPr>
          <w:rFonts w:cs="Times New Roman"/>
        </w:rPr>
        <w:t>Backlash turns the case---</w:t>
      </w:r>
      <w:r w:rsidRPr="00AA0D15">
        <w:rPr>
          <w:rFonts w:cs="Times New Roman"/>
          <w:u w:val="single"/>
        </w:rPr>
        <w:t>undermines federal support</w:t>
      </w:r>
      <w:r w:rsidRPr="00AA0D15">
        <w:rPr>
          <w:rFonts w:cs="Times New Roman"/>
        </w:rPr>
        <w:t xml:space="preserve"> for racial equality in </w:t>
      </w:r>
      <w:r w:rsidRPr="00AA0D15">
        <w:rPr>
          <w:rFonts w:cs="Times New Roman"/>
          <w:u w:val="single"/>
        </w:rPr>
        <w:t>other areas</w:t>
      </w:r>
      <w:r w:rsidRPr="00AA0D15">
        <w:rPr>
          <w:rFonts w:cs="Times New Roman"/>
        </w:rPr>
        <w:t>---dooms civil rights activism</w:t>
      </w:r>
    </w:p>
    <w:p w:rsidR="00C47278" w:rsidRPr="00AA0D15" w:rsidRDefault="00C47278" w:rsidP="00C47278">
      <w:pPr>
        <w:rPr>
          <w:rStyle w:val="Style13ptBold"/>
          <w:b w:val="0"/>
        </w:rPr>
      </w:pPr>
      <w:r w:rsidRPr="00AA0D15">
        <w:rPr>
          <w:rStyle w:val="Style13ptBold"/>
        </w:rPr>
        <w:t xml:space="preserve">King 17 </w:t>
      </w:r>
      <w:r w:rsidRPr="00AA0D15">
        <w:rPr>
          <w:rStyle w:val="Style13ptBold"/>
          <w:b w:val="0"/>
        </w:rPr>
        <w:t>– Desmond, Andrew W. Mellon Professor of American Government at the University of Oxford and Professorial Fellow of Nuffield College, Oxford, “Forceful Federalism against American Racial Inequality,” Government and Opposition 52.2, April 2017, abstract, accessed via proquest//ninerz</w:t>
      </w:r>
    </w:p>
    <w:p w:rsidR="00C47278" w:rsidRPr="00AA0D15" w:rsidRDefault="00C47278" w:rsidP="00C47278">
      <w:pPr>
        <w:rPr>
          <w:b/>
          <w:iCs/>
          <w:u w:val="single"/>
          <w:bdr w:val="single" w:sz="8" w:space="0" w:color="auto"/>
        </w:rPr>
      </w:pPr>
      <w:r w:rsidRPr="00AA0D15">
        <w:rPr>
          <w:rStyle w:val="StyleUnderline"/>
        </w:rPr>
        <w:t>Why</w:t>
      </w:r>
      <w:r w:rsidRPr="00AA0D15">
        <w:rPr>
          <w:sz w:val="14"/>
        </w:rPr>
        <w:t xml:space="preserve">, many Americans rightly ask, </w:t>
      </w:r>
      <w:r w:rsidRPr="00AA0D15">
        <w:rPr>
          <w:rStyle w:val="StyleUnderline"/>
        </w:rPr>
        <w:t>can</w:t>
      </w:r>
      <w:r w:rsidRPr="00AA0D15">
        <w:rPr>
          <w:sz w:val="14"/>
        </w:rPr>
        <w:t xml:space="preserve"> material </w:t>
      </w:r>
      <w:r w:rsidRPr="00AA0D15">
        <w:rPr>
          <w:rStyle w:val="StyleUnderline"/>
        </w:rPr>
        <w:t>racial inequality</w:t>
      </w:r>
      <w:r w:rsidRPr="00AA0D15">
        <w:rPr>
          <w:sz w:val="14"/>
        </w:rPr>
        <w:t xml:space="preserve"> </w:t>
      </w:r>
      <w:r w:rsidRPr="00AA0D15">
        <w:rPr>
          <w:rStyle w:val="StyleUnderline"/>
        </w:rPr>
        <w:t>and</w:t>
      </w:r>
      <w:r w:rsidRPr="00AA0D15">
        <w:rPr>
          <w:sz w:val="14"/>
        </w:rPr>
        <w:t xml:space="preserve"> widespread </w:t>
      </w:r>
      <w:r w:rsidRPr="00AA0D15">
        <w:rPr>
          <w:rStyle w:val="StyleUnderline"/>
        </w:rPr>
        <w:t>segregation still persist</w:t>
      </w:r>
      <w:r w:rsidRPr="00AA0D15">
        <w:rPr>
          <w:sz w:val="14"/>
        </w:rPr>
        <w:t xml:space="preserve"> 50 years after the enactment of key civil rights legislation and eight years after the election of an African American to the nation's highest office? Many from outside the US pose similar questions about modern America. </w:t>
      </w:r>
      <w:r w:rsidRPr="00AA0D15">
        <w:rPr>
          <w:rStyle w:val="StyleUnderline"/>
        </w:rPr>
        <w:t>The explanation</w:t>
      </w:r>
      <w:r w:rsidRPr="00AA0D15">
        <w:rPr>
          <w:sz w:val="14"/>
        </w:rPr>
        <w:t xml:space="preserve">, I argue, </w:t>
      </w:r>
      <w:r w:rsidRPr="00AA0D15">
        <w:rPr>
          <w:rStyle w:val="StyleUnderline"/>
        </w:rPr>
        <w:t xml:space="preserve">lies with </w:t>
      </w:r>
      <w:r w:rsidRPr="00AA0D15">
        <w:rPr>
          <w:rStyle w:val="Emphasis"/>
        </w:rPr>
        <w:t>inconsistent and fluctuating levels of federal engagement</w:t>
      </w:r>
      <w:r w:rsidRPr="00AA0D15">
        <w:rPr>
          <w:rStyle w:val="StyleUnderline"/>
        </w:rPr>
        <w:t xml:space="preserve"> to building material racial equality</w:t>
      </w:r>
      <w:r w:rsidRPr="00AA0D15">
        <w:rPr>
          <w:sz w:val="14"/>
        </w:rPr>
        <w:t xml:space="preserve">. </w:t>
      </w:r>
      <w:r w:rsidRPr="00AA0D15">
        <w:rPr>
          <w:rStyle w:val="StyleUnderline"/>
        </w:rPr>
        <w:t xml:space="preserve">National engagement fluctuates because it is energetically </w:t>
      </w:r>
      <w:r w:rsidRPr="00AA0D15">
        <w:rPr>
          <w:rStyle w:val="Emphasis"/>
        </w:rPr>
        <w:t>resisted</w:t>
      </w:r>
      <w:r w:rsidRPr="00AA0D15">
        <w:rPr>
          <w:rStyle w:val="StyleUnderline"/>
        </w:rPr>
        <w:t xml:space="preserve"> and </w:t>
      </w:r>
      <w:r w:rsidRPr="00AA0D15">
        <w:rPr>
          <w:rStyle w:val="Emphasis"/>
        </w:rPr>
        <w:t>challenged</w:t>
      </w:r>
      <w:r w:rsidRPr="00AA0D15">
        <w:rPr>
          <w:rStyle w:val="StyleUnderline"/>
        </w:rPr>
        <w:t xml:space="preserve"> by opponents of racial progress</w:t>
      </w:r>
      <w:r w:rsidRPr="00AA0D15">
        <w:rPr>
          <w:sz w:val="14"/>
        </w:rPr>
        <w:t xml:space="preserve">. This vulnerability to disruption is exposed by varying strategies of resistance, some fiscal, some violent, some judicial, some desultory and some combining violent protest against change with local electoral triumphs for anti-reformers. </w:t>
      </w:r>
      <w:r w:rsidRPr="00AA0D15">
        <w:rPr>
          <w:rStyle w:val="StyleUnderline"/>
        </w:rPr>
        <w:t>Public resistance to employing national resources to reduce inequality encouraged a de-racialization strategy amongst many African American candidates for elected office</w:t>
      </w:r>
      <w:r w:rsidRPr="00AA0D15">
        <w:rPr>
          <w:sz w:val="14"/>
        </w:rPr>
        <w:t xml:space="preserve"> </w:t>
      </w:r>
      <w:r w:rsidRPr="00AA0D15">
        <w:rPr>
          <w:rStyle w:val="StyleUnderline"/>
        </w:rPr>
        <w:t xml:space="preserve">who opt to </w:t>
      </w:r>
      <w:r w:rsidRPr="00AA0D15">
        <w:rPr>
          <w:rStyle w:val="Emphasis"/>
        </w:rPr>
        <w:t>de-emphasize issues of racial inequality</w:t>
      </w:r>
      <w:r w:rsidRPr="00AA0D15">
        <w:rPr>
          <w:rStyle w:val="StyleUnderline"/>
        </w:rPr>
        <w:t xml:space="preserve"> in campaigns and in office</w:t>
      </w:r>
      <w:r w:rsidRPr="00AA0D15">
        <w:rPr>
          <w:sz w:val="14"/>
        </w:rPr>
        <w:t xml:space="preserve">. Whatever the means, </w:t>
      </w:r>
      <w:r w:rsidRPr="00AA0D15">
        <w:rPr>
          <w:rStyle w:val="StyleUnderline"/>
        </w:rPr>
        <w:t xml:space="preserve">the effect is uniform: </w:t>
      </w:r>
      <w:r w:rsidRPr="00AA0D15">
        <w:rPr>
          <w:rStyle w:val="Emphasis"/>
        </w:rPr>
        <w:t>the slowing down or outright death of federal civil rights activism.</w:t>
      </w:r>
    </w:p>
    <w:p w:rsidR="00C47278" w:rsidRPr="00AA0D15" w:rsidRDefault="00C47278" w:rsidP="00C47278">
      <w:pPr>
        <w:pStyle w:val="Heading3"/>
        <w:rPr>
          <w:rFonts w:cs="Times New Roman"/>
        </w:rPr>
      </w:pPr>
      <w:r w:rsidRPr="00AA0D15">
        <w:rPr>
          <w:rFonts w:cs="Times New Roman"/>
        </w:rPr>
        <w:t>NB – white flight</w:t>
      </w:r>
    </w:p>
    <w:p w:rsidR="00C47278" w:rsidRPr="00AA0D15" w:rsidRDefault="00C47278" w:rsidP="00C47278">
      <w:pPr>
        <w:pStyle w:val="Heading4"/>
        <w:rPr>
          <w:rFonts w:cs="Times New Roman"/>
        </w:rPr>
      </w:pPr>
      <w:r w:rsidRPr="00AA0D15">
        <w:rPr>
          <w:rFonts w:cs="Times New Roman"/>
        </w:rPr>
        <w:t xml:space="preserve">Parent backlash to </w:t>
      </w:r>
      <w:r w:rsidRPr="00AA0D15">
        <w:rPr>
          <w:rFonts w:cs="Times New Roman"/>
          <w:u w:val="single"/>
        </w:rPr>
        <w:t>federal rulings</w:t>
      </w:r>
      <w:r w:rsidRPr="00AA0D15">
        <w:rPr>
          <w:rFonts w:cs="Times New Roman"/>
        </w:rPr>
        <w:t xml:space="preserve"> trigger white flight</w:t>
      </w:r>
    </w:p>
    <w:p w:rsidR="00C47278" w:rsidRPr="00AA0D15" w:rsidRDefault="00C47278" w:rsidP="00C47278">
      <w:pPr>
        <w:rPr>
          <w:rStyle w:val="Style13ptBold"/>
        </w:rPr>
      </w:pPr>
      <w:r w:rsidRPr="00AA0D15">
        <w:rPr>
          <w:rStyle w:val="Style13ptBold"/>
        </w:rPr>
        <w:t>McLaughlin 5/27/16</w:t>
      </w:r>
    </w:p>
    <w:p w:rsidR="00C47278" w:rsidRPr="00AA0D15" w:rsidRDefault="00C47278" w:rsidP="00C47278">
      <w:r w:rsidRPr="00AA0D15">
        <w:t xml:space="preserve">(Eliott C., writer, producer, field reporter, blogger, newsdesk editor and Southeast Bureau liaison for CNN, currently a CNN Digital senior writer, “Could Mississippi integration ruling trigger 'white flight'?,” </w:t>
      </w:r>
      <w:hyperlink r:id="rId86" w:history="1">
        <w:r w:rsidRPr="00AA0D15">
          <w:rPr>
            <w:rStyle w:val="Hyperlink"/>
          </w:rPr>
          <w:t>http://www.cnn.com/2016/05/27/us/cleveland-mississippi-sidebar-segregation-academies/index.html</w:t>
        </w:r>
      </w:hyperlink>
      <w:r w:rsidRPr="00AA0D15">
        <w:t>, Date Accessed: 6/29/17 – KSA)</w:t>
      </w:r>
    </w:p>
    <w:p w:rsidR="00C47278" w:rsidRPr="00AA0D15" w:rsidRDefault="00C47278" w:rsidP="00C47278">
      <w:r w:rsidRPr="00AA0D15">
        <w:t>C</w:t>
      </w:r>
      <w:r w:rsidRPr="00AA0D15">
        <w:rPr>
          <w:rStyle w:val="StyleUnderline"/>
        </w:rPr>
        <w:t>l</w:t>
      </w:r>
      <w:r w:rsidRPr="00AA0D15">
        <w:t xml:space="preserve">eveland, Mississippi (CNN)It's </w:t>
      </w:r>
      <w:r w:rsidRPr="00AA0D15">
        <w:rPr>
          <w:rStyle w:val="StyleUnderline"/>
        </w:rPr>
        <w:t>no secret that the Cleveland School District in Mississippi opposes a recent federal ruling ordering integration of its middle and high schools.</w:t>
      </w:r>
      <w:r w:rsidRPr="00AA0D15">
        <w:t xml:space="preserve"> So </w:t>
      </w:r>
      <w:r w:rsidRPr="00AA0D15">
        <w:rPr>
          <w:rStyle w:val="StyleUnderline"/>
        </w:rPr>
        <w:t xml:space="preserve">it might sound like an empty threat when an attorney representing the district warns the ruling could result in more segregation. </w:t>
      </w:r>
      <w:r w:rsidRPr="00AA0D15">
        <w:t xml:space="preserve">But </w:t>
      </w:r>
      <w:r w:rsidRPr="00AA0D15">
        <w:rPr>
          <w:rStyle w:val="StyleUnderline"/>
        </w:rPr>
        <w:t>take a step back and look at the Mississippi Delta's history when it comes to segregation</w:t>
      </w:r>
      <w:r w:rsidRPr="00AA0D15">
        <w:t xml:space="preserve">, and </w:t>
      </w:r>
      <w:r w:rsidRPr="00AA0D15">
        <w:rPr>
          <w:rStyle w:val="StyleUnderline"/>
        </w:rPr>
        <w:t xml:space="preserve">it might not seem so far-fetched. </w:t>
      </w:r>
      <w:r w:rsidRPr="00AA0D15">
        <w:t xml:space="preserve">Federal court orders town to desegregate schools </w:t>
      </w:r>
      <w:r w:rsidRPr="00AA0D15">
        <w:rPr>
          <w:rStyle w:val="StyleUnderline"/>
        </w:rPr>
        <w:t xml:space="preserve">Federal court orders town to desegregate schools </w:t>
      </w:r>
      <w:r w:rsidRPr="00AA0D15">
        <w:t>01:28 Wh</w:t>
      </w:r>
      <w:r w:rsidRPr="00AA0D15">
        <w:rPr>
          <w:rStyle w:val="StyleUnderline"/>
        </w:rPr>
        <w:t>i</w:t>
      </w:r>
      <w:r w:rsidRPr="00AA0D15">
        <w:t xml:space="preserve">le white parents sent their kids to the so-called segregation academies that popped up throughout the region in the 1960s and 1970s, it's unclear if that would happen in 2016. Lonniesha Sampson, 17, the 2016 homecoming queen at the virtually all-black East Side High School in Cleveland, said she supports the integration plan and feels East Side students missed out on an important aspect of their educations because "we don't know the full effect of mixing with different races." But </w:t>
      </w:r>
      <w:r w:rsidRPr="00AA0D15">
        <w:rPr>
          <w:rStyle w:val="StyleUnderline"/>
        </w:rPr>
        <w:t>how would she feel if white parents leave town or send their children to private schools to avoid the prospect of studying alongside students like herself</w:t>
      </w:r>
      <w:r w:rsidRPr="00AA0D15">
        <w:t xml:space="preserve">? </w:t>
      </w:r>
      <w:r w:rsidRPr="00AA0D15">
        <w:rPr>
          <w:rStyle w:val="StyleUnderline"/>
        </w:rPr>
        <w:t>"It'll make me feel kind of bad," she said</w:t>
      </w:r>
      <w:r w:rsidRPr="00AA0D15">
        <w:t xml:space="preserve">. "I'm not going to bite them." 'Somewhere between the two extremes' During testimony in the Cleveland case, </w:t>
      </w:r>
      <w:r w:rsidRPr="00AA0D15">
        <w:rPr>
          <w:rStyle w:val="StyleUnderline"/>
        </w:rPr>
        <w:t xml:space="preserve">the parents (plaintiffs) and the school district (defendants) produced experts with competing claims. </w:t>
      </w:r>
      <w:r w:rsidRPr="00AA0D15">
        <w:t xml:space="preserve">Want to read the ruling? Boston University Professor Christine Rossell told the court that </w:t>
      </w:r>
      <w:r w:rsidRPr="00AA0D15">
        <w:rPr>
          <w:rStyle w:val="StyleUnderline"/>
        </w:rPr>
        <w:t>integrating the schools would trigger "white flight," and school board member Todd Fuller worried that even if white parents didn't leave town, they might send their kids to one of the many private academies</w:t>
      </w:r>
      <w:r w:rsidRPr="00AA0D15">
        <w:t xml:space="preserve"> in the area. "</w:t>
      </w:r>
      <w:r w:rsidRPr="00AA0D15">
        <w:rPr>
          <w:rStyle w:val="StyleUnderline"/>
        </w:rPr>
        <w:t>The first people who will not show up will be the people who have the means [to] put children in private schools</w:t>
      </w:r>
      <w:r w:rsidRPr="00AA0D15">
        <w:t>," Rossell testified. "The next group will be motivated middle-class and working-class families. And then even the poorest families will eventually just not move into a school district." View image on Twitter</w:t>
      </w:r>
    </w:p>
    <w:p w:rsidR="00C47278" w:rsidRPr="00AA0D15" w:rsidRDefault="00C47278" w:rsidP="00C47278">
      <w:pPr>
        <w:pStyle w:val="Heading4"/>
        <w:rPr>
          <w:rFonts w:cs="Times New Roman"/>
        </w:rPr>
      </w:pPr>
      <w:r w:rsidRPr="00AA0D15">
        <w:rPr>
          <w:rFonts w:cs="Times New Roman"/>
        </w:rPr>
        <w:t xml:space="preserve">Our argument is empirically valid---Brown failed because it </w:t>
      </w:r>
      <w:r w:rsidRPr="00AA0D15">
        <w:rPr>
          <w:rFonts w:cs="Times New Roman"/>
          <w:u w:val="single"/>
        </w:rPr>
        <w:t>ignored</w:t>
      </w:r>
      <w:r w:rsidRPr="00AA0D15">
        <w:rPr>
          <w:rFonts w:cs="Times New Roman"/>
        </w:rPr>
        <w:t xml:space="preserve"> the importance of </w:t>
      </w:r>
      <w:r w:rsidRPr="00AA0D15">
        <w:rPr>
          <w:rFonts w:cs="Times New Roman"/>
          <w:u w:val="single"/>
        </w:rPr>
        <w:t>community buy-in</w:t>
      </w:r>
    </w:p>
    <w:p w:rsidR="00C47278" w:rsidRPr="00AA0D15" w:rsidRDefault="00C47278" w:rsidP="00C47278">
      <w:pPr>
        <w:rPr>
          <w:rStyle w:val="Style13ptBold"/>
        </w:rPr>
      </w:pPr>
      <w:r w:rsidRPr="00AA0D15">
        <w:rPr>
          <w:rStyle w:val="Style13ptBold"/>
        </w:rPr>
        <w:t>E.J.K III 1980</w:t>
      </w:r>
    </w:p>
    <w:p w:rsidR="00C47278" w:rsidRPr="00AA0D15" w:rsidRDefault="00C47278" w:rsidP="00C47278">
      <w:r w:rsidRPr="00AA0D15">
        <w:t xml:space="preserve">(Virginia Law Review,“WHITE FLIGHT AS A FACTOR IN DESEGREGATION REMEDIES: A JUDICIAL RECOGNITION OF REALITY,” </w:t>
      </w:r>
      <w:hyperlink r:id="rId87" w:history="1">
        <w:r w:rsidRPr="00AA0D15">
          <w:rPr>
            <w:rStyle w:val="Hyperlink"/>
          </w:rPr>
          <w:t>http://www.jstor.org.proxy.lib.umich.edu/stable/pdf/1072627.pdf?refreqid=excelsior%3A602a0b8761ec704d2c9252be098ba13e</w:t>
        </w:r>
      </w:hyperlink>
      <w:r w:rsidRPr="00AA0D15">
        <w:t>, Date Accessed: 6/29/17 – KSA)</w:t>
      </w:r>
    </w:p>
    <w:p w:rsidR="00C47278" w:rsidRPr="00AA0D15" w:rsidRDefault="00C47278" w:rsidP="00C47278">
      <w:r w:rsidRPr="00AA0D15">
        <w:t xml:space="preserve">A. The Supreme Court Decisions </w:t>
      </w:r>
      <w:r w:rsidRPr="00AA0D15">
        <w:rPr>
          <w:rStyle w:val="StyleUnderline"/>
        </w:rPr>
        <w:t xml:space="preserve">In Brown II12 the United States Supreme Court </w:t>
      </w:r>
      <w:r w:rsidRPr="00AA0D15">
        <w:t xml:space="preserve">first </w:t>
      </w:r>
      <w:r w:rsidRPr="00AA0D15">
        <w:rPr>
          <w:rStyle w:val="StyleUnderline"/>
        </w:rPr>
        <w:t>addressed</w:t>
      </w:r>
      <w:r w:rsidRPr="00AA0D15">
        <w:t xml:space="preserve"> the question </w:t>
      </w:r>
      <w:r w:rsidRPr="00AA0D15">
        <w:rPr>
          <w:rStyle w:val="StyleUnderline"/>
        </w:rPr>
        <w:t>whether</w:t>
      </w:r>
      <w:r w:rsidRPr="00AA0D15">
        <w:t xml:space="preserve"> </w:t>
      </w:r>
      <w:r w:rsidRPr="00AA0D15">
        <w:rPr>
          <w:rStyle w:val="StyleUnderline"/>
        </w:rPr>
        <w:t>the likelihood of community resistance</w:t>
      </w:r>
      <w:r w:rsidRPr="00AA0D15">
        <w:t xml:space="preserve"> </w:t>
      </w:r>
      <w:r w:rsidRPr="00AA0D15">
        <w:rPr>
          <w:rStyle w:val="StyleUnderline"/>
        </w:rPr>
        <w:t>ought to influ- ence a federal court's choice of remedial actions, declaring</w:t>
      </w:r>
      <w:r w:rsidRPr="00AA0D15">
        <w:t xml:space="preserve"> that "the vital- ity of these constitutional principles cannot be allowed to yield simply because of disagreement with them."13 </w:t>
      </w:r>
      <w:r w:rsidRPr="00AA0D15">
        <w:rPr>
          <w:rStyle w:val="StyleUnderline"/>
        </w:rPr>
        <w:t>Although the Court's statement was undercut by its decision to permit school districts to desegregate "with all deliberate speed,</w:t>
      </w:r>
      <w:r w:rsidRPr="00AA0D15">
        <w:t xml:space="preserve">" recent decisions draw from the command to disregard community opposition the holding that, at least in the context of de jure segregation, courts and local authorities may not fashion reme- dies in order to minimize the likelihood of white flight.14 </w:t>
      </w:r>
      <w:r w:rsidRPr="00AA0D15">
        <w:rPr>
          <w:rStyle w:val="StyleUnderline"/>
        </w:rPr>
        <w:t>In Monroe v. Board of Commissioners,"' the Court rejected a facially neutral "free-transfer" plan for Jackson, Tennessee</w:t>
      </w:r>
      <w:r w:rsidRPr="00AA0D15">
        <w:t xml:space="preserve">. </w:t>
      </w:r>
      <w:r w:rsidRPr="00AA0D15">
        <w:rPr>
          <w:rStyle w:val="StyleUnderline"/>
        </w:rPr>
        <w:t>The plan had re- sulted in a considerable number of white and black students returning to their old schools despite geographical alterations of attendance zones designed to produce meaningful desegregation."</w:t>
      </w:r>
      <w:r w:rsidRPr="00AA0D15">
        <w:t xml:space="preserve"> Referring to the school officials' argument "</w:t>
      </w:r>
      <w:r w:rsidRPr="00AA0D15">
        <w:rPr>
          <w:rStyle w:val="StyleUnderline"/>
        </w:rPr>
        <w:t>that without the transfer option it is apprehended that white students will flee the school system altogether,"''7 the Court cited Brown II's command to ignore the prospect of community opposi- tion</w:t>
      </w:r>
      <w:r w:rsidRPr="00AA0D15">
        <w:t xml:space="preserve">,'8 and ordered adoption of a plan designed to achieve a "unitary, nonracial, nondiscriminatory school system."'9 Four years later, </w:t>
      </w:r>
      <w:r w:rsidRPr="00AA0D15">
        <w:rPr>
          <w:rStyle w:val="StyleUnderline"/>
        </w:rPr>
        <w:t>in United States v. Scotland Neck Board of Educa- tion,20 the Supreme Court invalidated the creation of a new school dis- trict for part of a school system that was in the process of dismantling its dual system.2'</w:t>
      </w:r>
      <w:r w:rsidRPr="00AA0D15">
        <w:t xml:space="preserve"> Although the </w:t>
      </w:r>
      <w:r w:rsidRPr="00AA0D15">
        <w:rPr>
          <w:rStyle w:val="StyleUnderline"/>
        </w:rPr>
        <w:t>school officials argued that the new district was necessary to avoid white flight into private schools,22 the Court de- clared that the loss of white students "cannot . . . be accepted as a rea- son for achieving anything less than complete uprooting of the dual pub lic school system</w:t>
      </w:r>
      <w:r w:rsidRPr="00AA0D15">
        <w:t>."23 Thus, the Court predicated its holding on a finding that implementation of the statute "would have [had] the effect of im- peding the disestablishment of the dual school system that existed in Halifax County. "24 Thus, although the Supreme Court has instructed federal judges to "as- sess the effectiveness of a proposed plan in achieving desegregation"25 and "to achieve the greatest possible degree of actual desegregation, tak- ing into account the practicalities of the situation,"262</w:t>
      </w:r>
      <w:r w:rsidRPr="00AA0D15">
        <w:rPr>
          <w:rStyle w:val="StyleUnderline"/>
        </w:rPr>
        <w:t xml:space="preserve"> Monroe and Scot- land Neck make it clear that white flight is not a legitimate "practical- ity." School districts and the lower federal courts must therefore promote desegregation without regard to the problems threatening their success</w:t>
      </w:r>
      <w:r w:rsidRPr="00AA0D15">
        <w:t>.27</w:t>
      </w:r>
    </w:p>
    <w:p w:rsidR="004F0113" w:rsidRDefault="004F0113" w:rsidP="00C47278">
      <w:pPr>
        <w:pStyle w:val="Heading3"/>
        <w:rPr>
          <w:rFonts w:cs="Times New Roman"/>
        </w:rPr>
      </w:pPr>
      <w:r>
        <w:rPr>
          <w:rFonts w:cs="Times New Roman"/>
        </w:rPr>
        <w:t>NB – innovation</w:t>
      </w:r>
    </w:p>
    <w:p w:rsidR="004F0113" w:rsidRDefault="004F0113" w:rsidP="004F0113">
      <w:pPr>
        <w:pStyle w:val="Heading4"/>
        <w:rPr>
          <w:sz w:val="26"/>
        </w:rPr>
      </w:pPr>
      <w:r>
        <w:t>One-size fits all mandates over</w:t>
      </w:r>
      <w:r>
        <w:t xml:space="preserve"> desegregation</w:t>
      </w:r>
      <w:r>
        <w:t xml:space="preserve"> wreck</w:t>
      </w:r>
      <w:r>
        <w:t xml:space="preserve"> flexibility that’s key to success </w:t>
      </w:r>
    </w:p>
    <w:p w:rsidR="004F0113" w:rsidRDefault="004F0113" w:rsidP="004F0113">
      <w:r>
        <w:rPr>
          <w:rStyle w:val="Style13ptBold"/>
        </w:rPr>
        <w:t>Rossell</w:t>
      </w:r>
      <w:r>
        <w:rPr>
          <w:b/>
        </w:rPr>
        <w:t xml:space="preserve"> 10 </w:t>
      </w:r>
      <w:r>
        <w:t>--- professor of political science at Boston University. (Christine Rossell, “The Carrot Or the Stick for School Desegregation Policy: Magnet Schools Or Forced Busing”, Temple University Press, Google Books)//ET</w:t>
      </w:r>
    </w:p>
    <w:p w:rsidR="004F0113" w:rsidRDefault="004F0113" w:rsidP="004F0113">
      <w:pPr>
        <w:rPr>
          <w:rStyle w:val="StyleUnderline"/>
        </w:rPr>
      </w:pPr>
      <w:r>
        <w:t xml:space="preserve">The most common deviation approved by the courts was a plus or minus 15 percentage point variance for each school from the school district's overall racial proportions.' </w:t>
      </w:r>
      <w:r>
        <w:rPr>
          <w:rStyle w:val="StyleUnderline"/>
        </w:rPr>
        <w:t>Although giving the appearance of flexibility</w:t>
      </w:r>
      <w:r>
        <w:t xml:space="preserve">, </w:t>
      </w:r>
      <w:r>
        <w:rPr>
          <w:rStyle w:val="StyleUnderline"/>
        </w:rPr>
        <w:t>this measure, like the OCR guide-lines, is crude</w:t>
      </w:r>
      <w:r>
        <w:t xml:space="preserve">. A </w:t>
      </w:r>
      <w:r>
        <w:rPr>
          <w:rStyle w:val="StyleUnderline"/>
        </w:rPr>
        <w:t xml:space="preserve">school district could </w:t>
      </w:r>
      <w:r>
        <w:rPr>
          <w:rStyle w:val="Emphasis"/>
        </w:rPr>
        <w:t>make great strides</w:t>
      </w:r>
      <w:r>
        <w:rPr>
          <w:rStyle w:val="StyleUnderline"/>
        </w:rPr>
        <w:t xml:space="preserve"> in reducing racial imbalance,</w:t>
      </w:r>
      <w:r>
        <w:t xml:space="preserve"> </w:t>
      </w:r>
      <w:r>
        <w:rPr>
          <w:rStyle w:val="StyleUnderline"/>
        </w:rPr>
        <w:t xml:space="preserve">but if it brought imbalanced schools only to within 16 percentage points of the district's overall racial proportions, </w:t>
      </w:r>
      <w:r>
        <w:rPr>
          <w:rStyle w:val="Emphasis"/>
        </w:rPr>
        <w:t>it would get no credit</w:t>
      </w:r>
      <w:r>
        <w:t xml:space="preserve">. A plus or minus 20 percent-age point criterion has also been approved in several court decisions in the late 19805.2 </w:t>
      </w:r>
      <w:r>
        <w:rPr>
          <w:rStyle w:val="StyleUnderline"/>
        </w:rPr>
        <w:t>The least sensible racial balance criterion in common use is the establishment of an absolute and specific range of racial pro-portions</w:t>
      </w:r>
      <w:r>
        <w:t xml:space="preserve">—such as that all schools must be between 90 and 55 percent black. With this kind of criterion, </w:t>
      </w:r>
      <w:r>
        <w:rPr>
          <w:rStyle w:val="StyleUnderline"/>
        </w:rPr>
        <w:t>the school board has to go back to court every few years to get the specific percent-ages in the range changed as the school system's racial composition changes.</w:t>
      </w:r>
      <w:r>
        <w:t xml:space="preserve"> For example, if a court order says that all schools have to be between 35 and 65 percent minority when the district's racial composition is 50 percent minority, the school district will have to go back to court to have the permissible percentages changed when its racial composition approaches 65 percent minority. It is physically impossible for a school system that is 66 percent minority to have all schools racially balanced at 65 percent minority. Indeed, for the range 35-65 percent, </w:t>
      </w:r>
      <w:r>
        <w:rPr>
          <w:rStyle w:val="StyleUnderline"/>
        </w:rPr>
        <w:t xml:space="preserve">flexibility is </w:t>
      </w:r>
      <w:r>
        <w:rPr>
          <w:rStyle w:val="Emphasis"/>
        </w:rPr>
        <w:t>dramatically diminished</w:t>
      </w:r>
      <w:r>
        <w:rPr>
          <w:rStyle w:val="StyleUnderline"/>
        </w:rPr>
        <w:t xml:space="preserve"> once the system's minority enrollment reaches 60 percent</w:t>
      </w:r>
      <w:r>
        <w:t xml:space="preserve">. Both Milwaukee and Buffalo have this problem with their court orders and as a result must go back to court periodically to change the specific percentages. </w:t>
      </w:r>
      <w:r>
        <w:rPr>
          <w:rStyle w:val="StyleUnderline"/>
        </w:rPr>
        <w:t xml:space="preserve">They would thus be </w:t>
      </w:r>
      <w:r>
        <w:rPr>
          <w:rStyle w:val="Emphasis"/>
        </w:rPr>
        <w:t>much better off if they had been given a relative range for each school</w:t>
      </w:r>
      <w:r>
        <w:rPr>
          <w:rStyle w:val="StyleUnderline"/>
        </w:rPr>
        <w:t>,</w:t>
      </w:r>
      <w:r>
        <w:t xml:space="preserve"> such as within 15 or 20 percent-age points of the school district's racial composition, that </w:t>
      </w:r>
      <w:r>
        <w:rPr>
          <w:rStyle w:val="StyleUnderline"/>
        </w:rPr>
        <w:t xml:space="preserve">would self-adjust to changing demographics. </w:t>
      </w:r>
    </w:p>
    <w:p w:rsidR="004F0113" w:rsidRDefault="004F0113" w:rsidP="004F0113"/>
    <w:p w:rsidR="004F0113" w:rsidRDefault="004F0113" w:rsidP="004F0113">
      <w:r>
        <w:t>*this is in the solvency advocate, but one of the lines also sort of concludes aff and says placing a premium on flexibility may raise concerns regarding effectiveness”</w:t>
      </w:r>
    </w:p>
    <w:p w:rsidR="004F0113" w:rsidRDefault="004F0113" w:rsidP="004F0113">
      <w:pPr>
        <w:pStyle w:val="Heading4"/>
      </w:pPr>
      <w:r>
        <w:t xml:space="preserve">Their solvency advocate concludes neg --- tailoring reform to local circumstances is key to success </w:t>
      </w:r>
    </w:p>
    <w:p w:rsidR="004F0113" w:rsidRDefault="004F0113" w:rsidP="004F0113">
      <w:pPr>
        <w:rPr>
          <w:rFonts w:asciiTheme="minorHAnsi" w:hAnsiTheme="minorHAnsi"/>
        </w:rPr>
      </w:pPr>
      <w:r w:rsidRPr="004F0113">
        <w:rPr>
          <w:rStyle w:val="Style13ptBold"/>
        </w:rPr>
        <w:t>Their author Epperson, 12</w:t>
      </w:r>
      <w:r>
        <w:rPr>
          <w:rFonts w:asciiTheme="minorHAnsi" w:hAnsiTheme="minorHAnsi"/>
        </w:rPr>
        <w:t xml:space="preserve"> --- Associate Professor of Law, American University Washington College of Law (Winter 2012, Lia, Harvard Law &amp; Policy Review, “SYMPOSIUM: EDUCATION: EQUALITY OF OPPORTUNITY: Legislating Inclusion,” 6 Harv. L. &amp; Pol'y Rev. 91, Lexis-Nexis Academic, JMP)</w:t>
      </w:r>
    </w:p>
    <w:p w:rsidR="004F0113" w:rsidRDefault="004F0113" w:rsidP="004F0113">
      <w:pPr>
        <w:rPr>
          <w:rFonts w:asciiTheme="minorHAnsi" w:hAnsiTheme="minorHAnsi"/>
        </w:rPr>
      </w:pPr>
      <w:r>
        <w:rPr>
          <w:rFonts w:asciiTheme="minorHAnsi" w:hAnsiTheme="minorHAnsi"/>
        </w:rPr>
        <w:t xml:space="preserve">Such proposed </w:t>
      </w:r>
      <w:r>
        <w:rPr>
          <w:rStyle w:val="StyleUnderline"/>
        </w:rPr>
        <w:t>legislation should</w:t>
      </w:r>
      <w:r>
        <w:rPr>
          <w:rFonts w:asciiTheme="minorHAnsi" w:hAnsiTheme="minorHAnsi"/>
        </w:rPr>
        <w:t xml:space="preserve"> also </w:t>
      </w:r>
      <w:r>
        <w:rPr>
          <w:rStyle w:val="StyleUnderline"/>
        </w:rPr>
        <w:t>further</w:t>
      </w:r>
      <w:r>
        <w:rPr>
          <w:rFonts w:asciiTheme="minorHAnsi" w:hAnsiTheme="minorHAnsi"/>
        </w:rPr>
        <w:t xml:space="preserve"> the principle of "shared burden"--</w:t>
      </w:r>
      <w:r>
        <w:rPr>
          <w:rStyle w:val="StyleUnderline"/>
        </w:rPr>
        <w:t xml:space="preserve">combining </w:t>
      </w:r>
      <w:r>
        <w:rPr>
          <w:rStyle w:val="Emphasis"/>
        </w:rPr>
        <w:t>flexibility</w:t>
      </w:r>
      <w:r>
        <w:rPr>
          <w:rFonts w:asciiTheme="minorHAnsi" w:hAnsiTheme="minorHAnsi"/>
        </w:rPr>
        <w:t xml:space="preserve"> and choice </w:t>
      </w:r>
      <w:r>
        <w:rPr>
          <w:rStyle w:val="StyleUnderline"/>
        </w:rPr>
        <w:t xml:space="preserve">to maximize </w:t>
      </w:r>
      <w:r>
        <w:rPr>
          <w:rStyle w:val="Emphasis"/>
        </w:rPr>
        <w:t>benefits and decrease burdens for all.</w:t>
      </w:r>
      <w:r>
        <w:rPr>
          <w:rFonts w:asciiTheme="minorHAnsi" w:hAnsiTheme="minorHAnsi"/>
        </w:rPr>
        <w:t xml:space="preserve"> For </w:t>
      </w:r>
      <w:r>
        <w:t>example, models that foster increased racial and economic integration between city and suburban districts may include structures to minimize inner-city fiscal burdens and potential overcrowding in suburban schools. Policies might include the provision of transportation and construction funding to suburban schools, while also increasing magnet school funding for inner-city schools. n160 Such programs work best when implemented in the earliest years of education. The flexibility of these programs might include increased funding for transportation and creation of experimental districts. Obviously, there are myriad considerations regarding the scope of legislation of this kind. For instance, placing a premium on choice and flexibility in this context may raise concerns regarding the effectiveness</w:t>
      </w:r>
      <w:r>
        <w:rPr>
          <w:rFonts w:asciiTheme="minorHAnsi" w:hAnsiTheme="minorHAnsi"/>
        </w:rPr>
        <w:t xml:space="preserve"> of the proposed requirements. In addition, </w:t>
      </w:r>
      <w:r>
        <w:rPr>
          <w:rStyle w:val="Emphasis"/>
        </w:rPr>
        <w:t>specific attention to racial, socioeconomic and spatial characteristics of school districts and regions is critical to facilitating truly effective reform</w:t>
      </w:r>
      <w:r>
        <w:rPr>
          <w:rFonts w:asciiTheme="minorHAnsi" w:hAnsiTheme="minorHAnsi"/>
        </w:rPr>
        <w:t>. The key factor in such policy considerations is grounding them in the tenets of structural disparities rather than focusing on intentional racial discrimination. In this vein, one might look to examples of existing measures used to identify sources of intractable racial inequality and lack of opportunity. Such examples include "racial impact statements" conducted by some state governments prior to engaging in new construction projects or social initiatives. Similar to fiscal and environmental impact statements, such assessments are viewed as responsible measures to minimize the burden of new initiatives. n161</w:t>
      </w:r>
    </w:p>
    <w:p w:rsidR="004F0113" w:rsidRPr="004F0113" w:rsidRDefault="004F0113" w:rsidP="004F0113"/>
    <w:p w:rsidR="0000439A" w:rsidRDefault="0000439A" w:rsidP="00C47278">
      <w:pPr>
        <w:pStyle w:val="Heading3"/>
        <w:rPr>
          <w:rFonts w:cs="Times New Roman"/>
        </w:rPr>
      </w:pPr>
      <w:r>
        <w:rPr>
          <w:rFonts w:cs="Times New Roman"/>
        </w:rPr>
        <w:t>AT ‘innovation bad’</w:t>
      </w:r>
    </w:p>
    <w:p w:rsidR="0000439A" w:rsidRPr="0000439A" w:rsidRDefault="0000439A" w:rsidP="0000439A">
      <w:pPr>
        <w:pStyle w:val="Heading4"/>
      </w:pPr>
      <w:r>
        <w:t>Innovation over desergation is vital---one-size fits all fails, and other states can learn from the best approaches</w:t>
      </w:r>
    </w:p>
    <w:p w:rsidR="0000439A" w:rsidRPr="002234F5" w:rsidRDefault="0000439A" w:rsidP="0000439A">
      <w:r w:rsidRPr="0035673C">
        <w:rPr>
          <w:rStyle w:val="Style13ptBold"/>
        </w:rPr>
        <w:t>Potter et. al 16</w:t>
      </w:r>
      <w:r>
        <w:t xml:space="preserve"> (Halley Potter, Kimberly Quick, Elizabeth Davies, Potter is a fellow at The Century Foundation, where she researches public policy solutions for addressing educational inequality. Her work focuses on school integration, preschool equity, charter schools, and college admissions. Quick is a policy associate at The Century Foundation working on education policy in the foundation’s Washington, D.C. office. Kimberly graduated summa cum laude from Wake Forest University in 2014 with a Bachelor’s degree in Politics and International Affairs. Quick completed a fellowship at the Office of the Provost at Wake Forest, where she has helped to develop the university’s communications, programming, and policy related to diversity and inclusion and student experiences. She has also worked with the American Bar Foundation, the Federal Trade Commission, and Amnesty International. Davies is a contributor to the Century Foundation. 2-9-2016, "A New Wave of School Integration: Districts and Charters Pursuing Socioeconomic Diversity," Century Foundation, https://tcf.org/content/report/a-new-wave-of-school-integration/, Accessed: 7-1-2017 /Kent Denver-NK)</w:t>
      </w:r>
    </w:p>
    <w:p w:rsidR="0000439A" w:rsidRPr="002234F5" w:rsidRDefault="0000439A" w:rsidP="0000439A">
      <w:pPr>
        <w:rPr>
          <w:rStyle w:val="StyleUnderline"/>
        </w:rPr>
      </w:pPr>
      <w:r w:rsidRPr="002234F5">
        <w:rPr>
          <w:rStyle w:val="StyleUnderline"/>
        </w:rPr>
        <w:t>As Americans consider the consequences of an education system that increasingly sorts students by race and class, it is also important to recognize the efforts of school districts and charter schools that are attempting to find another path.</w:t>
      </w:r>
    </w:p>
    <w:p w:rsidR="0000439A" w:rsidRPr="0035673C" w:rsidRDefault="0000439A" w:rsidP="0000439A">
      <w:pPr>
        <w:rPr>
          <w:rStyle w:val="StyleUnderline"/>
        </w:rPr>
      </w:pPr>
      <w:r w:rsidRPr="002234F5">
        <w:rPr>
          <w:rStyle w:val="StyleUnderline"/>
        </w:rPr>
        <w:t xml:space="preserve">In </w:t>
      </w:r>
      <w:r w:rsidRPr="0035673C">
        <w:rPr>
          <w:rStyle w:val="Emphasis"/>
        </w:rPr>
        <w:t>New York City</w:t>
      </w:r>
      <w:r w:rsidRPr="002234F5">
        <w:rPr>
          <w:rStyle w:val="StyleUnderline"/>
        </w:rPr>
        <w:t>, for example, parents and advocates at half a dozen elementary schools successfully fought for new admissions lottery procedures</w:t>
      </w:r>
      <w:r>
        <w:t xml:space="preserve"> to promote diversity.4 </w:t>
      </w:r>
      <w:r w:rsidRPr="002234F5">
        <w:rPr>
          <w:rStyle w:val="StyleUnderline"/>
        </w:rPr>
        <w:t xml:space="preserve">In Eden Prairie, </w:t>
      </w:r>
      <w:r w:rsidRPr="0035673C">
        <w:rPr>
          <w:rStyle w:val="Emphasis"/>
        </w:rPr>
        <w:t>Minnesota</w:t>
      </w:r>
      <w:r w:rsidRPr="002234F5">
        <w:rPr>
          <w:rStyle w:val="StyleUnderline"/>
        </w:rPr>
        <w:t>, a superintendent and a group of Somali refugee parents led the charge to create more equitable school boundaries</w:t>
      </w:r>
      <w:r>
        <w:t xml:space="preserve">.5 And </w:t>
      </w:r>
      <w:r w:rsidRPr="002234F5">
        <w:rPr>
          <w:rStyle w:val="StyleUnderline"/>
        </w:rPr>
        <w:t xml:space="preserve">in </w:t>
      </w:r>
      <w:r w:rsidRPr="0035673C">
        <w:rPr>
          <w:rStyle w:val="Emphasis"/>
        </w:rPr>
        <w:t>Rhode Island</w:t>
      </w:r>
      <w:r w:rsidRPr="002234F5">
        <w:rPr>
          <w:rStyle w:val="StyleUnderline"/>
        </w:rPr>
        <w:t>, the mayor of an affluent suburban town spearheaded legislation to create regionally integrated charter schools that would draw students from rich suburbs and struggling cities</w:t>
      </w:r>
      <w:r>
        <w:t xml:space="preserve"> together in the same classrooms.6 </w:t>
      </w:r>
      <w:r w:rsidRPr="0035673C">
        <w:rPr>
          <w:rStyle w:val="StyleUnderline"/>
        </w:rPr>
        <w:t xml:space="preserve">These efforts, along with other examples from across the country, demonstrate that there are a </w:t>
      </w:r>
      <w:r w:rsidRPr="0035673C">
        <w:rPr>
          <w:rStyle w:val="Emphasis"/>
        </w:rPr>
        <w:t>variety of approaches available</w:t>
      </w:r>
      <w:r w:rsidRPr="0035673C">
        <w:rPr>
          <w:rStyle w:val="StyleUnderline"/>
        </w:rPr>
        <w:t xml:space="preserve"> to policymakers, education leaders, and community members committed to advancing equity and integration.</w:t>
      </w:r>
    </w:p>
    <w:p w:rsidR="0000439A" w:rsidRPr="0035673C" w:rsidRDefault="0000439A" w:rsidP="0000439A">
      <w:pPr>
        <w:rPr>
          <w:rStyle w:val="StyleUnderline"/>
        </w:rPr>
      </w:pPr>
      <w:r>
        <w:t>The report begins with background on school segregation, and the remedying role that integration strategies based on socioeconomic status can play. Building on research that The Century Foundation (TCF) has released throughout the past decade,</w:t>
      </w:r>
      <w:r w:rsidRPr="0035673C">
        <w:rPr>
          <w:rStyle w:val="StyleUnderline"/>
        </w:rPr>
        <w:t xml:space="preserve"> the report then presents our latest inventory of school districts and charter schools that are using socioeconomic integration strategies—outlining our methodology, examining the characteristics of the districts and charters included, and explaining the main types of integration methods encountered.</w:t>
      </w:r>
    </w:p>
    <w:p w:rsidR="0000439A" w:rsidRPr="0035673C" w:rsidRDefault="0000439A" w:rsidP="0000439A">
      <w:pPr>
        <w:rPr>
          <w:rStyle w:val="StyleUnderline"/>
        </w:rPr>
      </w:pPr>
      <w:r w:rsidRPr="0035673C">
        <w:rPr>
          <w:rStyle w:val="StyleUnderline"/>
        </w:rPr>
        <w:t xml:space="preserve">The efforts of these districts and charter schools </w:t>
      </w:r>
      <w:r w:rsidRPr="0035673C">
        <w:rPr>
          <w:rStyle w:val="Emphasis"/>
        </w:rPr>
        <w:t>range in size and strategy</w:t>
      </w:r>
      <w:r w:rsidRPr="0035673C">
        <w:rPr>
          <w:rStyle w:val="StyleUnderline"/>
        </w:rPr>
        <w:t xml:space="preserve">, but their stories </w:t>
      </w:r>
      <w:r w:rsidRPr="0035673C">
        <w:rPr>
          <w:rStyle w:val="Emphasis"/>
        </w:rPr>
        <w:t>all provide hope</w:t>
      </w:r>
      <w:r w:rsidRPr="0035673C">
        <w:rPr>
          <w:rStyle w:val="StyleUnderline"/>
        </w:rPr>
        <w:t xml:space="preserve"> in the continuing push for integration and equity.</w:t>
      </w:r>
    </w:p>
    <w:p w:rsidR="0000439A" w:rsidRPr="0000439A" w:rsidRDefault="0000439A" w:rsidP="0000439A"/>
    <w:p w:rsidR="00C47278" w:rsidRPr="00AA0D15" w:rsidRDefault="00C47278" w:rsidP="00C47278">
      <w:pPr>
        <w:pStyle w:val="Heading3"/>
        <w:rPr>
          <w:rFonts w:cs="Times New Roman"/>
        </w:rPr>
      </w:pPr>
      <w:r w:rsidRPr="00AA0D15">
        <w:rPr>
          <w:rFonts w:cs="Times New Roman"/>
        </w:rPr>
        <w:t>AT federal courts deficit</w:t>
      </w:r>
    </w:p>
    <w:p w:rsidR="00C47278" w:rsidRPr="00AA0D15" w:rsidRDefault="00C47278" w:rsidP="00C47278">
      <w:pPr>
        <w:pStyle w:val="Heading4"/>
        <w:rPr>
          <w:rFonts w:cs="Times New Roman"/>
        </w:rPr>
      </w:pPr>
      <w:r w:rsidRPr="00AA0D15">
        <w:rPr>
          <w:rFonts w:cs="Times New Roman"/>
        </w:rPr>
        <w:t xml:space="preserve">Federal courts are a joke – empirics prove that lack of support, enforcement mechanisms, and oversight all compromise solvency </w:t>
      </w:r>
    </w:p>
    <w:p w:rsidR="00C47278" w:rsidRPr="00AA0D15" w:rsidRDefault="00C47278" w:rsidP="00C47278">
      <w:pPr>
        <w:rPr>
          <w:sz w:val="26"/>
        </w:rPr>
      </w:pPr>
      <w:r w:rsidRPr="00AA0D15">
        <w:rPr>
          <w:rStyle w:val="Style13ptBold"/>
        </w:rPr>
        <w:t xml:space="preserve">Parker 4 </w:t>
      </w:r>
      <w:r w:rsidRPr="00AA0D15">
        <w:rPr>
          <w:rStyle w:val="Style13ptBold"/>
          <w:b w:val="0"/>
        </w:rPr>
        <w:t>– Wendy, James A. Webster Professor of Public Law at Wake Forest University, “Connecting the dots: Grutter, school desegregation, and federalism,” William and Mary Law Review 45.4, March 2004//ninerz</w:t>
      </w:r>
    </w:p>
    <w:p w:rsidR="00C47278" w:rsidRPr="00AA0D15" w:rsidRDefault="00C47278" w:rsidP="00C47278">
      <w:pPr>
        <w:rPr>
          <w:sz w:val="12"/>
        </w:rPr>
      </w:pPr>
      <w:r w:rsidRPr="00AA0D15">
        <w:rPr>
          <w:rStyle w:val="StyleUnderline"/>
        </w:rPr>
        <w:t xml:space="preserve">The courts </w:t>
      </w:r>
      <w:r w:rsidRPr="00AA0D15">
        <w:rPr>
          <w:sz w:val="12"/>
        </w:rPr>
        <w:t xml:space="preserve">acting alone </w:t>
      </w:r>
      <w:r w:rsidRPr="00AA0D15">
        <w:rPr>
          <w:rStyle w:val="Emphasis"/>
        </w:rPr>
        <w:t>have failed.</w:t>
      </w:r>
      <w:r w:rsidRPr="00AA0D15">
        <w:rPr>
          <w:sz w:val="12"/>
        </w:rPr>
        <w:t xml:space="preserve">--Judge Wisdom (1966) (129) </w:t>
      </w:r>
      <w:r w:rsidRPr="00AA0D15">
        <w:rPr>
          <w:rStyle w:val="StyleUnderline"/>
        </w:rPr>
        <w:t>Faced with</w:t>
      </w:r>
      <w:r w:rsidRPr="00AA0D15">
        <w:rPr>
          <w:sz w:val="12"/>
        </w:rPr>
        <w:t xml:space="preserve">, at best, token </w:t>
      </w:r>
      <w:r w:rsidRPr="00AA0D15">
        <w:rPr>
          <w:rStyle w:val="StyleUnderline"/>
        </w:rPr>
        <w:t>southern integration</w:t>
      </w:r>
      <w:r w:rsidRPr="00AA0D15">
        <w:rPr>
          <w:sz w:val="12"/>
        </w:rPr>
        <w:t xml:space="preserve">, </w:t>
      </w:r>
      <w:r w:rsidRPr="00AA0D15">
        <w:rPr>
          <w:rStyle w:val="StyleUnderline"/>
        </w:rPr>
        <w:t>judicial patience</w:t>
      </w:r>
      <w:r w:rsidRPr="00AA0D15">
        <w:rPr>
          <w:sz w:val="12"/>
        </w:rPr>
        <w:t xml:space="preserve"> eventually </w:t>
      </w:r>
      <w:r w:rsidRPr="00AA0D15">
        <w:rPr>
          <w:rStyle w:val="Emphasis"/>
        </w:rPr>
        <w:t>waned</w:t>
      </w:r>
      <w:r w:rsidRPr="00AA0D15">
        <w:rPr>
          <w:sz w:val="12"/>
        </w:rPr>
        <w:t xml:space="preserve">. (130) Beginning in 1963, </w:t>
      </w:r>
      <w:r w:rsidRPr="00AA0D15">
        <w:rPr>
          <w:rStyle w:val="StyleUnderline"/>
        </w:rPr>
        <w:t>the Supreme Court repeatedly noted its "</w:t>
      </w:r>
      <w:r w:rsidRPr="00AA0D15">
        <w:rPr>
          <w:rStyle w:val="Emphasis"/>
        </w:rPr>
        <w:t>exasperation</w:t>
      </w:r>
      <w:r w:rsidRPr="00AA0D15">
        <w:rPr>
          <w:sz w:val="12"/>
        </w:rPr>
        <w:t xml:space="preserve">" </w:t>
      </w:r>
      <w:r w:rsidRPr="00AA0D15">
        <w:rPr>
          <w:rStyle w:val="StyleUnderline"/>
        </w:rPr>
        <w:t>with the passage of time with almost no desegregation</w:t>
      </w:r>
      <w:r w:rsidRPr="00AA0D15">
        <w:rPr>
          <w:sz w:val="12"/>
        </w:rPr>
        <w:t xml:space="preserve">. (131) The days of allowing defendants control over the remedial process were ending. Lower </w:t>
      </w:r>
      <w:r w:rsidRPr="00AA0D15">
        <w:rPr>
          <w:rStyle w:val="StyleUnderline"/>
        </w:rPr>
        <w:t xml:space="preserve">courts began actively overseeing school districts starting in the mid-1960s and continuing through the 1970s. During this period, </w:t>
      </w:r>
      <w:r w:rsidRPr="00AA0D15">
        <w:rPr>
          <w:rStyle w:val="Emphasis"/>
        </w:rPr>
        <w:t>local control was of little importance</w:t>
      </w:r>
      <w:r w:rsidRPr="00AA0D15">
        <w:rPr>
          <w:sz w:val="12"/>
        </w:rPr>
        <w:t xml:space="preserve">. On one level the judiciary had no choice but to increase its involvement in the remedial phase in order to implement the fundamental principle of Brown I. </w:t>
      </w:r>
      <w:r w:rsidRPr="00AA0D15">
        <w:rPr>
          <w:rStyle w:val="StyleUnderline"/>
        </w:rPr>
        <w:t xml:space="preserve">The courts had given public school officials the chance to discontinue the use of race in student assignment, </w:t>
      </w:r>
      <w:r w:rsidRPr="00AA0D15">
        <w:rPr>
          <w:rStyle w:val="Emphasis"/>
        </w:rPr>
        <w:t>a chance largely rejected</w:t>
      </w:r>
      <w:r w:rsidRPr="00AA0D15">
        <w:rPr>
          <w:sz w:val="12"/>
        </w:rPr>
        <w:t xml:space="preserve">. </w:t>
      </w:r>
      <w:r w:rsidRPr="00AA0D15">
        <w:rPr>
          <w:sz w:val="4"/>
          <w:szCs w:val="4"/>
        </w:rPr>
        <w:t>The judiciary had many choices in deciding how to increase its involvement, and the courts, particularly the Fifth Circuit and eventually the Supreme Court, made decidedly expansive choices that interjected the judiciary into educational affairs. Schools had to desegregate all aspects of their operations, even if that meant busing. This is primarily reflected in two Supreme Court opinions, Green v. County School Board (132) and Swann v. Charlotte-Mecklenburg Board of Education. (133)In 1968 the Supreme Court in Green held that a school district's freedom-of-choice plan, (134) which had produced little desegregation, was "unacceptable." (135) Speaking in strong language and echoing the Fifth Circuit's ground-breaking opinion in United States v. Jefferson County Board of Education (Jefferson II), (136) the Court held that "[s]chool boards ... operating state-compelled dual systems were ... clearly charged with the affirmative duty to take whatever steps might be necessary to convert to a unitary system in which racial discrimination would be eliminated root and branch." (137) The concept of a unitary system included not just student assignment, but also "faculty, staff, transportation, extra curricular activities and facilities." (138) Desegregation was no longer the responsibility of students to seek a transfer (under the pupil enrollment acts) or choose their school (under the freedom-of-choice plans); now the responsibility of producing actual desegregation lay with school districts. (139) Integration was the expected result, and the failure to achieve it would result in federally crafted mandates. In some respects, Green was an easy case to support integration. At issue was a rural school district with no housing segregation. (140) The district operated two schools, one African American and one white, and extensive busing maintained the separate school systems. (141) Neighborhood schools would be integrated. The remedial reach of Green was exceeded three years later in Swarm. (142) In that case, the Supreme Court allowed that not only may courts order busing as a remedy to achieve the integration required by Green, (143) but that remedies should be designed to achieve "the greatest possible degree of actual desegregation." (144) Swann made explicit that the actual results were crucial in evaluating a remedy's acceptability. (145) More specifically, the Court upheld the decision of the district court to give the school board three alternative plans from which to choose because the school board's plan did not adequately integrate the elementary schools. (146) In essence, the Supreme Court had mounted an attack on continued segregation, not just the consideration of race. Fundamentally, the Court redefined the right of Brown I to include not just the end of assignment based on race, but also a right to integration. (147) These two rights would not be thwarted by the defendants, for no longer did they have the "primary responsibility" of desegregation that Brown II had envisioned. (148) Although the Court in Swann and Green relied upon the language of Brown II that placed responsibility on the defendants, (149) the Court in those cases was willing to second guess the remedial plans of the defendants. The actual deference afforded to defendants was practically nonexistent. With little hesitation, the Court rejected the defendants' remedial plans. The Court, for the first time, controlled the content of the remedy. Yet, all three federal branches of government, not just the judiciary, bear some responsibility for requiring actual integration at the cost of devaluing local control. The responsibility of the executive and legislative branches began with the passage of the Civil Rights Act of 1964, (150) which was designed, in part, to promote actual desegregation of formerly de jure segregated schools. (151) Through Title VI of the Act, (152) Congress enacted legislation that required the Department of Health, Education, and Welfare (HEW) to ensure that school districts desegregate or lose federal funding. Title IV authorized the Department of Justice (DOJ)--through the Attorney General--to litigate school desegregation cases. (153) HEW's 1966 Guidelines for defining whether schools were desegregating required actual integration, (154) and DOJ supported the Guidelines in litigation. (155) The Fifth Circuit in Jefferson H strongly endorsed the HEW 1966 Guidelines. (156) In doing so, the Fifth Circuit implied that HEW had superior competency in defining what desegregation should entail, (157) and that courts should defer to Congressional will, as expressed in the Civil Rights Act of 1964. (158) Only then did the Supreme Court adopt as well the command that ending de jure segregation would entail meaningful integration. (159) In sum, all three federal branches decided that enforcing Brown I should produce widespread integration. No branch emphasized local control. The executive branch through HEW and DOJ advocated a broader reading of Brown I than had been enforced previously. The federal judiciary, first by the Fifth Circuit and then by the Supreme Court, began to require for the first time specific, affirmative steps to integrate after HEW and DOJ so advocated. In addition, the Supreme Court rejected any appeals for delay in producing integration. (160) As a result, and for the first time, the South integrated its public schools. (161) C. Milliken I, Milliken II, and Jenkins II The Supreme Court may have strayed from valuing local control in Swann and Green, but only briefly. The Court retreated quickly to enforcing local control with great consequences in its 1974 opinion in the Detroit school desegregation lawsuit, Milliken v. Bradley (Milliken I). (162) The district court and court of appeals had allowed the remedy for Detroit, a majority African American school district, to include fifty-three surrounding school districts that were predominately white. (163) Having the remedy reach all fifty-four school districts was the only feasible way of offering integrated education to Detroit public school students. (164) The Supreme Court reversed. (165) The Court's opinion referenced well-known remedial principles in reversing, but the principles fail to explain the decision. For example, the Court stated the rule that the scope of the violation determines the scope of the remedy. (166) Yet, this principle and the others mentioned by the Court are almost universally condemned for their indeterminacy in public law context. (167) The standards can support any number of remedies, sometimes even conflicting ones. (168) Rather, concerns of judicial competency and local control compelled the Court's decision. Consolidating fifty-four school districts created a number of serious implementation problems, and the Court questioned the district court's competency to handle these issues: "[T]he District Court will become first, a de facto 'legislative authority' to resolve these complex questions, and then the 'school superintendent' for the entire area. This is a task which few, if any, judges are qualified to perform...." (169) Continuing, the Court emphasized the federalism implications of such a role "which would deprive the people of control of schools through their elected representatives." (170) As a result, the Court held that school district boundary lines matter when crafting the school desegregation remedy, even with the State as a liable defendant. (171) School district lines must be respected in the remedial process and cannot be changed, absent proof of discrimination crossing school district lines. (172) As a result, the values of competency and local control greatly restricted the authority of federal courts. The judiciary would confine its authority within school district boundary lines, even if that meant continued segregation. Keeping school desegregation remedies almost always within school district boundary lines has had profound practical consequences. Many blame Milliken I for ending any chance for meaningful integration in large northern cities. (173) The concern with local control continued when the Supreme Court returned to the remedy for de jure school segregation in Detroit in Milliken v. Bradley (Milliken II). (174) Given that the schools would be largely segregated, at issue was whether the remedy could reach non-student assignment issues. The school district had proposed compensatory education programs to redress problems in the academic program caused by de jure segregation, (175) along with a limited student reassignment plan to redress segregation in Detroit's predominantly white schools. (176) The State defendants, which had been held liable for Detroit's de jure segregation and for one-half of the costs of any desegregation plan, protested the school district's plan. (177) After the district court approved the school district's plan and the court of appeals affirmed, the State defendants sought Supreme Court review. (178) The Supreme Court upheld the compensatory education remedy. (179) The Court developed a three-part test for evaluating a school desegregation remedy, with the third element explicitly recognizing a role for the defendants. (180) The Supreme Court required that the "federal courts in devising a remedy must take into account the interests of state and local authorities in managing their own affairs, consistent with the Constitution." (181) This third element was clearly satisfied in Milliken II because the school board had proposed the compensatory education program--hence, the remedy originated with the school district, which evidenced not only some degree of control over, but also some sense of participation in, the remedial process. (182) The Court recognized that educational programs are "normally left to the discretion of the elected school board and professional educators" (183) and that "principles of federalism [are not] abrogated by the decree," (184) which was almost entirely based on the school board's proposed remedy. The opinion, however, was not a wholesale adoption of local control. The federal judiciary also ordered the state defendants to fund programs without their consent. (185) With little effort, the Court rejected the state defendants' Tenth Amendment argument, (186) Eleventh Amendment contention, (187) and general federalism complaint that the state defendants should not be required to fund partially the compensatory education programs. (188) While local control principles would affect the content of the remedy, as the Milliken II test commanded, local control and federalism principles would not affect the enforcement of the remedy. The state defendants would be obligated to fund their portion, even under protest. For without funding by the adjudicated wrongdoers, the remedy would obviously fail. Giving a school district the ability to propose a remedial plan, to which the courts would give deference, creates an obvious incentive for school districts to propose expensive remedial plans when the state is liable for funding. Kansas City, Missouri, the site of the most expensive school desegregation case, aptly demonstrates this incentive. (189) The school district and State of Missouri shared fiscal responsibility for the remedy, and the school district lacked adequate funds to meet its court-ordered financial responsibilities. (190) The issue became the federal court's authority to enable a school district to tax at a rate sufficient to implement the remedy. The Supreme Court decided the matter with little respect for state control over tax laws in Missouri v. Jenkins (Jenkins II). (191) On the grounds of comity, the Court held that the district court itself could not raise the school district's property tax rate. (192) Such approach "not only intruded on local authority but circumvented it altogether." (193) Yet, the district court could enjoin state laws preventing the school district from setting a sufficient property tax rate (for example, laws requiring voter approval). (194) The Court then characterized the resulting tax not as a federal court tax, but a school district tax. Enjoining state laws was entirely permissible, according to the Court, because it was necessary to enable a local government to fulfill its constitutional duty under the Fourteenth Amendment. (195) State tax laws could not be allowed to stand in the way of the school district's constitutional duty to desegregate. The Court concluded that "[t]o hold otherwise would fail to take account of the obligations of local governments, under the Supremacy Clause, to fulfill the requirements that the Constitution imposes on them." (196) In short, a federal court cannot itself raise taxes, but it can order state and local governments to fund a remedy and enjoin any restricting state law. This is a remarkable holding given the American tradition of "no taxation without representation." The Court could have imposed more of the financial burden on the State of Missouri, which it had actually requested the judiciary to do. (197) Instead, by allowing a school district to increase its property tax rate without compliance with state laws, the Court placed almost no value on state control over rules of taxation. True, the Court stressed that its approach of not having the federal court itself set the tax rate afforded the defendants power over the remedy, but the idea of a federal court involving itself in local tax matters is hard to square with the traditional value of local and state autonomy over taxes. As with requiring the state defendants to bear a financial burden for the remedy in Milliken II, the Court promoted strong enforcement power. In a sense, Jenkins II is not about the right or the remedy to be free of racial discrimination in education, but about how to enforce the remedy. For without adequate funding, the remedy could not be enforced. Further, the local control at issue is not one of defining the right to be free from racial discrimination--the heart of school desegregation jurisprudence--but the power over local tax rates, a different matter altogether. In sum, in Milliken I and II, the Supreme Court devised remedial standards that emphasized the importance of involving the defendants in the remedial process (198) and in limiting the extent of the intrusion of the federal government in school operation. (199) It returned to the idea of defendant responsibility propounded by Brown II and rejected by Green and Swann. (200) As a result, defendants have had a remarkable level of authority in devising school desegregation remedies. (201) Yet, on the issue of enforcement, as reflected in the treatment of the state defendants in Milliken II and Jenkins II, the Court has had no concern with local control. In these two instances, federal power clearly trumped local and state authority. D. Unitary Status This section considers the Supreme Court's last three school desegregation opinions, all of which concern the end point of the school desegregation lawsuit</w:t>
      </w:r>
      <w:r w:rsidRPr="00AA0D15">
        <w:rPr>
          <w:sz w:val="12"/>
        </w:rPr>
        <w:t xml:space="preserve">. </w:t>
      </w:r>
      <w:r w:rsidRPr="00AA0D15">
        <w:rPr>
          <w:rStyle w:val="Emphasis"/>
        </w:rPr>
        <w:t>The Supreme Court has held that school desegregation lawsuits are not to operate in perpetuity</w:t>
      </w:r>
      <w:r w:rsidRPr="00AA0D15">
        <w:rPr>
          <w:rStyle w:val="StyleUnderline"/>
        </w:rPr>
        <w:t xml:space="preserve">. At some point in time, the school desegregation lawsuit must end, </w:t>
      </w:r>
      <w:r w:rsidRPr="00AA0D15">
        <w:rPr>
          <w:rStyle w:val="Emphasis"/>
        </w:rPr>
        <w:t>and the courts must restore complete local control over schools</w:t>
      </w:r>
      <w:r w:rsidRPr="00AA0D15">
        <w:rPr>
          <w:rStyle w:val="StyleUnderline"/>
        </w:rPr>
        <w:t>.</w:t>
      </w:r>
      <w:r w:rsidRPr="00AA0D15">
        <w:rPr>
          <w:sz w:val="12"/>
        </w:rPr>
        <w:t xml:space="preserve"> Strong hints of this result began as early as Brown II, (202) and the Supreme Court developed a test for terminating school desegregation cases in the 1991 opinion in Board of Education v. Dowell, (203) the Oklahoma City school desegregation lawsuit. The end point of school desegregation is when the school district has achieved "unitary status" and no longer operates a dual system. (204) In devising Dowell's three-part test for unitary status, the Court highlighted the temporary nature of school desegregation remedies and the "allocation of powers within our federal system." (205) </w:t>
      </w:r>
      <w:r w:rsidRPr="00AA0D15">
        <w:rPr>
          <w:rStyle w:val="StyleUnderline"/>
        </w:rPr>
        <w:t xml:space="preserve">A school desegregation suit could end, </w:t>
      </w:r>
      <w:r w:rsidRPr="00AA0D15">
        <w:rPr>
          <w:rStyle w:val="Emphasis"/>
        </w:rPr>
        <w:t>even if it meant immediate resegregation of the schools</w:t>
      </w:r>
      <w:r w:rsidRPr="00AA0D15">
        <w:rPr>
          <w:rStyle w:val="StyleUnderline"/>
        </w:rPr>
        <w:t>. (</w:t>
      </w:r>
      <w:r w:rsidRPr="00AA0D15">
        <w:rPr>
          <w:sz w:val="12"/>
        </w:rPr>
        <w:t xml:space="preserve">206) </w:t>
      </w:r>
      <w:r w:rsidRPr="00AA0D15">
        <w:rPr>
          <w:rStyle w:val="StyleUnderline"/>
        </w:rPr>
        <w:t xml:space="preserve">In reaching this conclusion, </w:t>
      </w:r>
      <w:r w:rsidRPr="00AA0D15">
        <w:rPr>
          <w:rStyle w:val="Emphasis"/>
        </w:rPr>
        <w:t>the Court emphasized the importance of local control over schools as part of the American system of federalism</w:t>
      </w:r>
      <w:r w:rsidRPr="00AA0D15">
        <w:rPr>
          <w:sz w:val="12"/>
        </w:rPr>
        <w:t xml:space="preserve">. (207) Likewise, in Freeman v. Pitts, </w:t>
      </w:r>
      <w:r w:rsidRPr="00AA0D15">
        <w:rPr>
          <w:rStyle w:val="StyleUnderline"/>
        </w:rPr>
        <w:t>the Court declared that the "end purpose" and "ultimate objective" of the lawsuit was to "</w:t>
      </w:r>
      <w:r w:rsidRPr="00AA0D15">
        <w:rPr>
          <w:rStyle w:val="Emphasis"/>
        </w:rPr>
        <w:t>return school districts to the control of local authorities</w:t>
      </w:r>
      <w:r w:rsidRPr="00AA0D15">
        <w:rPr>
          <w:sz w:val="12"/>
        </w:rPr>
        <w:t xml:space="preserve">." (208) </w:t>
      </w:r>
      <w:r w:rsidRPr="00AA0D15">
        <w:rPr>
          <w:rStyle w:val="StyleUnderline"/>
        </w:rPr>
        <w:t xml:space="preserve">The Court allowed that this should occur even if schools were never desegregated (209) and </w:t>
      </w:r>
      <w:r w:rsidRPr="00AA0D15">
        <w:rPr>
          <w:rStyle w:val="Emphasis"/>
        </w:rPr>
        <w:t>again emphasized the value of federalism</w:t>
      </w:r>
      <w:r w:rsidRPr="00AA0D15">
        <w:rPr>
          <w:rStyle w:val="StyleUnderline"/>
        </w:rPr>
        <w:t>. (</w:t>
      </w:r>
      <w:r w:rsidRPr="00AA0D15">
        <w:rPr>
          <w:sz w:val="12"/>
        </w:rPr>
        <w:t xml:space="preserve">210) Finally, in Missouri v. Jenkins (Jenkins III), the Court stressed the importance of local control, (211) and accepted disparities in the achievement of minority and white school children. (212) The message of the Supreme Court's recent school desegregation opinions is clear. All three start with a statement of the longevity of the case, recognize continued segregation, and ultimately afford immediate return of complete local autonomy. (213) </w:t>
      </w:r>
      <w:r w:rsidRPr="00AA0D15">
        <w:rPr>
          <w:rStyle w:val="StyleUnderline"/>
        </w:rPr>
        <w:t xml:space="preserve">Lower courts have gotten the Supreme Court's message, </w:t>
      </w:r>
      <w:r w:rsidRPr="00AA0D15">
        <w:rPr>
          <w:rStyle w:val="Emphasis"/>
        </w:rPr>
        <w:t xml:space="preserve">and have proven willing to </w:t>
      </w:r>
      <w:r w:rsidRPr="00AA0D15">
        <w:rPr>
          <w:rStyle w:val="Emphasis"/>
          <w:sz w:val="26"/>
          <w:szCs w:val="26"/>
        </w:rPr>
        <w:t>dismiss school desegregation lawsuits</w:t>
      </w:r>
      <w:r w:rsidRPr="00AA0D15">
        <w:rPr>
          <w:sz w:val="12"/>
        </w:rPr>
        <w:t xml:space="preserve">. </w:t>
      </w:r>
      <w:r w:rsidRPr="00AA0D15">
        <w:rPr>
          <w:rStyle w:val="Emphasis"/>
        </w:rPr>
        <w:t>Complete local control is returning</w:t>
      </w:r>
      <w:r w:rsidRPr="00AA0D15">
        <w:rPr>
          <w:sz w:val="12"/>
        </w:rPr>
        <w:t xml:space="preserve">. A recent ten-year study of district court opinions and the appeals of these opinions demonstrated that every request for unitary status was granted, save one in which the court awarded only "partial" unitary status. (214) E. Summary and </w:t>
      </w:r>
      <w:r w:rsidRPr="00AA0D15">
        <w:rPr>
          <w:rStyle w:val="StyleUnderline"/>
        </w:rPr>
        <w:t>Implications of Local Control</w:t>
      </w:r>
      <w:r w:rsidRPr="00AA0D15">
        <w:rPr>
          <w:sz w:val="12"/>
        </w:rPr>
        <w:t xml:space="preserve"> Overall, the </w:t>
      </w:r>
      <w:r w:rsidRPr="00AA0D15">
        <w:rPr>
          <w:rStyle w:val="StyleUnderline"/>
        </w:rPr>
        <w:t xml:space="preserve">federal judiciary has </w:t>
      </w:r>
      <w:r w:rsidRPr="00AA0D15">
        <w:rPr>
          <w:rStyle w:val="Emphasis"/>
        </w:rPr>
        <w:t>valued local control in school desegregation cases</w:t>
      </w:r>
      <w:r w:rsidRPr="00AA0D15">
        <w:rPr>
          <w:sz w:val="12"/>
        </w:rPr>
        <w:t xml:space="preserve">. In the name of local control over schools, courts have crafted for defendants a prominent role in the remedial process. </w:t>
      </w:r>
      <w:r w:rsidRPr="00AA0D15">
        <w:rPr>
          <w:rStyle w:val="StyleUnderline"/>
        </w:rPr>
        <w:t>Even critics of institutional reform litigation have sometimes admitted the importance of local control in school desegregation</w:t>
      </w:r>
      <w:r w:rsidRPr="00AA0D15">
        <w:rPr>
          <w:sz w:val="12"/>
        </w:rPr>
        <w:t xml:space="preserve">. (215) While local control has not mattered at every juncture, the federal judiciary has deferred to defendants' wishes a great deal, with profound implications. In the first decade or so of school desegregation, courts were exceptionally deferential to school authorities. Granted, the Supreme Court placed the judiciary at the school house door when it interpreted the Equal Protection Clause to prohibit de jure segregated schools. Yet, the judiciary's authority to interpret the Equal Protection Clause is largely unquestioned, (216) and the involvement of the judiciary largely ended with that interpretation. The courts proved unwilling to enter the school building to oversee the desegregation process. </w:t>
      </w:r>
      <w:r w:rsidRPr="00AA0D15">
        <w:rPr>
          <w:rStyle w:val="StyleUnderline"/>
        </w:rPr>
        <w:t xml:space="preserve">The courts announced the rule, but allowed the schools to ascertain what that rule exactly meant and how to best implement that rule. Judges demanded only that the schools stop student assignment explicitly based on race, and gave the school districts the time and opportunity to choose how to effectuate that objective. </w:t>
      </w:r>
      <w:r w:rsidRPr="00AA0D15">
        <w:rPr>
          <w:rStyle w:val="Emphasis"/>
        </w:rPr>
        <w:t xml:space="preserve">As a result, defendants who were willing at least to pretend to quit assigning students based on race, like ones in North Carolina, </w:t>
      </w:r>
      <w:r w:rsidRPr="00AA0D15">
        <w:rPr>
          <w:rStyle w:val="Emphasis"/>
          <w:sz w:val="26"/>
          <w:szCs w:val="26"/>
        </w:rPr>
        <w:t>were able to avoid any judicial oversight.</w:t>
      </w:r>
      <w:r w:rsidRPr="00AA0D15">
        <w:rPr>
          <w:rStyle w:val="Emphasis"/>
        </w:rPr>
        <w:t xml:space="preserve"> </w:t>
      </w:r>
      <w:r w:rsidRPr="00AA0D15">
        <w:rPr>
          <w:sz w:val="12"/>
        </w:rPr>
        <w:t xml:space="preserve">(217) </w:t>
      </w:r>
      <w:r w:rsidRPr="00AA0D15">
        <w:rPr>
          <w:rStyle w:val="StyleUnderline"/>
        </w:rPr>
        <w:t xml:space="preserve">Defendants not willing to do so and included here were the majority of school districts subject to litigation--were told to stop considering race, but with </w:t>
      </w:r>
      <w:r w:rsidRPr="00AA0D15">
        <w:rPr>
          <w:rStyle w:val="Emphasis"/>
        </w:rPr>
        <w:t>little judicial involvement in actualizing that demand</w:t>
      </w:r>
      <w:r w:rsidRPr="00AA0D15">
        <w:rPr>
          <w:sz w:val="12"/>
        </w:rPr>
        <w:t xml:space="preserve">. (218) Judicial remedial orders specifying the necessary steps to desegregate were relatively rare; instead, courts told school officials to try again to desegregate. (219) </w:t>
      </w:r>
      <w:r w:rsidRPr="00AA0D15">
        <w:rPr>
          <w:rStyle w:val="StyleUnderline"/>
        </w:rPr>
        <w:t xml:space="preserve">Not surprisingly, </w:t>
      </w:r>
      <w:r w:rsidRPr="00AA0D15">
        <w:rPr>
          <w:rStyle w:val="Emphasis"/>
          <w:sz w:val="26"/>
          <w:szCs w:val="26"/>
        </w:rPr>
        <w:t xml:space="preserve">children continued to attend segregated schools. </w:t>
      </w:r>
      <w:r w:rsidRPr="00AA0D15">
        <w:rPr>
          <w:sz w:val="12"/>
        </w:rPr>
        <w:t xml:space="preserve">The judiciary took a very different approach starting in the mid-1960s. The Supreme Court in Green and Swann paid little heed to the value of local autonomy over school districts. (220) Although language in both opinions stressed the need for local control over schools and allowed defendants primary responsibility over the school desegregation remedy, local control was of nominal effect. (221) In both opinions, the Court second guessed the educators' decisions about how to best fulfill the requirements of Brown I and approved court-crafted remedies. (222) In Green, the Court had good reason to suspect that the defendants' remedy of a freedom-of-choice plan was intended to perpetuate segregation, although the plan allowed limited integration. (223) The Court took the opportunity to offer, for the first time, an expansive definition of Brown I, focusing on integration as the expected goal. (224) The Court began, in other words, to enter the schoolhouse to require wholesale integration. Swann limited the defendants' role even more than Green. (225) In Swann, the defendant school district had offered a relatively strong school desegregation remedial plan, but the Supreme Court paid little attention to that plan, instead focusing on, and affirming, the district court's order of widespread busing. (226) The Supreme Court gave little attention to the school district's preferences about how to desegregate. In </w:t>
      </w:r>
      <w:r w:rsidRPr="00AA0D15">
        <w:rPr>
          <w:rStyle w:val="StyleUnderline"/>
        </w:rPr>
        <w:t xml:space="preserve">both Green and Swann, the Court </w:t>
      </w:r>
      <w:r w:rsidRPr="00AA0D15">
        <w:rPr>
          <w:rStyle w:val="Emphasis"/>
        </w:rPr>
        <w:t>defined expansively what it meant to desegregate</w:t>
      </w:r>
      <w:r w:rsidRPr="00AA0D15">
        <w:rPr>
          <w:rStyle w:val="StyleUnderline"/>
        </w:rPr>
        <w:t xml:space="preserve">, </w:t>
      </w:r>
      <w:r w:rsidRPr="00AA0D15">
        <w:rPr>
          <w:sz w:val="12"/>
        </w:rPr>
        <w:t>at the expense of altering the role of the defendants as articulated in Brown II.</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AT enforcement deficit</w:t>
      </w:r>
    </w:p>
    <w:p w:rsidR="00C47278" w:rsidRPr="00AA0D15" w:rsidRDefault="00C47278" w:rsidP="00C47278">
      <w:pPr>
        <w:pStyle w:val="Heading4"/>
        <w:rPr>
          <w:rFonts w:cs="Times New Roman"/>
        </w:rPr>
      </w:pPr>
      <w:r w:rsidRPr="00AA0D15">
        <w:rPr>
          <w:rFonts w:cs="Times New Roman"/>
        </w:rPr>
        <w:t xml:space="preserve">Federal enforcement is a joke – durable fiat doesn’t solve because even when the DOJ is </w:t>
      </w:r>
      <w:r w:rsidRPr="00AA0D15">
        <w:rPr>
          <w:rFonts w:cs="Times New Roman"/>
          <w:u w:val="single"/>
        </w:rPr>
        <w:t>instructed</w:t>
      </w:r>
      <w:r w:rsidRPr="00AA0D15">
        <w:rPr>
          <w:rFonts w:cs="Times New Roman"/>
        </w:rPr>
        <w:t xml:space="preserve"> to enforce an order lack of will, monitoring, distribution of knowledge, and local apathy all thump </w:t>
      </w:r>
    </w:p>
    <w:p w:rsidR="00C47278" w:rsidRPr="00AA0D15" w:rsidRDefault="00C47278" w:rsidP="00C47278">
      <w:pPr>
        <w:rPr>
          <w:rStyle w:val="Style13ptBold"/>
          <w:b w:val="0"/>
        </w:rPr>
      </w:pPr>
      <w:r w:rsidRPr="00AA0D15">
        <w:rPr>
          <w:rStyle w:val="Style13ptBold"/>
        </w:rPr>
        <w:t xml:space="preserve">Hannah-Jones 14 </w:t>
      </w:r>
      <w:r w:rsidRPr="00AA0D15">
        <w:rPr>
          <w:rStyle w:val="Style13ptBold"/>
          <w:b w:val="0"/>
        </w:rPr>
        <w:t>– Nikole, American investigative journalist known for her coverage of civil rights in the United States, “School Districts Still Face Fights—and Confusion—on Integration,” The Atlantic, 5/2/14, https://www.theatlantic.com/education/archive/2014/05/lack-of-order-the-erosion-of-a-once-great-force-for-integration/361563/</w:t>
      </w:r>
    </w:p>
    <w:p w:rsidR="00C47278" w:rsidRPr="00AA0D15" w:rsidRDefault="00C47278" w:rsidP="00C47278">
      <w:pPr>
        <w:rPr>
          <w:rStyle w:val="Emphasis"/>
          <w:sz w:val="26"/>
          <w:szCs w:val="26"/>
        </w:rPr>
      </w:pPr>
      <w:r w:rsidRPr="00AA0D15">
        <w:rPr>
          <w:rStyle w:val="StyleUnderline"/>
        </w:rPr>
        <w:t>For decades, federal desegregation orders were a potent force against Jim Crow laws in</w:t>
      </w:r>
      <w:r w:rsidRPr="00AA0D15">
        <w:rPr>
          <w:sz w:val="12"/>
        </w:rPr>
        <w:t xml:space="preserve"> the South, helping to make the region's </w:t>
      </w:r>
      <w:r w:rsidRPr="00AA0D15">
        <w:rPr>
          <w:rStyle w:val="StyleUnderline"/>
        </w:rPr>
        <w:t>education</w:t>
      </w:r>
      <w:r w:rsidRPr="00AA0D15">
        <w:rPr>
          <w:sz w:val="12"/>
        </w:rPr>
        <w:t xml:space="preserve">al systems the most integrated in the country. </w:t>
      </w:r>
      <w:r w:rsidRPr="00AA0D15">
        <w:rPr>
          <w:rStyle w:val="StyleUnderline"/>
        </w:rPr>
        <w:t>Federal judges</w:t>
      </w:r>
      <w:r w:rsidRPr="00AA0D15">
        <w:rPr>
          <w:sz w:val="12"/>
        </w:rPr>
        <w:t xml:space="preserve">, often facing death threats and violence, </w:t>
      </w:r>
      <w:r w:rsidRPr="00AA0D15">
        <w:rPr>
          <w:rStyle w:val="StyleUnderline"/>
        </w:rPr>
        <w:t>issued hundreds of court orders</w:t>
      </w:r>
      <w:r w:rsidRPr="00AA0D15">
        <w:rPr>
          <w:sz w:val="12"/>
        </w:rPr>
        <w:t xml:space="preserve"> that set out specific plans and timetables </w:t>
      </w:r>
      <w:r w:rsidRPr="00AA0D15">
        <w:rPr>
          <w:rStyle w:val="StyleUnderline"/>
        </w:rPr>
        <w:t>to ensure</w:t>
      </w:r>
      <w:r w:rsidRPr="00AA0D15">
        <w:rPr>
          <w:sz w:val="12"/>
        </w:rPr>
        <w:t xml:space="preserve"> </w:t>
      </w:r>
      <w:r w:rsidRPr="00AA0D15">
        <w:rPr>
          <w:rStyle w:val="StyleUnderline"/>
        </w:rPr>
        <w:t>the elimination of</w:t>
      </w:r>
      <w:r w:rsidRPr="00AA0D15">
        <w:rPr>
          <w:sz w:val="12"/>
        </w:rPr>
        <w:t xml:space="preserve"> racial </w:t>
      </w:r>
      <w:r w:rsidRPr="00AA0D15">
        <w:rPr>
          <w:rStyle w:val="StyleUnderline"/>
        </w:rPr>
        <w:t>segregation</w:t>
      </w:r>
      <w:r w:rsidRPr="00AA0D15">
        <w:rPr>
          <w:sz w:val="12"/>
        </w:rPr>
        <w:t xml:space="preserve">. </w:t>
      </w:r>
      <w:r w:rsidRPr="00AA0D15">
        <w:rPr>
          <w:rStyle w:val="StyleUnderline"/>
        </w:rPr>
        <w:t>Federal</w:t>
      </w:r>
      <w:r w:rsidRPr="00AA0D15">
        <w:rPr>
          <w:sz w:val="12"/>
        </w:rPr>
        <w:t xml:space="preserve"> </w:t>
      </w:r>
      <w:r w:rsidRPr="00AA0D15">
        <w:rPr>
          <w:rStyle w:val="StyleUnderline"/>
        </w:rPr>
        <w:t>agencies</w:t>
      </w:r>
      <w:r w:rsidRPr="00AA0D15">
        <w:rPr>
          <w:sz w:val="12"/>
        </w:rPr>
        <w:t xml:space="preserve"> then </w:t>
      </w:r>
      <w:r w:rsidRPr="00AA0D15">
        <w:rPr>
          <w:rStyle w:val="StyleUnderline"/>
        </w:rPr>
        <w:t>aggressively used the authority of the courts to monitor hostile school systems</w:t>
      </w:r>
      <w:r w:rsidRPr="00AA0D15">
        <w:rPr>
          <w:sz w:val="12"/>
        </w:rPr>
        <w:t xml:space="preserve">, wielding the power of the 1964 Civil Rights Act to deny federal dollars to districts that refused to desegregate. The pace of the change wrought by the federal courts was breathtaking. In 1963, about 1 percent of black children in the South attended school with white children. By the early 1970s, the South had been remade—fully 90 percent of black children attended desegregated schools. Court orders proved most successful in the South, but were also used in an attempt to combat de facto segregation in schools across the country, from New York to Michigan to Arizona. </w:t>
      </w:r>
      <w:r w:rsidRPr="00AA0D15">
        <w:rPr>
          <w:rStyle w:val="StyleUnderline"/>
        </w:rPr>
        <w:t>Today</w:t>
      </w:r>
      <w:r w:rsidRPr="00AA0D15">
        <w:rPr>
          <w:sz w:val="12"/>
        </w:rPr>
        <w:t xml:space="preserve">, </w:t>
      </w:r>
      <w:r w:rsidRPr="00AA0D15">
        <w:rPr>
          <w:rStyle w:val="Emphasis"/>
        </w:rPr>
        <w:t>this once-powerful force is in considerable disarray</w:t>
      </w:r>
      <w:r w:rsidRPr="00AA0D15">
        <w:rPr>
          <w:sz w:val="12"/>
        </w:rPr>
        <w:t xml:space="preserve">. A ProPublica examination shows that officials in scores of </w:t>
      </w:r>
      <w:r w:rsidRPr="00AA0D15">
        <w:rPr>
          <w:rStyle w:val="StyleUnderline"/>
        </w:rPr>
        <w:t>school districts do not know the</w:t>
      </w:r>
      <w:r w:rsidRPr="00AA0D15">
        <w:rPr>
          <w:sz w:val="12"/>
        </w:rPr>
        <w:t xml:space="preserve"> </w:t>
      </w:r>
      <w:r w:rsidRPr="00AA0D15">
        <w:rPr>
          <w:rStyle w:val="StyleUnderline"/>
        </w:rPr>
        <w:t xml:space="preserve">status of their desegregation orders, </w:t>
      </w:r>
      <w:r w:rsidRPr="00AA0D15">
        <w:rPr>
          <w:rStyle w:val="Emphasis"/>
        </w:rPr>
        <w:t>have never read them</w:t>
      </w:r>
      <w:r w:rsidRPr="00AA0D15">
        <w:rPr>
          <w:sz w:val="12"/>
        </w:rPr>
        <w:t xml:space="preserve">, </w:t>
      </w:r>
      <w:r w:rsidRPr="00AA0D15">
        <w:rPr>
          <w:rStyle w:val="StyleUnderline"/>
        </w:rPr>
        <w:t>or</w:t>
      </w:r>
      <w:r w:rsidRPr="00AA0D15">
        <w:rPr>
          <w:sz w:val="12"/>
        </w:rPr>
        <w:t xml:space="preserve"> </w:t>
      </w:r>
      <w:r w:rsidRPr="00AA0D15">
        <w:rPr>
          <w:rStyle w:val="Emphasis"/>
        </w:rPr>
        <w:t>erroneously believe that orders have been ended</w:t>
      </w:r>
      <w:r w:rsidRPr="00AA0D15">
        <w:rPr>
          <w:sz w:val="12"/>
        </w:rPr>
        <w:t xml:space="preserve">. In many cases, </w:t>
      </w:r>
      <w:r w:rsidRPr="00AA0D15">
        <w:rPr>
          <w:rStyle w:val="Emphasis"/>
        </w:rPr>
        <w:t>orders have gone unmonitored</w:t>
      </w:r>
      <w:r w:rsidRPr="00AA0D15">
        <w:rPr>
          <w:sz w:val="12"/>
        </w:rPr>
        <w:t xml:space="preserve">, </w:t>
      </w:r>
      <w:r w:rsidRPr="00AA0D15">
        <w:rPr>
          <w:rStyle w:val="StyleUnderline"/>
        </w:rPr>
        <w:t xml:space="preserve">sometimes for decades, </w:t>
      </w:r>
      <w:r w:rsidRPr="00AA0D15">
        <w:rPr>
          <w:rStyle w:val="Emphasis"/>
          <w:sz w:val="26"/>
          <w:szCs w:val="26"/>
        </w:rPr>
        <w:t xml:space="preserve">by the federal agencies </w:t>
      </w:r>
      <w:r w:rsidRPr="00AA0D15">
        <w:rPr>
          <w:rStyle w:val="Emphasis"/>
          <w:sz w:val="30"/>
          <w:szCs w:val="30"/>
        </w:rPr>
        <w:t>charged with enforcing them.</w:t>
      </w:r>
      <w:r w:rsidRPr="00AA0D15">
        <w:rPr>
          <w:rStyle w:val="Emphasis"/>
          <w:sz w:val="26"/>
          <w:szCs w:val="26"/>
        </w:rPr>
        <w:t xml:space="preserve"> </w:t>
      </w:r>
      <w:r w:rsidRPr="00AA0D15">
        <w:rPr>
          <w:sz w:val="12"/>
        </w:rPr>
        <w:t xml:space="preserve">At the height of the country's integration efforts, there were some 750 school districts across the country known to be under desegregation orders. Today, court orders remain active in more than 300 districts. In some cases, that's because judges have determined that schools have not met their mandate to eliminate segregation. But </w:t>
      </w:r>
      <w:r w:rsidRPr="00AA0D15">
        <w:rPr>
          <w:rStyle w:val="StyleUnderline"/>
        </w:rPr>
        <w:t>some federal courts don't even know how many desegregation orders still exist on their dockets.</w:t>
      </w:r>
      <w:r w:rsidRPr="00AA0D15">
        <w:rPr>
          <w:sz w:val="12"/>
        </w:rPr>
        <w:t xml:space="preserve"> With increasing frequency, </w:t>
      </w:r>
      <w:r w:rsidRPr="00AA0D15">
        <w:rPr>
          <w:rStyle w:val="StyleUnderline"/>
        </w:rPr>
        <w:t xml:space="preserve">federal judges are </w:t>
      </w:r>
      <w:r w:rsidRPr="00AA0D15">
        <w:rPr>
          <w:rStyle w:val="Emphasis"/>
        </w:rPr>
        <w:t xml:space="preserve">releasing districts from court oversight even where segregation prevails, </w:t>
      </w:r>
      <w:r w:rsidRPr="00AA0D15">
        <w:rPr>
          <w:sz w:val="12"/>
        </w:rPr>
        <w:t xml:space="preserve">at times taking the lack of action in cases as evidence that the problems have been resolved. Desegregation orders were meant to guarantee black and Latino children the right to an equal education. They addressed a range of issues, including the diversity of teaching staff, racial balance in schools, curriculum, discipline and facilities. </w:t>
      </w:r>
      <w:r w:rsidRPr="00AA0D15">
        <w:rPr>
          <w:rStyle w:val="StyleUnderline"/>
        </w:rPr>
        <w:t xml:space="preserve">The orders </w:t>
      </w:r>
      <w:r w:rsidRPr="00AA0D15">
        <w:rPr>
          <w:rStyle w:val="Emphasis"/>
        </w:rPr>
        <w:t>uniquely empower parents to fight actions by school districts that might lead to greater segregation or inequality</w:t>
      </w:r>
      <w:r w:rsidRPr="00AA0D15">
        <w:rPr>
          <w:rStyle w:val="StyleUnderline"/>
        </w:rPr>
        <w:t xml:space="preserve">. </w:t>
      </w:r>
      <w:r w:rsidRPr="00AA0D15">
        <w:rPr>
          <w:sz w:val="12"/>
        </w:rPr>
        <w:t xml:space="preserve">In districts under court order — having been found in violation of the constitutional rights of black children — parents do not have to prove intent, only that black students could be harmed. Since the 1990s, </w:t>
      </w:r>
      <w:r w:rsidRPr="00AA0D15">
        <w:rPr>
          <w:rStyle w:val="StyleUnderline"/>
        </w:rPr>
        <w:t xml:space="preserve">the Supreme Court has </w:t>
      </w:r>
      <w:r w:rsidRPr="00AA0D15">
        <w:rPr>
          <w:rStyle w:val="Emphasis"/>
        </w:rPr>
        <w:t>sharply curtailed the power of parents to challenge racial inequities in schools</w:t>
      </w:r>
      <w:r w:rsidRPr="00AA0D15">
        <w:rPr>
          <w:sz w:val="12"/>
        </w:rPr>
        <w:t xml:space="preserve">. Districts not under court orders are largely prohibited from considering race to balance schools. And </w:t>
      </w:r>
      <w:r w:rsidRPr="00AA0D15">
        <w:rPr>
          <w:rStyle w:val="StyleUnderline"/>
        </w:rPr>
        <w:t>parents</w:t>
      </w:r>
      <w:r w:rsidRPr="00AA0D15">
        <w:rPr>
          <w:sz w:val="12"/>
        </w:rPr>
        <w:t xml:space="preserve"> in these districts </w:t>
      </w:r>
      <w:r w:rsidRPr="00AA0D15">
        <w:rPr>
          <w:rStyle w:val="StyleUnderline"/>
        </w:rPr>
        <w:t xml:space="preserve">must show that school officials are </w:t>
      </w:r>
      <w:r w:rsidRPr="00AA0D15">
        <w:rPr>
          <w:rStyle w:val="Emphasis"/>
        </w:rPr>
        <w:t>intentionally discriminating</w:t>
      </w:r>
      <w:r w:rsidRPr="00AA0D15">
        <w:rPr>
          <w:rStyle w:val="StyleUnderline"/>
        </w:rPr>
        <w:t xml:space="preserve"> when they make decisions that adversely affect black and Latino students. </w:t>
      </w:r>
      <w:r w:rsidRPr="00AA0D15">
        <w:rPr>
          <w:sz w:val="12"/>
        </w:rPr>
        <w:t xml:space="preserve">And so, as </w:t>
      </w:r>
      <w:r w:rsidRPr="00AA0D15">
        <w:rPr>
          <w:rStyle w:val="StyleUnderline"/>
        </w:rPr>
        <w:t xml:space="preserve">desegregation orders are </w:t>
      </w:r>
      <w:r w:rsidRPr="00AA0D15">
        <w:rPr>
          <w:rStyle w:val="Emphasis"/>
        </w:rPr>
        <w:t>ignored</w:t>
      </w:r>
      <w:r w:rsidRPr="00AA0D15">
        <w:rPr>
          <w:rStyle w:val="StyleUnderline"/>
        </w:rPr>
        <w:t xml:space="preserve">, </w:t>
      </w:r>
      <w:r w:rsidRPr="00AA0D15">
        <w:rPr>
          <w:rStyle w:val="Emphasis"/>
        </w:rPr>
        <w:t>forgotten</w:t>
      </w:r>
      <w:r w:rsidRPr="00AA0D15">
        <w:rPr>
          <w:rStyle w:val="StyleUnderline"/>
        </w:rPr>
        <w:t xml:space="preserve">, or </w:t>
      </w:r>
      <w:r w:rsidRPr="00AA0D15">
        <w:rPr>
          <w:rStyle w:val="Emphasis"/>
        </w:rPr>
        <w:t>lifted</w:t>
      </w:r>
      <w:r w:rsidRPr="00AA0D15">
        <w:rPr>
          <w:rStyle w:val="StyleUnderline"/>
        </w:rPr>
        <w:t>, black parents are losing the ability to effectively challenge school inequality</w:t>
      </w:r>
      <w:r w:rsidRPr="00AA0D15">
        <w:rPr>
          <w:sz w:val="12"/>
        </w:rPr>
        <w:t xml:space="preserve">. Over the course of months, ProPublica has compiled the nation's most comprehensive and accurate data on active desegregation orders. We used legal databases and academic studies and contacted more than 160 school districts across the country. This effort uncovered confusion, neglect and inaction. For example, the lawyer for the school district in Hollandale, Mississippi, said he didn't know if the desegregation order that had long ago been imposed on the district was still in effect. "I haven't looked at anything or researched it. I've never read the order," the lawyer, Bennie Richard, said. The order is, in fact, in place, but it has been 30 years since the school district submitted the required reports detailing its efforts at furthering integration. In Washington, Georgia, court records show the school system remains under a federal mandate to desegregate. This was news to the district's lawyer, who, in an interview, told ProPublica the order had been lifted in 2000. The U.S. Justice Department provided ProPublica with its list of active desegregation orders, but even this data was a bit off: At least two orders on it had ended and a few more are in dispute. The department would not allow its officials to be interviewed for this article. And it refused to respond to a dozen written questions concerning how it monitors, enforces, and litigates desegregation cases. A department spokeswoman sent a one-paragraph response that said the department will "continue to use all tools available to ensure equal educational opportunities for all students." </w:t>
      </w:r>
      <w:r w:rsidRPr="00AA0D15">
        <w:rPr>
          <w:rStyle w:val="StyleUnderline"/>
        </w:rPr>
        <w:t xml:space="preserve">The U.S. Department of Education, whose Office of Civil Rights also is charged with monitoring desegregation efforts, </w:t>
      </w:r>
      <w:r w:rsidRPr="00AA0D15">
        <w:rPr>
          <w:rStyle w:val="Emphasis"/>
        </w:rPr>
        <w:t>would not allow its officials to be interviewed</w:t>
      </w:r>
      <w:r w:rsidRPr="00AA0D15">
        <w:rPr>
          <w:rStyle w:val="StyleUnderline"/>
        </w:rPr>
        <w:t xml:space="preserve">. The agency </w:t>
      </w:r>
      <w:r w:rsidRPr="00AA0D15">
        <w:rPr>
          <w:sz w:val="12"/>
        </w:rPr>
        <w:t xml:space="preserve">initially </w:t>
      </w:r>
      <w:r w:rsidRPr="00AA0D15">
        <w:rPr>
          <w:rStyle w:val="Emphasis"/>
        </w:rPr>
        <w:t>refused to provide a list of desegregation plans that it oversees</w:t>
      </w:r>
      <w:r w:rsidRPr="00AA0D15">
        <w:rPr>
          <w:sz w:val="12"/>
        </w:rPr>
        <w:t xml:space="preserve">, saying in an email that "students and communities feel sensitivity" about being categorized by race and by the fact that their schools remain "subject to ongoing legal oversight regarding desegregation obligations." A few days later, after ProPublica said it would push for the information, the press secretary for Education Secretary Arne Duncan said the agency could provide a list, but required time because officials needed to "do some final checks on our end to be sure everything is correct." Two weeks later, ProPublica has not yet received the list. Wendy Parker, a former Justice Department lawyer who now teaches at Wake Forest University School of Law, said she found </w:t>
      </w:r>
      <w:r w:rsidRPr="00AA0D15">
        <w:rPr>
          <w:rStyle w:val="StyleUnderline"/>
        </w:rPr>
        <w:t>the general confusion about the orders "</w:t>
      </w:r>
      <w:r w:rsidRPr="00AA0D15">
        <w:rPr>
          <w:rStyle w:val="Emphasis"/>
        </w:rPr>
        <w:t>stunning</w:t>
      </w:r>
      <w:r w:rsidRPr="00AA0D15">
        <w:rPr>
          <w:sz w:val="12"/>
        </w:rPr>
        <w:t xml:space="preserve">." </w:t>
      </w:r>
      <w:r w:rsidRPr="00AA0D15">
        <w:rPr>
          <w:rStyle w:val="StyleUnderline"/>
        </w:rPr>
        <w:t>The superintendent of the Yancey County Schools in North Carolina,</w:t>
      </w:r>
      <w:r w:rsidRPr="00AA0D15">
        <w:rPr>
          <w:sz w:val="12"/>
        </w:rPr>
        <w:t xml:space="preserve"> for instance, </w:t>
      </w:r>
      <w:r w:rsidRPr="00AA0D15">
        <w:rPr>
          <w:rStyle w:val="StyleUnderline"/>
        </w:rPr>
        <w:t>asserted</w:t>
      </w:r>
      <w:r w:rsidRPr="00AA0D15">
        <w:rPr>
          <w:sz w:val="12"/>
        </w:rPr>
        <w:t xml:space="preserve"> that a </w:t>
      </w:r>
      <w:r w:rsidRPr="00AA0D15">
        <w:rPr>
          <w:rStyle w:val="StyleUnderline"/>
        </w:rPr>
        <w:t>court order had never been imposed on its schools. But court records at the federal archives in Atlanta show</w:t>
      </w:r>
      <w:r w:rsidRPr="00AA0D15">
        <w:rPr>
          <w:sz w:val="12"/>
        </w:rPr>
        <w:t xml:space="preserve"> not only was Yancey County placed under a desegregation order in 1960, but </w:t>
      </w:r>
      <w:r w:rsidRPr="00AA0D15">
        <w:rPr>
          <w:rStyle w:val="Emphasis"/>
        </w:rPr>
        <w:t>the order remains in force.</w:t>
      </w:r>
      <w:r w:rsidRPr="00AA0D15">
        <w:rPr>
          <w:sz w:val="12"/>
        </w:rPr>
        <w:t xml:space="preserve"> In response to additional questioning, the district's lawyer, Donny Laws, said the district was placed under court order but that, "I can safely tell you that's the first time it's been mentioned in Yancey County in 45 to 50 years." </w:t>
      </w:r>
      <w:r w:rsidRPr="00AA0D15">
        <w:rPr>
          <w:rStyle w:val="StyleUnderline"/>
        </w:rPr>
        <w:t>Some school officials</w:t>
      </w:r>
      <w:r w:rsidRPr="00AA0D15">
        <w:rPr>
          <w:sz w:val="12"/>
        </w:rPr>
        <w:t xml:space="preserve"> interviewed by ProPublica </w:t>
      </w:r>
      <w:r w:rsidRPr="00AA0D15">
        <w:rPr>
          <w:rStyle w:val="StyleUnderline"/>
        </w:rPr>
        <w:t xml:space="preserve">said they had been frustrated in their attempts to </w:t>
      </w:r>
      <w:r w:rsidRPr="00AA0D15">
        <w:rPr>
          <w:rStyle w:val="Emphasis"/>
        </w:rPr>
        <w:t>simply determine the status of any ongoing federal oversight</w:t>
      </w:r>
      <w:r w:rsidRPr="00AA0D15">
        <w:rPr>
          <w:sz w:val="12"/>
        </w:rPr>
        <w:t xml:space="preserve">. A school board lawyer for Warren County, North Carolina, said he contacted the federal courthouse in Raleigh to see whether that district's court order had ended, but said court officials told him the records had been shipped to the federal archives, and thus they couldn't give him an answer. The lawyer asked ProPublica to send him the court records if we found them. We did find the archived case docket for Warren County and it appears the order remains active. But confirming the status of desegregation orders is not easily done. The bulk of orders predate the Internet, so many can't be found online. Across the country, original court orders and their underlying records have been destroyed by fire, shipped to a central archive center, or lost in the dusty parchment graveyards of courthouse basements. Some orders have lain dormant for so long that everyone involved, including judges and lawyers, are either retired or dead. </w:t>
      </w:r>
      <w:r w:rsidRPr="00AA0D15">
        <w:rPr>
          <w:rStyle w:val="StyleUnderline"/>
        </w:rPr>
        <w:t>The federal government</w:t>
      </w:r>
      <w:r w:rsidRPr="00AA0D15">
        <w:rPr>
          <w:sz w:val="12"/>
        </w:rPr>
        <w:t xml:space="preserve"> was not a party to all of these cases, many of which originated with civil rights organizations. In some instances, these </w:t>
      </w:r>
      <w:r w:rsidRPr="00AA0D15">
        <w:rPr>
          <w:rStyle w:val="StyleUnderline"/>
        </w:rPr>
        <w:t>agencies</w:t>
      </w:r>
      <w:r w:rsidRPr="00AA0D15">
        <w:rPr>
          <w:sz w:val="12"/>
        </w:rPr>
        <w:t xml:space="preserve">, too, </w:t>
      </w:r>
      <w:r w:rsidRPr="00AA0D15">
        <w:rPr>
          <w:rStyle w:val="Emphasis"/>
        </w:rPr>
        <w:t xml:space="preserve">have not closely monitored districts' progress. </w:t>
      </w:r>
      <w:r w:rsidRPr="00AA0D15">
        <w:rPr>
          <w:sz w:val="12"/>
        </w:rPr>
        <w:t>The desegregation order for St. Martin Parish in Louisiana sat idle for more than 30 years. In 2010, a federal judge who was cleaning up his roster of old desegregation cases determined the order had ended in 1976. But the judge soon heard from the Justice Department, which insisted that the order was operative and necessary. The St. Martin Parish school board disagreed. "The Clerk of Court in Shreveport couldn't even find all of the records," said Jack Burson, the board's attorney. "I've been in law practice for 49 years, and I've never seen a silent case sort of resurrect." For now, the order remains active. The parties are waiting for an appellate-court ruling. Brian K. Landsberg, a law professor at The University of the Pacific, who worked as a Justice Department civil rights lawyer in the late '60s, said he was dismayed by the lack of action. "This is not the way it's supposed to work," Landsberg said. "It is the job of both the school district and the civil rights division to monitor these cases. There is an obligation of the law enforcement agencies to enforce these orders." *** Fred Gray was once a driving force behind the effective use of federal desegregation orders. Sitting in his Tuskegee, Alabama, law office—located along the dilapidated downtown circle that bears his name—Gray, 83, recently explained how as a child he had made a secret vow to become a lawyer and to then "destroy everything segregated" in his state. At the time, no Alabama law school admitted black students, so Gray headed north to Ohio to earn his degree. Then, in 1955, at age 24, he took his first case, that of a teenager named Claudette Colvin who had challenged Alabama's segregated buses months before Rosa Parks. Gray went on to represent Parks, as well as Dr. Martin Luther King, Jr., and helped to banish segregation on buses and to ensure voting and other rights for black Americans. But the fight for fair and integrated schools proved longer and harder, much to the consternation of black parents eager for their children to realize the promise of the landmark Brown v. Board of Education case in which the Supreme Court struck down the doctrine of separate but equal schools. By 1963, for example, Alabama schools remained utterly segregated. That year, Gray sued the Macon County Board of Education. The case wound up before U.S. District Court Judge Frank Minis Johnson, Jr. His rulings in favor of civil rights had led to death threats, cross burnings on his lawn, and the firebombing of his mother's home. Not surprisingly, Johnson ordered Macon County schools to desegregate. Ultimately, Johnson served on a three-judge panel that granted Gray's subsequent petition to place the entire state of Alabama under federal order to desegregate its schools and universities. The orders had real muscle, for the federal government had recently been authorized to withhold money from school districts that resisted integration. "</w:t>
      </w:r>
      <w:r w:rsidRPr="00AA0D15">
        <w:rPr>
          <w:rStyle w:val="Emphasis"/>
        </w:rPr>
        <w:t>After the Civil Rights Act</w:t>
      </w:r>
      <w:r w:rsidRPr="00AA0D15">
        <w:rPr>
          <w:rStyle w:val="StyleUnderline"/>
        </w:rPr>
        <w:t>, if you didn't comply you would actually lose aid and still be sued by the Department of Justice,</w:t>
      </w:r>
      <w:r w:rsidRPr="00AA0D15">
        <w:rPr>
          <w:sz w:val="12"/>
        </w:rPr>
        <w:t>" said Gary Orfield, co-director of The Civil Rights Project at UCLA. "</w:t>
      </w:r>
      <w:r w:rsidRPr="00AA0D15">
        <w:rPr>
          <w:rStyle w:val="Emphasis"/>
        </w:rPr>
        <w:t>And the Department of Justice never lost</w:t>
      </w:r>
      <w:r w:rsidRPr="00AA0D15">
        <w:rPr>
          <w:rStyle w:val="StyleUnderline"/>
        </w:rPr>
        <w:t>.</w:t>
      </w:r>
      <w:r w:rsidRPr="00AA0D15">
        <w:rPr>
          <w:sz w:val="12"/>
        </w:rPr>
        <w:t>" At the time, no one knew how long the orders would or should last, but it was clear from the outset that their potential to bring about change was entirely contingent on the willingness of officials to enforce them. B</w:t>
      </w:r>
      <w:r w:rsidRPr="00AA0D15">
        <w:rPr>
          <w:rStyle w:val="StyleUnderline"/>
        </w:rPr>
        <w:t xml:space="preserve">y the 1980s, the will to do this was </w:t>
      </w:r>
      <w:r w:rsidRPr="00AA0D15">
        <w:rPr>
          <w:rStyle w:val="Emphasis"/>
        </w:rPr>
        <w:t>buckling</w:t>
      </w:r>
      <w:r w:rsidRPr="00AA0D15">
        <w:rPr>
          <w:sz w:val="12"/>
        </w:rPr>
        <w:t xml:space="preserve"> </w:t>
      </w:r>
      <w:r w:rsidRPr="00AA0D15">
        <w:rPr>
          <w:rStyle w:val="StyleUnderline"/>
        </w:rPr>
        <w:t>under</w:t>
      </w:r>
      <w:r w:rsidRPr="00AA0D15">
        <w:rPr>
          <w:sz w:val="12"/>
        </w:rPr>
        <w:t xml:space="preserve"> what some civil-rights experts call </w:t>
      </w:r>
      <w:r w:rsidRPr="00AA0D15">
        <w:rPr>
          <w:rStyle w:val="Emphasis"/>
          <w:sz w:val="26"/>
          <w:szCs w:val="26"/>
        </w:rPr>
        <w:t>integration fatigue</w:t>
      </w:r>
      <w:r w:rsidRPr="00AA0D15">
        <w:rPr>
          <w:sz w:val="12"/>
        </w:rPr>
        <w:t xml:space="preserve">. President Ronald Reagan, upon taking office in 1981, immediately cut federal financial support for desegregation efforts. The head of the Justice Department's civil rights division under Reagan, William Bradford Reynolds, said the department would not "compel children who do not want to choose to have an integrated education to have one." </w:t>
      </w:r>
      <w:r w:rsidRPr="00AA0D15">
        <w:rPr>
          <w:rStyle w:val="StyleUnderline"/>
        </w:rPr>
        <w:t>Reagan's Justice Department worked to curtail and end court orders</w:t>
      </w:r>
      <w:r w:rsidRPr="00AA0D15">
        <w:rPr>
          <w:sz w:val="12"/>
        </w:rPr>
        <w:t xml:space="preserve">. The trend continued and accelerated dramatically under George W. Bush. </w:t>
      </w:r>
      <w:r w:rsidRPr="00AA0D15">
        <w:rPr>
          <w:rStyle w:val="Emphasis"/>
          <w:sz w:val="26"/>
          <w:szCs w:val="26"/>
        </w:rPr>
        <w:t>The ideological shift had implications even for those school districts that remained under order to sustain or improve their integration efforts</w:t>
      </w:r>
      <w:r w:rsidRPr="00AA0D15">
        <w:rPr>
          <w:rStyle w:val="StyleUnderline"/>
        </w:rPr>
        <w:t xml:space="preserve">. The </w:t>
      </w:r>
      <w:r w:rsidRPr="00AA0D15">
        <w:rPr>
          <w:rStyle w:val="Emphasis"/>
        </w:rPr>
        <w:t>power of orders withered</w:t>
      </w:r>
      <w:r w:rsidRPr="00AA0D15">
        <w:rPr>
          <w:rStyle w:val="StyleUnderline"/>
        </w:rPr>
        <w:t xml:space="preserve"> for </w:t>
      </w:r>
      <w:r w:rsidRPr="00AA0D15">
        <w:rPr>
          <w:rStyle w:val="Emphasis"/>
        </w:rPr>
        <w:t>lack attention</w:t>
      </w:r>
      <w:r w:rsidRPr="00AA0D15">
        <w:rPr>
          <w:rStyle w:val="StyleUnderline"/>
        </w:rPr>
        <w:t xml:space="preserve"> and regular </w:t>
      </w:r>
      <w:r w:rsidRPr="00AA0D15">
        <w:rPr>
          <w:rStyle w:val="Emphasis"/>
        </w:rPr>
        <w:t>enforcement</w:t>
      </w:r>
      <w:r w:rsidRPr="00AA0D15">
        <w:rPr>
          <w:rStyle w:val="StyleUnderline"/>
        </w:rPr>
        <w:t xml:space="preserve">. </w:t>
      </w:r>
      <w:r w:rsidRPr="00AA0D15">
        <w:rPr>
          <w:sz w:val="12"/>
        </w:rPr>
        <w:t xml:space="preserve">Wendy Parker, the former Justice Department lawyer now at Wake Forest, examined just how much of an afterthought many of the country's standing desegregation orders had become. Parker studied all the written school desegregation opinions from 1992 to 2002, figuring that such opinions would reflect meaningful activity in the cases. Though hundreds of desegregation orders remained active, Parker could find published opinions for cases in just 53 school districts. </w:t>
      </w:r>
      <w:r w:rsidRPr="00AA0D15">
        <w:rPr>
          <w:rStyle w:val="StyleUnderline"/>
        </w:rPr>
        <w:t>Federal judges once wielded the considerable power bestowed on them by the nation's highest court to oversee school desegregation</w:t>
      </w:r>
      <w:r w:rsidRPr="00AA0D15">
        <w:rPr>
          <w:sz w:val="12"/>
        </w:rPr>
        <w:t xml:space="preserve">. The high court even empowered them to write desegregation plans themselves if necessary. But Parker concluded that </w:t>
      </w:r>
      <w:r w:rsidRPr="00AA0D15">
        <w:rPr>
          <w:rStyle w:val="Emphasis"/>
          <w:sz w:val="26"/>
          <w:szCs w:val="26"/>
        </w:rPr>
        <w:t xml:space="preserve">contemporary judges have largely left school districts to police themselves. </w:t>
      </w:r>
      <w:r w:rsidRPr="00AA0D15">
        <w:rPr>
          <w:sz w:val="12"/>
        </w:rPr>
        <w:t xml:space="preserve">This was the case in Buncombe County, N.C. Even though a judge had never dismissed the local school district's 1965 desegregation order, the lawyer for the Buncombe schools essentially called the order moot this year because of "the passage of time." In emails, the lawyer, Chris Campbell, told ProPublica the district had been ordered to eliminate a policy of sending its black students to a black high school operated in another district, which it had long ago done. "There has been no further court action and no plan to take further action by the school district since the issues were resolved nearly 50 years ago," he wrote. But it's hard to know if the district has been fully compliant, as Campbell does not have a copy of the desegregation order and neither does the federal court or its archives. However, an entry on an archived copy of the case's court docket makes it appear that the district was at the very least mandated to desegregate its teaching staff as well. Campbell declined to answer questions about how he knew what was required without a copy of the order or to specifically address the teaching staff issue. In Alabama, where the entire state was once under order to desegregate schools, two federal judges in the late 1990s decided to do something about the dozens of desegregation orders that had become dormant in their part of the state. The life stories of the two judges—Myron Thompson and William Harold Albritton III, both of whom are still on the bench—could not be more different. Albritton came from three generations of lawyers and had attended all-white schools in Andalusia, Alabama. His father had strongly opposed Judge Johnson's civil rights rulings. Thompson attended all-black schools in Macon County and knew the students involved in the case that led Johnson to order the entire state desegregated. Thompson's stepfather was a field secretary for the NAACP. If the school districts under court order were totally desegregated, Albritton said in an interview in his chambers last fall, it was time to return control to the local school boards. "And if they weren't," he said, "it was time for them to get with it and get that way after 25 years." Albritton said he and Thompson split up the cases in their region, called in all the parties to determine what the remaining issues were, and then worked towards a way of solving them. Albritton said the process was hampered by the fact that many districts didn't realize they were still under court orders. But Thompson and Albritton did not simply accept claims by the school districts that they'd met their obligations. They assigned a magistrate judge to work closely with the parties to address racial disparities. Before dismissing the orders, they made sure the districts worked—often over the course of years—to address inequities across a range of issues, including the disproportionate placement of black children in special education. "I wanted to look at the statistics, I wanted to look at discipline, I wanted to look at all these factors," said Thompson. "I was calling status conferences every three to four months, and I would have them file status reports and we would talk." "I was unwilling to just sign off on them," he said. Still, Thompson often wonders how much of an impact his hands-on approach had on integration in the long run. He invoked William Faulkner and said that it was better to have tried than to have done nothing. "Faulkner said 'between grief and nothing, I'd rather have grief,''' he said. Other judges have not been nearly as rigorous in overseeing active desegregation orders. Parker found that </w:t>
      </w:r>
      <w:r w:rsidRPr="00AA0D15">
        <w:rPr>
          <w:rStyle w:val="Emphasis"/>
          <w:sz w:val="30"/>
          <w:szCs w:val="30"/>
        </w:rPr>
        <w:t>when cases come before the courts, judges almost always rule against the interests of minority students seeking greater integration.</w:t>
      </w:r>
      <w:r w:rsidRPr="00AA0D15">
        <w:rPr>
          <w:rStyle w:val="Emphasis"/>
        </w:rPr>
        <w:t xml:space="preserve"> </w:t>
      </w:r>
      <w:r w:rsidRPr="00AA0D15">
        <w:rPr>
          <w:sz w:val="12"/>
        </w:rPr>
        <w:t>In 2000, a judge released the Gadsden, Alabama, school district from its desegregation order, even though court records show the district still operated a 90-percent black high school, hadn't adopted any specific policies to address segregation, and had refused to consider removing the name of Ku Klux Klan founder Nathan Bedford Forrest from one of its schools. Among other things, the district had been ordered to develop a multicultural curriculum, hire more minority teachers, increase access to advanced courses for black students, and eliminate curriculum disparities between schools. According to court records, U.S. District Court Judge William Acker said he had considered ordering the district to do more to comply with its court order, but decided against it because it would "only invite another dispute." He said the district had "done a pretty good job of meeting the standards it agreed to." He offered that the "level of cooperation, open mindedness and acceptance" in Gadsden "beats by a mile" the situations in Northern Ireland and Kosovo. Acker did not respond to an interview request. An appellate court overturned Acker, and ultimately the district agreed to an extensive settlement agreement that led to the termination of the district's order in 2005. Rulings by lower courts with the most direct supervision of desegregation orders, Parker said, have generally been discouraging. "</w:t>
      </w:r>
      <w:r w:rsidRPr="00AA0D15">
        <w:rPr>
          <w:rStyle w:val="StyleUnderline"/>
        </w:rPr>
        <w:t>The court still requires a commitment to the elimination of vestiges of discrimination</w:t>
      </w:r>
      <w:r w:rsidRPr="00AA0D15">
        <w:rPr>
          <w:sz w:val="12"/>
        </w:rPr>
        <w:t xml:space="preserve"> that are caused by the defendant and can be practically addressed. </w:t>
      </w:r>
      <w:r w:rsidRPr="00AA0D15">
        <w:rPr>
          <w:rStyle w:val="StyleUnderline"/>
        </w:rPr>
        <w:t xml:space="preserve">Yet the district courts have </w:t>
      </w:r>
      <w:r w:rsidRPr="00AA0D15">
        <w:rPr>
          <w:rStyle w:val="Emphasis"/>
        </w:rPr>
        <w:t>ignored this responsibility</w:t>
      </w:r>
      <w:r w:rsidRPr="00AA0D15">
        <w:rPr>
          <w:sz w:val="12"/>
        </w:rPr>
        <w:t>," Parker wrote in her study. "</w:t>
      </w:r>
      <w:r w:rsidRPr="00AA0D15">
        <w:rPr>
          <w:rStyle w:val="Emphasis"/>
        </w:rPr>
        <w:t xml:space="preserve">Today courts are </w:t>
      </w:r>
      <w:r w:rsidRPr="00AA0D15">
        <w:rPr>
          <w:rStyle w:val="Emphasis"/>
          <w:sz w:val="26"/>
          <w:szCs w:val="26"/>
        </w:rPr>
        <w:t>willing to accept lingering segregation that the Supreme Court's jurisprudence prohibits."</w:t>
      </w:r>
    </w:p>
    <w:p w:rsidR="00C47278" w:rsidRPr="00AA0D15" w:rsidRDefault="00C47278" w:rsidP="00C47278">
      <w:pPr>
        <w:pStyle w:val="Heading4"/>
        <w:rPr>
          <w:rFonts w:cs="Times New Roman"/>
        </w:rPr>
      </w:pPr>
      <w:r w:rsidRPr="00AA0D15">
        <w:rPr>
          <w:rFonts w:cs="Times New Roman"/>
        </w:rPr>
        <w:t xml:space="preserve">DOJ overstretch undermines aff solvency </w:t>
      </w:r>
    </w:p>
    <w:p w:rsidR="00C47278" w:rsidRPr="00AA0D15" w:rsidRDefault="00C47278" w:rsidP="00C47278">
      <w:pPr>
        <w:rPr>
          <w:sz w:val="26"/>
        </w:rPr>
      </w:pPr>
      <w:r w:rsidRPr="00AA0D15">
        <w:rPr>
          <w:rStyle w:val="Style13ptBold"/>
        </w:rPr>
        <w:t xml:space="preserve">Reynolds et al 7 </w:t>
      </w:r>
      <w:r w:rsidRPr="00AA0D15">
        <w:rPr>
          <w:rStyle w:val="Style13ptBold"/>
          <w:b w:val="0"/>
        </w:rPr>
        <w:t>– Gerald A., American politician and lawyer, and a former chairman of the United States Commission on Civil Rights, a position to which he was appointed by President George W. Bush, Abigail Thernstrom, Jennifer C. Braceras, Gall Heriot, Peter N Kiransow, Adrian D. Melendez, Ashley L. Taylor Jr, Michael Yaki, Kenneth L. Marcus, “Becoming Less Separate? School Desegregation, Justice Department Enforcement, and the Pursuit of Unitary Status,” United States Commission on Civil Rights, September 2007//ninerz</w:t>
      </w:r>
    </w:p>
    <w:p w:rsidR="00C47278" w:rsidRPr="00AA0D15" w:rsidRDefault="00C47278" w:rsidP="00C47278">
      <w:pPr>
        <w:rPr>
          <w:rStyle w:val="Emphasis"/>
          <w:b w:val="0"/>
          <w:iCs w:val="0"/>
          <w:sz w:val="12"/>
          <w:u w:val="none"/>
        </w:rPr>
      </w:pPr>
      <w:r w:rsidRPr="00AA0D15">
        <w:rPr>
          <w:sz w:val="12"/>
        </w:rPr>
        <w:t xml:space="preserve">Structural Placement of the Educational Opportunities Section </w:t>
      </w:r>
      <w:r w:rsidRPr="00AA0D15">
        <w:rPr>
          <w:rStyle w:val="StyleUnderline"/>
        </w:rPr>
        <w:t>The Department of Justice’s Civil Rights Division (CRD</w:t>
      </w:r>
      <w:r w:rsidRPr="00AA0D15">
        <w:rPr>
          <w:sz w:val="12"/>
        </w:rPr>
        <w:t xml:space="preserve">), established in 1957,8 </w:t>
      </w:r>
      <w:r w:rsidRPr="00AA0D15">
        <w:rPr>
          <w:rStyle w:val="StyleUnderline"/>
        </w:rPr>
        <w:t xml:space="preserve">is responsible for the enforcement of federal statutes prohibiting discrimination </w:t>
      </w:r>
      <w:r w:rsidRPr="00AA0D15">
        <w:rPr>
          <w:sz w:val="12"/>
        </w:rPr>
        <w:t xml:space="preserve">on the basis of race, sex, disability, religion, and national origin. CRD’s responsibilities </w:t>
      </w:r>
      <w:r w:rsidRPr="00AA0D15">
        <w:rPr>
          <w:rStyle w:val="StyleUnderline"/>
        </w:rPr>
        <w:t>in</w:t>
      </w:r>
      <w:r w:rsidRPr="00AA0D15">
        <w:rPr>
          <w:sz w:val="12"/>
        </w:rPr>
        <w:t xml:space="preserve">clude discrimination in housing, employment, </w:t>
      </w:r>
      <w:r w:rsidRPr="00AA0D15">
        <w:rPr>
          <w:rStyle w:val="StyleUnderline"/>
        </w:rPr>
        <w:t>education</w:t>
      </w:r>
      <w:r w:rsidRPr="00AA0D15">
        <w:rPr>
          <w:sz w:val="12"/>
        </w:rPr>
        <w:t xml:space="preserve">, voting, lending, public accommodations, access to services and facilities, activities that receive federal financial assistance, and the treatment of juvenile and adult detainees and residents of private institutions.9 In 1969, the Educational Section of the CRD was formed. The Education Section “was charged with enforcing federal statutes prohibiting discrimination on the basis of race, sex, disability, religion, and national origin in public schools.”10 In 1979, the Education Section was joined with the Housing Section and merged into the General Litigation Section “in an effort to jointly combat segregation in those areas.”11 This merger only lasted until 1984, when the General Litigation Section was re-divided into the current Educational Opportunities Section (the focus of this chapter) and the Housing and Civil Enforcement Section.12 Currently, </w:t>
      </w:r>
      <w:r w:rsidRPr="00AA0D15">
        <w:rPr>
          <w:rStyle w:val="StyleUnderline"/>
        </w:rPr>
        <w:t>the Educational Opportunities Section (EOS)</w:t>
      </w:r>
      <w:r w:rsidRPr="00AA0D15">
        <w:rPr>
          <w:sz w:val="12"/>
        </w:rPr>
        <w:t xml:space="preserve"> is one of approximately 10 components within CRD.13 EOS’s section chief reports to one of three deputy assistant attorney generals, who reports to the Assistant Attorney General for CRD.14 Currently, each deputy assistant attorney general manages three or more sections. In recent years, the deputy overseeing EOS has been responsible for other sections, such as the Voting Section and the Coordination and Review Section.15 Although there is evidence that suggests that EOS was at one time structured into components such as a Compliance Monitoring Unit and a Litigation Support Unit,16 EOS is currently not divided into units.17 Budget and Staffing of the Educational Opportunities Section </w:t>
      </w:r>
      <w:r w:rsidRPr="00AA0D15">
        <w:rPr>
          <w:rStyle w:val="StyleUnderline"/>
        </w:rPr>
        <w:t xml:space="preserve">EOS’s </w:t>
      </w:r>
      <w:r w:rsidRPr="00AA0D15">
        <w:rPr>
          <w:rStyle w:val="Emphasis"/>
        </w:rPr>
        <w:t xml:space="preserve">ability to accomplish its mission </w:t>
      </w:r>
      <w:r w:rsidRPr="00AA0D15">
        <w:rPr>
          <w:rStyle w:val="StyleUnderline"/>
        </w:rPr>
        <w:t xml:space="preserve">and function is related in part to its </w:t>
      </w:r>
      <w:r w:rsidRPr="00AA0D15">
        <w:rPr>
          <w:rStyle w:val="Emphasis"/>
        </w:rPr>
        <w:t>budget</w:t>
      </w:r>
      <w:r w:rsidRPr="00AA0D15">
        <w:rPr>
          <w:rStyle w:val="StyleUnderline"/>
        </w:rPr>
        <w:t xml:space="preserve"> and </w:t>
      </w:r>
      <w:r w:rsidRPr="00AA0D15">
        <w:rPr>
          <w:rStyle w:val="Emphasis"/>
        </w:rPr>
        <w:t>staffing</w:t>
      </w:r>
      <w:r w:rsidRPr="00AA0D15">
        <w:rPr>
          <w:rStyle w:val="StyleUnderline"/>
        </w:rPr>
        <w:t xml:space="preserve"> and the </w:t>
      </w:r>
      <w:r w:rsidRPr="00AA0D15">
        <w:rPr>
          <w:rStyle w:val="Emphasis"/>
        </w:rPr>
        <w:t>scope of its responsibilities</w:t>
      </w:r>
      <w:r w:rsidRPr="00AA0D15">
        <w:rPr>
          <w:sz w:val="12"/>
        </w:rPr>
        <w:t xml:space="preserve">. Since at least 1969, CRD has had responsibility for school desegregation issues on behalf of DOJ and frequently reported planned budget amounts for its equal educational opportunities activities.18 Not until CRD established EOS in FY 1984, did budget submissions contain enacted amounts strictly designated for such functions.19 </w:t>
      </w:r>
      <w:r w:rsidRPr="00AA0D15">
        <w:rPr>
          <w:rStyle w:val="StyleUnderline"/>
        </w:rPr>
        <w:t>While CRD’s budget grew</w:t>
      </w:r>
      <w:r w:rsidRPr="00AA0D15">
        <w:rPr>
          <w:sz w:val="12"/>
        </w:rPr>
        <w:t xml:space="preserve"> during the 1990s, seemingly to accommodate the legislated expansion in mission and functions, </w:t>
      </w:r>
      <w:r w:rsidRPr="00AA0D15">
        <w:rPr>
          <w:rStyle w:val="StyleUnderline"/>
        </w:rPr>
        <w:t xml:space="preserve">EOS’s enacted funding remained </w:t>
      </w:r>
      <w:r w:rsidRPr="00AA0D15">
        <w:rPr>
          <w:sz w:val="12"/>
        </w:rPr>
        <w:t>relatively</w:t>
      </w:r>
      <w:r w:rsidRPr="00AA0D15">
        <w:rPr>
          <w:rStyle w:val="StyleUnderline"/>
        </w:rPr>
        <w:t xml:space="preserve"> level</w:t>
      </w:r>
      <w:r w:rsidRPr="00AA0D15">
        <w:rPr>
          <w:sz w:val="12"/>
        </w:rPr>
        <w:t xml:space="preserve">. Figure 3.1 shows EOS’s enacted budget and inflation adjusted trends. When established in FY 1984, EOS’s enacted budget was $1.5 million. By FY 1991, the amount increased to $2.3 million, but even with steady annual growth, it remained at or below $3.0 million in FY 1999. However, EOS’s allocation increased to $5.6 million by FY 2006, with a small reduction in FY 2005 having little effect overall. Adjusting amounts to year 2000 dollars flattens, but does not erase these evident trends. In constant 2000 dollars, EOS’s budget was $2.3 million in FY 1984, approximately $2.8 to $3.0 million (relatively constant) between FY 1991 and FY 1999, $3.6 million in FY 2000, and rose to $4.8 million in FY 2006. </w:t>
      </w:r>
      <w:r w:rsidRPr="00AA0D15">
        <w:rPr>
          <w:rStyle w:val="StyleUnderline"/>
        </w:rPr>
        <w:t xml:space="preserve">EOS’s budget is partly tied to the section’s </w:t>
      </w:r>
      <w:r w:rsidRPr="00AA0D15">
        <w:rPr>
          <w:rStyle w:val="Emphasis"/>
        </w:rPr>
        <w:t>staffing level.</w:t>
      </w:r>
      <w:r w:rsidRPr="00AA0D15">
        <w:rPr>
          <w:sz w:val="12"/>
        </w:rPr>
        <w:t xml:space="preserve"> DOJ reports </w:t>
      </w:r>
      <w:r w:rsidRPr="00AA0D15">
        <w:rPr>
          <w:rStyle w:val="StyleUnderline"/>
        </w:rPr>
        <w:t xml:space="preserve">that the number of on-board, fulltime permanent employees assigned to EOS for each of the following years are </w:t>
      </w:r>
      <w:r w:rsidRPr="00AA0D15">
        <w:rPr>
          <w:rStyle w:val="Emphasis"/>
        </w:rPr>
        <w:t>30</w:t>
      </w:r>
      <w:r w:rsidRPr="00AA0D15">
        <w:rPr>
          <w:sz w:val="12"/>
        </w:rPr>
        <w:t xml:space="preserve"> in FY 1991, 30 in FY 1992, 30 in FY 1993, 32 in FY 1994, 33 in FY 1995, 32 in FY 1996, 29 in FY 1997, 30 in FY 1998, 28 in FY 1999, 33 in FY 2000, 33 in FY 2001, 34 in FY 2002, 33 in FY 2003, 33 in FY 2004, 26 in FY 2005, and 31 in FY 2006.20 This information is found in Figure 3.2. It appears that between FY 1990 and FY 2000 nearly two-thirds of EOS’s staff members provided support, while approximately one-third were attorneys. In FY 1996 to FY 1999, the permanent positions included 19 support staff and 11 attorneys. The increase in FY 2000 provided for four additional attorneys, but only two additional full-time equivalents. The FY 2000 appropriation augmented lowlevel support staff by two to 21 positions. The FY 2001 increases raised full-time equivalents for attorneys to 14 and for support staff to 23.21 After FY 2001, it is unclear how many of EOS’s employees are attorneys and support staff.22 Broad Educational Opportunity Missions and Functions In addition to enforcing desegregation of elementary and secondary schools under Titles IV, VI, and IX of the Civil Rights Act of 1964,23 EOS also enforces: [T]he Equal Educational Opportunities Act of 1974 (EEOA), and Title III of the Americans with Disabilities Act, as well as other statutes such as … Section 504 of the Rehabilitation Act, the Individuals with Disabilities Education Act, and Title II of the Americans with Disabilities Act upon referral from other governmental agencies. The Section may intervene in private suits alleging violations of education-related anti-discrimination statutes and the Fourteenth Amendment to the Constitution. The Section also represents the Department of Education in lawsuits.24 Notably</w:t>
      </w:r>
      <w:r w:rsidRPr="00AA0D15">
        <w:rPr>
          <w:rStyle w:val="StyleUnderline"/>
        </w:rPr>
        <w:t xml:space="preserve">, </w:t>
      </w:r>
      <w:r w:rsidRPr="00AA0D15">
        <w:rPr>
          <w:rStyle w:val="Emphasis"/>
        </w:rPr>
        <w:t>EOS’s responsibilities expanded</w:t>
      </w:r>
      <w:r w:rsidRPr="00AA0D15">
        <w:rPr>
          <w:rStyle w:val="StyleUnderline"/>
        </w:rPr>
        <w:t xml:space="preserve"> when Congress passed the Americans with Disabilities Act and the Individuals with Disabilities Education Act,</w:t>
      </w:r>
      <w:r w:rsidRPr="00AA0D15">
        <w:rPr>
          <w:sz w:val="12"/>
        </w:rPr>
        <w:t xml:space="preserve"> although the additional workload was not evident in the ensuing years.25 </w:t>
      </w:r>
      <w:r w:rsidRPr="00AA0D15">
        <w:rPr>
          <w:rStyle w:val="StyleUnderline"/>
        </w:rPr>
        <w:t xml:space="preserve">Special emphases </w:t>
      </w:r>
      <w:r w:rsidRPr="00AA0D15">
        <w:rPr>
          <w:rStyle w:val="Emphasis"/>
        </w:rPr>
        <w:t>further constrain the resources generally available to EOS.</w:t>
      </w:r>
      <w:r w:rsidRPr="00AA0D15">
        <w:rPr>
          <w:sz w:val="12"/>
        </w:rPr>
        <w:t xml:space="preserve"> For example, in the early 1990s, one explicit long-term EOS goal was to protect the educational opportunities of Native Americans,26 and in this decade EOS strove to insure non-English speaking students access to effective educational experience under the Equal Educational Opportunities Act.27 Finally, </w:t>
      </w:r>
      <w:r w:rsidRPr="00AA0D15">
        <w:rPr>
          <w:rStyle w:val="StyleUnderline"/>
        </w:rPr>
        <w:t xml:space="preserve">EOS’s authority under the Civil Rights Act of 1964 extends beyond elementary and secondary school desegregation to cover segregation issues </w:t>
      </w:r>
      <w:r w:rsidRPr="00AA0D15">
        <w:rPr>
          <w:rStyle w:val="Emphasis"/>
        </w:rPr>
        <w:t>in colleges and universities.</w:t>
      </w:r>
      <w:r w:rsidRPr="00AA0D15">
        <w:rPr>
          <w:sz w:val="12"/>
        </w:rPr>
        <w:t xml:space="preserve"> During the early to mid- 1990s, </w:t>
      </w:r>
      <w:r w:rsidRPr="00AA0D15">
        <w:rPr>
          <w:rStyle w:val="Emphasis"/>
        </w:rPr>
        <w:t>DOJ devoted many of EOS’s resources to a few high profile cases concerning same-sex colleges28</w:t>
      </w:r>
      <w:r w:rsidRPr="00AA0D15">
        <w:rPr>
          <w:sz w:val="12"/>
        </w:rPr>
        <w:t xml:space="preserve"> and since 2000, EOS “worked with the states to complete the desegregation process in its four statewide higher education desegregation cases (Alabama, Louisiana, Mississippi, and Tennessee).”29 DOJ indicates that it does not categorize the percentage of resources it devotes to elementary and secondary school desegregation efforts.30 </w:t>
      </w:r>
    </w:p>
    <w:p w:rsidR="00C47278" w:rsidRPr="00AA0D15" w:rsidRDefault="00C47278" w:rsidP="00C47278">
      <w:pPr>
        <w:pStyle w:val="Heading4"/>
        <w:rPr>
          <w:rFonts w:cs="Times New Roman"/>
        </w:rPr>
      </w:pPr>
      <w:r w:rsidRPr="00AA0D15">
        <w:rPr>
          <w:rFonts w:cs="Times New Roman"/>
        </w:rPr>
        <w:t xml:space="preserve">Local control solves enforcement – increases accountability and experimentation which ensures compliance </w:t>
      </w:r>
    </w:p>
    <w:p w:rsidR="00C47278" w:rsidRPr="00AA0D15" w:rsidRDefault="00C47278" w:rsidP="00C47278">
      <w:pPr>
        <w:rPr>
          <w:bCs/>
          <w:sz w:val="26"/>
        </w:rPr>
      </w:pPr>
      <w:r w:rsidRPr="00AA0D15">
        <w:rPr>
          <w:rStyle w:val="Style13ptBold"/>
        </w:rPr>
        <w:t xml:space="preserve">Parker 4 </w:t>
      </w:r>
      <w:r w:rsidRPr="00AA0D15">
        <w:rPr>
          <w:rStyle w:val="Style13ptBold"/>
          <w:b w:val="0"/>
        </w:rPr>
        <w:t>– Wendy, James A. Webster Professor of Public Law at Wake Forest University, “Connecting the dots: Grutter, school desegregation, and federalism,” William and Mary Law Review 45.4, March 2004//ninerz</w:t>
      </w:r>
    </w:p>
    <w:p w:rsidR="00C47278" w:rsidRPr="00AA0D15" w:rsidRDefault="00C47278" w:rsidP="00C47278">
      <w:pPr>
        <w:rPr>
          <w:sz w:val="14"/>
        </w:rPr>
      </w:pPr>
      <w:r w:rsidRPr="00AA0D15">
        <w:rPr>
          <w:sz w:val="14"/>
        </w:rPr>
        <w:t xml:space="preserve">A. Local Control and Federalism This section explores the connection between local control and federalism (305)--the idea that over some matters the national government is to have control, while other areas are reserved for state and local governments. (306) For to the extent </w:t>
      </w:r>
      <w:r w:rsidRPr="00AA0D15">
        <w:rPr>
          <w:rStyle w:val="StyleUnderline"/>
        </w:rPr>
        <w:t>federalism can justify local control</w:t>
      </w:r>
      <w:r w:rsidRPr="00AA0D15">
        <w:rPr>
          <w:sz w:val="14"/>
        </w:rPr>
        <w:t xml:space="preserve">, it may also justify the very similar approach of deference. (307) To determine whether local control is based on federalism, one must start with defining federalism. The textual bases for federalism (308) provide little guidance on the actual meaning of federalism as interpreted by the courts. (309) Nor is any definition of federalism universally accepted. (310) Yet, considerable agreement on federalism's underlying values exists. (311) Academics may disagree on the connection between state and local autonomy and actualization of the values, (312) but the values underlying </w:t>
      </w:r>
      <w:r w:rsidRPr="00AA0D15">
        <w:rPr>
          <w:rStyle w:val="StyleUnderline"/>
        </w:rPr>
        <w:t>federalism</w:t>
      </w:r>
      <w:r w:rsidRPr="00AA0D15">
        <w:rPr>
          <w:sz w:val="14"/>
        </w:rPr>
        <w:t xml:space="preserve"> </w:t>
      </w:r>
      <w:r w:rsidRPr="00AA0D15">
        <w:rPr>
          <w:rStyle w:val="StyleUnderline"/>
        </w:rPr>
        <w:t xml:space="preserve">provide the basis </w:t>
      </w:r>
      <w:r w:rsidRPr="00AA0D15">
        <w:rPr>
          <w:sz w:val="14"/>
        </w:rPr>
        <w:t xml:space="preserve">of a commonly employed "functional analysis" </w:t>
      </w:r>
      <w:r w:rsidRPr="00AA0D15">
        <w:rPr>
          <w:rStyle w:val="StyleUnderline"/>
        </w:rPr>
        <w:t>to determine when it is appropriate to assign authority to the states and local governments</w:t>
      </w:r>
      <w:r w:rsidRPr="00AA0D15">
        <w:rPr>
          <w:sz w:val="14"/>
        </w:rPr>
        <w:t xml:space="preserve">. (313) Four values support the autonomy of states and localities: public participation in democracy, prevention of tyranny, promotion of experimentation, and allowance of shared communities. All apply in the education setting. Public participation in democracy is the first value for allowing state or local control over a matter. (314) Because states and localities are smaller elected bodies than national ones, individuals will have a greater voice in the decision-making process, and the smaller elected bodies will be more accountable. Another value counseling state or local authority is the diffusion of power to protect liberty. As the Supreme Court has noted, "the principal benefit of the federalist system is a check on abuses of government power." (315) </w:t>
      </w:r>
      <w:r w:rsidRPr="00AA0D15">
        <w:rPr>
          <w:rStyle w:val="StyleUnderline"/>
        </w:rPr>
        <w:t>The conception of states and localities as laboratories for experimentation is</w:t>
      </w:r>
      <w:r w:rsidRPr="00AA0D15">
        <w:rPr>
          <w:sz w:val="14"/>
        </w:rPr>
        <w:t xml:space="preserve"> a third </w:t>
      </w:r>
      <w:r w:rsidRPr="00AA0D15">
        <w:rPr>
          <w:rStyle w:val="StyleUnderline"/>
        </w:rPr>
        <w:t>value in evaluating state authority</w:t>
      </w:r>
      <w:r w:rsidRPr="00AA0D15">
        <w:rPr>
          <w:sz w:val="14"/>
        </w:rPr>
        <w:t xml:space="preserve">. (316) As smaller entities of government, </w:t>
      </w:r>
      <w:r w:rsidRPr="00AA0D15">
        <w:rPr>
          <w:rStyle w:val="StyleUnderline"/>
        </w:rPr>
        <w:t>states</w:t>
      </w:r>
      <w:r w:rsidRPr="00AA0D15">
        <w:rPr>
          <w:sz w:val="14"/>
        </w:rPr>
        <w:t xml:space="preserve"> and localities </w:t>
      </w:r>
      <w:r w:rsidRPr="00AA0D15">
        <w:rPr>
          <w:rStyle w:val="StyleUnderline"/>
        </w:rPr>
        <w:t xml:space="preserve">can experiment with different approaches to </w:t>
      </w:r>
      <w:r w:rsidRPr="00AA0D15">
        <w:rPr>
          <w:rStyle w:val="Emphasis"/>
        </w:rPr>
        <w:t>maximize the opportunities for success</w:t>
      </w:r>
      <w:r w:rsidRPr="00AA0D15">
        <w:rPr>
          <w:sz w:val="14"/>
        </w:rPr>
        <w:t xml:space="preserve">. Lastly, and closely related to the value of promoting states as laboratories for experimentation, is the value of creating communities of shared interests. (317) </w:t>
      </w:r>
      <w:r w:rsidRPr="00AA0D15">
        <w:rPr>
          <w:rStyle w:val="StyleUnderline"/>
        </w:rPr>
        <w:t>Allowing experimentation at the state</w:t>
      </w:r>
      <w:r w:rsidRPr="00AA0D15">
        <w:rPr>
          <w:sz w:val="14"/>
        </w:rPr>
        <w:t xml:space="preserve"> and local </w:t>
      </w:r>
      <w:r w:rsidRPr="00AA0D15">
        <w:rPr>
          <w:rStyle w:val="StyleUnderline"/>
        </w:rPr>
        <w:t xml:space="preserve">level will </w:t>
      </w:r>
      <w:r w:rsidRPr="00AA0D15">
        <w:rPr>
          <w:sz w:val="14"/>
        </w:rPr>
        <w:t xml:space="preserve">also </w:t>
      </w:r>
      <w:r w:rsidRPr="00AA0D15">
        <w:rPr>
          <w:rStyle w:val="Emphasis"/>
        </w:rPr>
        <w:t>allow cultural and local diversity</w:t>
      </w:r>
      <w:r w:rsidRPr="00AA0D15">
        <w:rPr>
          <w:sz w:val="14"/>
        </w:rPr>
        <w:t xml:space="preserve"> that can benefit any number of viewpoints. (318) Through the creation of communities of shared interests, people can choose to live in these communities. This allows maximizimation of choice and utility through competition and exit. (319) To determine whether a matter properly falls within the power of the national government, one typically determines first whether the states should have control. If that question is answered with a "no," then the matter is thought to be properly within the national power. Professor Barry Friedman, however, has properly noted that such an inquiry is only "half of the story about valuing federalism." (320) He cites four separate values for evaluating the need for national authority, all of which often arise in analyses of the values for evaluating the need for state or local authority, but only one of which is applicable to national authority over public schools. (321) That is, when uniformity is needed, national power is necessary. (322) At one level, asking whether federalism is the reason for allowing local control in school desegregation jurisprudence is troublesome. </w:t>
      </w:r>
      <w:r w:rsidRPr="00AA0D15">
        <w:rPr>
          <w:rStyle w:val="StyleUnderline"/>
        </w:rPr>
        <w:t>The Court has</w:t>
      </w:r>
      <w:r w:rsidRPr="00AA0D15">
        <w:rPr>
          <w:sz w:val="14"/>
        </w:rPr>
        <w:t xml:space="preserve">, at times, </w:t>
      </w:r>
      <w:r w:rsidRPr="00AA0D15">
        <w:rPr>
          <w:rStyle w:val="Emphasis"/>
        </w:rPr>
        <w:t>emphasized the need for local control</w:t>
      </w:r>
      <w:r w:rsidRPr="00AA0D15">
        <w:rPr>
          <w:sz w:val="14"/>
        </w:rPr>
        <w:t xml:space="preserve"> on grounds traditionally associated with federalism. (323) On another level, however, the Court could be employing federalist rhetoric to reach a desired result. In addition, guessing why the judiciary reaches a particular result surely cannot be reduced to a single concept. Yet, one cannot disconnect the idea of local control from federalism. Local control, at its core, prefers state and local authority over federal intervention; and this approach is, by definition, federalism at work. In addition, the American history of education rests on a solid foundation of "local control" of schools. (324) </w:t>
      </w:r>
      <w:r w:rsidRPr="00AA0D15">
        <w:rPr>
          <w:rStyle w:val="StyleUnderline"/>
        </w:rPr>
        <w:t>Schools are typically governed not by the national government, but by state</w:t>
      </w:r>
      <w:r w:rsidRPr="00AA0D15">
        <w:rPr>
          <w:sz w:val="14"/>
        </w:rPr>
        <w:t xml:space="preserve"> and, particularly for primary and secondary schools, local governments. (325) Granted, public schools are not operated entirely independently of the national government, but local and state governance still predominates in theory and practice. (326) Three of the four values associated with state and local authority support school desegregation's allowance of local control over the remedial process. First, the value of public participation in democracy is furthered by state and local power over desegregating schools. If the alternative is authority by non-elected, life-tenured judges, then the opportunity for participation will only exist within the confines of party participation in litigation. </w:t>
      </w:r>
      <w:r w:rsidRPr="00AA0D15">
        <w:rPr>
          <w:rStyle w:val="StyleUnderline"/>
        </w:rPr>
        <w:t xml:space="preserve">Affording authority to officials in the state and local executive and legislative branches will further democratic ideals by </w:t>
      </w:r>
      <w:r w:rsidRPr="00AA0D15">
        <w:rPr>
          <w:rStyle w:val="Emphasis"/>
        </w:rPr>
        <w:t xml:space="preserve">increasing the number of voices heard in the remedial process and by </w:t>
      </w:r>
      <w:r w:rsidRPr="00AA0D15">
        <w:rPr>
          <w:rStyle w:val="Emphasis"/>
          <w:sz w:val="26"/>
          <w:szCs w:val="26"/>
        </w:rPr>
        <w:t>holding the decision makers accountable</w:t>
      </w:r>
      <w:r w:rsidRPr="00AA0D15">
        <w:rPr>
          <w:sz w:val="14"/>
        </w:rPr>
        <w:t xml:space="preserve"> through any attending electoral process. Second, </w:t>
      </w:r>
      <w:r w:rsidRPr="00AA0D15">
        <w:rPr>
          <w:rStyle w:val="StyleUnderline"/>
        </w:rPr>
        <w:t>promoting state</w:t>
      </w:r>
      <w:r w:rsidRPr="00AA0D15">
        <w:rPr>
          <w:sz w:val="14"/>
        </w:rPr>
        <w:t xml:space="preserve"> and local officials' </w:t>
      </w:r>
      <w:r w:rsidRPr="00AA0D15">
        <w:rPr>
          <w:rStyle w:val="StyleUnderline"/>
        </w:rPr>
        <w:t xml:space="preserve">authority will </w:t>
      </w:r>
      <w:r w:rsidRPr="00AA0D15">
        <w:rPr>
          <w:rStyle w:val="Emphasis"/>
        </w:rPr>
        <w:t>decrease the chances for tyranny</w:t>
      </w:r>
      <w:r w:rsidRPr="00AA0D15">
        <w:rPr>
          <w:sz w:val="14"/>
        </w:rPr>
        <w:t xml:space="preserve"> </w:t>
      </w:r>
      <w:r w:rsidRPr="00AA0D15">
        <w:rPr>
          <w:rStyle w:val="StyleUnderline"/>
        </w:rPr>
        <w:t>because the checks on the abuses of judicial power</w:t>
      </w:r>
      <w:r w:rsidRPr="00AA0D15">
        <w:rPr>
          <w:sz w:val="14"/>
        </w:rPr>
        <w:t>--appellate review and impeachment--</w:t>
      </w:r>
      <w:r w:rsidRPr="00AA0D15">
        <w:rPr>
          <w:rStyle w:val="StyleUnderline"/>
        </w:rPr>
        <w:t>are significantly weaker than that afforded by the electoral process.</w:t>
      </w:r>
      <w:r w:rsidRPr="00AA0D15">
        <w:rPr>
          <w:sz w:val="14"/>
        </w:rPr>
        <w:t xml:space="preserve"> Third, </w:t>
      </w:r>
      <w:r w:rsidRPr="00AA0D15">
        <w:rPr>
          <w:rStyle w:val="StyleUnderline"/>
        </w:rPr>
        <w:t xml:space="preserve">local control furthers </w:t>
      </w:r>
      <w:r w:rsidRPr="00AA0D15">
        <w:rPr>
          <w:rStyle w:val="Emphasis"/>
        </w:rPr>
        <w:t>experimentation in school desegregation</w:t>
      </w:r>
      <w:r w:rsidRPr="00AA0D15">
        <w:rPr>
          <w:sz w:val="14"/>
        </w:rPr>
        <w:t xml:space="preserve"> more than exclusive judicial control. </w:t>
      </w:r>
      <w:r w:rsidRPr="00AA0D15">
        <w:rPr>
          <w:rStyle w:val="StyleUnderline"/>
        </w:rPr>
        <w:t xml:space="preserve">Given educators' </w:t>
      </w:r>
      <w:r w:rsidRPr="00AA0D15">
        <w:rPr>
          <w:rStyle w:val="Emphasis"/>
        </w:rPr>
        <w:t>superior knowledge of education</w:t>
      </w:r>
      <w:r w:rsidRPr="00AA0D15">
        <w:rPr>
          <w:sz w:val="14"/>
        </w:rPr>
        <w:t xml:space="preserve">, promoting </w:t>
      </w:r>
      <w:r w:rsidRPr="00AA0D15">
        <w:rPr>
          <w:rStyle w:val="StyleUnderline"/>
        </w:rPr>
        <w:t>local control</w:t>
      </w:r>
      <w:r w:rsidRPr="00AA0D15">
        <w:rPr>
          <w:sz w:val="14"/>
        </w:rPr>
        <w:t xml:space="preserve"> </w:t>
      </w:r>
      <w:r w:rsidRPr="00AA0D15">
        <w:rPr>
          <w:rStyle w:val="StyleUnderline"/>
        </w:rPr>
        <w:t>has the</w:t>
      </w:r>
      <w:r w:rsidRPr="00AA0D15">
        <w:rPr>
          <w:sz w:val="14"/>
        </w:rPr>
        <w:t xml:space="preserve"> strong </w:t>
      </w:r>
      <w:r w:rsidRPr="00AA0D15">
        <w:rPr>
          <w:rStyle w:val="StyleUnderline"/>
        </w:rPr>
        <w:t>possibility of increasing experimentation</w:t>
      </w:r>
      <w:r w:rsidRPr="00AA0D15">
        <w:rPr>
          <w:sz w:val="14"/>
        </w:rPr>
        <w:t xml:space="preserve">. While judges could certainly draw upon the educators' knowledge in any number of ways, imagining judges taking responsibility for educational innovation in school desegregation is difficult. </w:t>
      </w:r>
      <w:r w:rsidRPr="00AA0D15">
        <w:rPr>
          <w:rStyle w:val="StyleUnderline"/>
        </w:rPr>
        <w:t>Educators</w:t>
      </w:r>
      <w:r w:rsidRPr="00AA0D15">
        <w:rPr>
          <w:sz w:val="14"/>
        </w:rPr>
        <w:t xml:space="preserve">, on the other hand, likely </w:t>
      </w:r>
      <w:r w:rsidRPr="00AA0D15">
        <w:rPr>
          <w:rStyle w:val="StyleUnderline"/>
        </w:rPr>
        <w:t xml:space="preserve">would have the </w:t>
      </w:r>
      <w:r w:rsidRPr="00AA0D15">
        <w:rPr>
          <w:rStyle w:val="Emphasis"/>
        </w:rPr>
        <w:t>necessary confidence</w:t>
      </w:r>
      <w:r w:rsidRPr="00AA0D15">
        <w:rPr>
          <w:sz w:val="14"/>
        </w:rPr>
        <w:t xml:space="preserve"> </w:t>
      </w:r>
      <w:r w:rsidRPr="00AA0D15">
        <w:rPr>
          <w:rStyle w:val="StyleUnderline"/>
        </w:rPr>
        <w:t>and</w:t>
      </w:r>
      <w:r w:rsidRPr="00AA0D15">
        <w:rPr>
          <w:sz w:val="14"/>
        </w:rPr>
        <w:t xml:space="preserve"> </w:t>
      </w:r>
      <w:r w:rsidRPr="00AA0D15">
        <w:rPr>
          <w:rStyle w:val="Emphasis"/>
        </w:rPr>
        <w:t>incentive</w:t>
      </w:r>
      <w:r w:rsidRPr="00AA0D15">
        <w:rPr>
          <w:sz w:val="14"/>
        </w:rPr>
        <w:t xml:space="preserve"> </w:t>
      </w:r>
      <w:r w:rsidRPr="00AA0D15">
        <w:rPr>
          <w:rStyle w:val="StyleUnderline"/>
        </w:rPr>
        <w:t>to undertake experimentation</w:t>
      </w:r>
      <w:r w:rsidRPr="00AA0D15">
        <w:rPr>
          <w:sz w:val="14"/>
        </w:rPr>
        <w:t xml:space="preserve">. Further, </w:t>
      </w:r>
      <w:r w:rsidRPr="00AA0D15">
        <w:rPr>
          <w:rStyle w:val="StyleUnderline"/>
        </w:rPr>
        <w:t xml:space="preserve">because school desegregation will </w:t>
      </w:r>
      <w:r w:rsidRPr="00AA0D15">
        <w:rPr>
          <w:rStyle w:val="Emphasis"/>
        </w:rPr>
        <w:t>vary by locality</w:t>
      </w:r>
      <w:r w:rsidRPr="00AA0D15">
        <w:rPr>
          <w:sz w:val="14"/>
        </w:rPr>
        <w:t>--</w:t>
      </w:r>
      <w:r w:rsidRPr="00AA0D15">
        <w:rPr>
          <w:rStyle w:val="StyleUnderline"/>
        </w:rPr>
        <w:t>local conditions will affect every aspect of school desegregation</w:t>
      </w:r>
      <w:r w:rsidRPr="00AA0D15">
        <w:rPr>
          <w:sz w:val="14"/>
        </w:rPr>
        <w:t>--</w:t>
      </w:r>
      <w:r w:rsidRPr="00AA0D15">
        <w:rPr>
          <w:rStyle w:val="Emphasis"/>
          <w:sz w:val="26"/>
          <w:szCs w:val="26"/>
        </w:rPr>
        <w:t>then experimentation is of high value and a national standard is of low valu</w:t>
      </w:r>
      <w:r w:rsidRPr="00AA0D15">
        <w:rPr>
          <w:rStyle w:val="Emphasis"/>
        </w:rPr>
        <w:t>e</w:t>
      </w:r>
      <w:r w:rsidRPr="00AA0D15">
        <w:rPr>
          <w:sz w:val="14"/>
        </w:rPr>
        <w:t>. In sum, not only is school desegregation's promotion of local control faithful to the American tradition of school governance, but it is consistent with three values supporting state and local authority.</w:t>
      </w:r>
    </w:p>
    <w:p w:rsidR="00C47278" w:rsidRPr="00AA0D15" w:rsidRDefault="00C47278" w:rsidP="00C47278">
      <w:pPr>
        <w:pStyle w:val="Heading4"/>
        <w:rPr>
          <w:rFonts w:cs="Times New Roman"/>
        </w:rPr>
      </w:pPr>
      <w:r w:rsidRPr="00AA0D15">
        <w:rPr>
          <w:rFonts w:cs="Times New Roman"/>
        </w:rPr>
        <w:t xml:space="preserve">DOJ CRD </w:t>
      </w:r>
      <w:r w:rsidR="007C2097">
        <w:rPr>
          <w:rFonts w:cs="Times New Roman"/>
        </w:rPr>
        <w:t>is too overstretched to enforce the plan</w:t>
      </w:r>
    </w:p>
    <w:p w:rsidR="00C47278" w:rsidRPr="00AA0D15" w:rsidRDefault="00C47278" w:rsidP="00C47278">
      <w:r w:rsidRPr="00AA0D15">
        <w:rPr>
          <w:rStyle w:val="Style13ptBold"/>
        </w:rPr>
        <w:t>Serwer 5/25/17</w:t>
      </w:r>
      <w:r w:rsidRPr="00AA0D15">
        <w:t xml:space="preserve"> - senior editor at The Atlantic (Adam, “Jeff Sessions's Agenda for the Civil-Rights Division,” The Atlantic, </w:t>
      </w:r>
      <w:hyperlink r:id="rId88" w:history="1">
        <w:r w:rsidRPr="00AA0D15">
          <w:rPr>
            <w:rStyle w:val="Hyperlink"/>
          </w:rPr>
          <w:t>https://www.theatlantic.com/politics/archive/2017/05/civil-rights-sessions/528126/</w:t>
        </w:r>
      </w:hyperlink>
      <w:r w:rsidRPr="00AA0D15">
        <w:t xml:space="preserve">) </w:t>
      </w:r>
    </w:p>
    <w:p w:rsidR="00C47278" w:rsidRPr="00AA0D15" w:rsidRDefault="00C47278" w:rsidP="00C47278">
      <w:r w:rsidRPr="00AA0D15">
        <w:rPr>
          <w:rStyle w:val="StyleUnderline"/>
        </w:rPr>
        <w:t>President Trump’s proposed budget assumes a major reduction of staff in the civil-rights division</w:t>
      </w:r>
      <w:r w:rsidRPr="00AA0D15">
        <w:t>, the section of the Justice Department charged with enforcing laws against discrimination and protecting the right to vote. “This is especially troubling as communities continue to be hit hard by issues such as voter suppression, hate crimes, police shootings of unarmed civilians and other problems that call for a strong and robust civil rights enforcement agenda,” said Kristen Clarke, a former civil-rights division attorney who now runs the Lawyers’ Committee for Civil Rights</w:t>
      </w:r>
      <w:r w:rsidRPr="00AA0D15">
        <w:rPr>
          <w:rStyle w:val="StyleUnderline"/>
        </w:rPr>
        <w:t>. Funding for the division remains virtually flat</w:t>
      </w:r>
      <w:r w:rsidRPr="00AA0D15">
        <w:t xml:space="preserve">, with an increase of only $168,000 to its $148 million dollar budget. </w:t>
      </w:r>
      <w:r w:rsidRPr="00AA0D15">
        <w:rPr>
          <w:rStyle w:val="StyleUnderline"/>
        </w:rPr>
        <w:t>The proposal projects the civil-rights division would see a loss of more than 121 staff positions, including 14 attorney positions</w:t>
      </w:r>
      <w:r w:rsidRPr="00AA0D15">
        <w:t xml:space="preserve">. Vanita Gupta, who ran the civil-rights division from 2014 until 2017, and is now president of the Leadership Conference on Civil Rights, cautioned against reading too much into the budget proposal, but said </w:t>
      </w:r>
      <w:r w:rsidRPr="00AA0D15">
        <w:rPr>
          <w:rStyle w:val="StyleUnderline"/>
        </w:rPr>
        <w:t>the Trump administration had shown its hand</w:t>
      </w:r>
      <w:r w:rsidRPr="00AA0D15">
        <w:t xml:space="preserve"> in other ways. "I don't think that public can know enough based on this,” said Gupta. “I think what is more revealing is the actions taken by Jeff Sessions on LGBT rights, and police reform, and voting rights." Since taking office, </w:t>
      </w:r>
      <w:r w:rsidRPr="00AA0D15">
        <w:rPr>
          <w:rStyle w:val="StyleUnderline"/>
        </w:rPr>
        <w:t>Sessions has</w:t>
      </w:r>
      <w:r w:rsidRPr="00AA0D15">
        <w:t xml:space="preserve"> rescinded Obama-era guidance on discrimination against trans students and </w:t>
      </w:r>
      <w:r w:rsidRPr="00AA0D15">
        <w:rPr>
          <w:rStyle w:val="StyleUnderline"/>
        </w:rPr>
        <w:t>announced his intention to end the civil-rights division’s aggressive oversight</w:t>
      </w:r>
      <w:r w:rsidRPr="00AA0D15">
        <w:t xml:space="preserve"> of police departments, even seeking to </w:t>
      </w:r>
      <w:hyperlink r:id="rId89" w:history="1">
        <w:r w:rsidRPr="00AA0D15">
          <w:rPr>
            <w:rStyle w:val="Hyperlink"/>
          </w:rPr>
          <w:t>rescind a court-monitoring agreement overseeing police in Baltimore</w:t>
        </w:r>
      </w:hyperlink>
      <w:r w:rsidRPr="00AA0D15">
        <w:t xml:space="preserve">. Even without details however, the budget proposal also outlines priorities for the division, clearly reorienting it further towards Sessions’s policy preferences, particularly on immigration. The budget proposal also makes no mention at all of fighting discrimination against people with disabilities, </w:t>
      </w:r>
      <w:hyperlink r:id="rId90" w:history="1">
        <w:r w:rsidRPr="00AA0D15">
          <w:rPr>
            <w:rStyle w:val="Hyperlink"/>
          </w:rPr>
          <w:t>a notable change from the Obama-era 2016 request</w:t>
        </w:r>
      </w:hyperlink>
      <w:r w:rsidRPr="00AA0D15">
        <w:t xml:space="preserve">, which described it as a major priority. The budget proposal states that the division will “prioritize enforcement of the Immigration and Nationality Act to ensure that companies do not discriminate against U.S. workers in favor of foreign visa holders.” While the 1986 law does protect Americans from discrimination based on nationality, it has typically been used to prevent discrimination against workers who are assumed to be in the U.S. illegally but are not. Hiring non-citizens ineligible to work in the United States is already illegal, and enforcement of those laws is handled by </w:t>
      </w:r>
      <w:hyperlink r:id="rId91" w:history="1">
        <w:r w:rsidRPr="00AA0D15">
          <w:rPr>
            <w:rStyle w:val="Hyperlink"/>
          </w:rPr>
          <w:t>Immigration and Customs Enforcement</w:t>
        </w:r>
      </w:hyperlink>
      <w:r w:rsidRPr="00AA0D15">
        <w:t>. “This is a statute that has been used quite appropriately to protect Latinos, to protect Asian Americans and Asian immigrants from discrimination based on the concern or the stereotype that they aren't authorized to work when they are," said Samuel Bagenstos, a former high-ranking official in the civil-rights division who now teaches law at the University of Michigan. "This seems to change the orientation of that enforcement to go after employers who aren't hiring American workers</w:t>
      </w:r>
      <w:r w:rsidRPr="00AA0D15">
        <w:rPr>
          <w:rStyle w:val="StyleUnderline"/>
        </w:rPr>
        <w:t>." The budget proposal may also bode ill for ongoing school desegregation efforts</w:t>
      </w:r>
      <w:r w:rsidRPr="00AA0D15">
        <w:t xml:space="preserve">, Obama-era rules governing sexual assault and harassment on college campuses, </w:t>
      </w:r>
      <w:r w:rsidRPr="00AA0D15">
        <w:rPr>
          <w:rStyle w:val="StyleUnderline"/>
        </w:rPr>
        <w:t>and voluntary affirmative action or desegregation programs in schools</w:t>
      </w:r>
      <w:r w:rsidRPr="00AA0D15">
        <w:t>. The budget proposal states that the division will “continue to work collaboratively with the Department of Education’s Office of Civil Rights to review regulatory materials” and to “to prioritize the review of approximately 170 longstanding consent decrees.”</w:t>
      </w:r>
    </w:p>
    <w:p w:rsidR="00C47278" w:rsidRPr="00AA0D15" w:rsidRDefault="00C47278" w:rsidP="00C47278">
      <w:pPr>
        <w:pStyle w:val="Heading3"/>
        <w:rPr>
          <w:rFonts w:cs="Times New Roman"/>
        </w:rPr>
      </w:pPr>
      <w:r w:rsidRPr="00AA0D15">
        <w:rPr>
          <w:rFonts w:cs="Times New Roman"/>
        </w:rPr>
        <w:t>---AT: DOJ</w:t>
      </w:r>
    </w:p>
    <w:p w:rsidR="00C47278" w:rsidRPr="00AA0D15" w:rsidRDefault="00C47278" w:rsidP="00C47278">
      <w:pPr>
        <w:pStyle w:val="Heading4"/>
        <w:rPr>
          <w:rFonts w:cs="Times New Roman"/>
        </w:rPr>
      </w:pPr>
      <w:r w:rsidRPr="00AA0D15">
        <w:rPr>
          <w:rFonts w:cs="Times New Roman"/>
        </w:rPr>
        <w:t xml:space="preserve">Trump’s DOJ undermines the aff </w:t>
      </w:r>
    </w:p>
    <w:p w:rsidR="00C47278" w:rsidRPr="00AA0D15" w:rsidRDefault="00C47278" w:rsidP="00C47278">
      <w:r w:rsidRPr="00AA0D15">
        <w:rPr>
          <w:rStyle w:val="Style13ptBold"/>
        </w:rPr>
        <w:t>Lopez 6/30</w:t>
      </w:r>
      <w:r w:rsidR="007C2097">
        <w:rPr>
          <w:rStyle w:val="Style13ptBold"/>
        </w:rPr>
        <w:t>/2017</w:t>
      </w:r>
      <w:r w:rsidRPr="00AA0D15">
        <w:t xml:space="preserve"> – German, Senior reporter for Vox, “Trump’s pick to lead federal civil rights efforts defended companies accused of discrimination,” 6/30/17, https://www.vox.com/platform/amp/identities/2017/6/30/15895606/eric-dreiband-civil-rights-division//ninerz</w:t>
      </w:r>
    </w:p>
    <w:p w:rsidR="00C47278" w:rsidRPr="007C2097" w:rsidRDefault="00C47278" w:rsidP="00C47278">
      <w:pPr>
        <w:rPr>
          <w:b/>
          <w:iCs/>
          <w:sz w:val="22"/>
          <w:u w:val="single"/>
          <w:bdr w:val="single" w:sz="8" w:space="0" w:color="auto"/>
        </w:rPr>
      </w:pPr>
      <w:r w:rsidRPr="00AA0D15">
        <w:rPr>
          <w:rStyle w:val="StyleUnderline"/>
        </w:rPr>
        <w:t xml:space="preserve">Imagine nominating the lawyer who defended tobacco companies </w:t>
      </w:r>
      <w:r w:rsidRPr="00AA0D15">
        <w:rPr>
          <w:sz w:val="14"/>
        </w:rPr>
        <w:t xml:space="preserve">for years </w:t>
      </w:r>
      <w:r w:rsidRPr="00AA0D15">
        <w:rPr>
          <w:rStyle w:val="StyleUnderline"/>
        </w:rPr>
        <w:t>to head the agency that will regulate cigarettes.</w:t>
      </w:r>
      <w:r w:rsidRPr="00AA0D15">
        <w:rPr>
          <w:sz w:val="14"/>
        </w:rPr>
        <w:t xml:space="preserve"> </w:t>
      </w:r>
      <w:r w:rsidRPr="00AA0D15">
        <w:rPr>
          <w:rStyle w:val="StyleUnderline"/>
        </w:rPr>
        <w:t xml:space="preserve">That is </w:t>
      </w:r>
      <w:r w:rsidRPr="00AA0D15">
        <w:rPr>
          <w:sz w:val="14"/>
        </w:rPr>
        <w:t xml:space="preserve">sort of </w:t>
      </w:r>
      <w:r w:rsidRPr="00AA0D15">
        <w:rPr>
          <w:rStyle w:val="StyleUnderline"/>
        </w:rPr>
        <w:t>what</w:t>
      </w:r>
      <w:r w:rsidRPr="00AA0D15">
        <w:rPr>
          <w:sz w:val="14"/>
        </w:rPr>
        <w:t xml:space="preserve"> President Donald </w:t>
      </w:r>
      <w:r w:rsidRPr="00AA0D15">
        <w:rPr>
          <w:rStyle w:val="StyleUnderline"/>
        </w:rPr>
        <w:t xml:space="preserve">Trump did </w:t>
      </w:r>
      <w:r w:rsidRPr="00AA0D15">
        <w:rPr>
          <w:sz w:val="14"/>
        </w:rPr>
        <w:t xml:space="preserve">on Thursday </w:t>
      </w:r>
      <w:r w:rsidRPr="00AA0D15">
        <w:rPr>
          <w:rStyle w:val="StyleUnderline"/>
        </w:rPr>
        <w:t>with the</w:t>
      </w:r>
      <w:r w:rsidRPr="00AA0D15">
        <w:rPr>
          <w:sz w:val="14"/>
        </w:rPr>
        <w:t xml:space="preserve"> </w:t>
      </w:r>
      <w:r w:rsidRPr="00AA0D15">
        <w:rPr>
          <w:rStyle w:val="StyleUnderline"/>
        </w:rPr>
        <w:t>Department of Justice’s Civil Rights Division</w:t>
      </w:r>
      <w:r w:rsidRPr="00AA0D15">
        <w:rPr>
          <w:sz w:val="14"/>
        </w:rPr>
        <w:t xml:space="preserve">, </w:t>
      </w:r>
      <w:r w:rsidRPr="00AA0D15">
        <w:rPr>
          <w:rStyle w:val="StyleUnderline"/>
        </w:rPr>
        <w:t xml:space="preserve">when he nominated Eric Dreiband to head the agency. </w:t>
      </w:r>
      <w:r w:rsidRPr="00AA0D15">
        <w:rPr>
          <w:sz w:val="14"/>
        </w:rPr>
        <w:t xml:space="preserve">Dreiband, if approved by the Senate, will come from the law firm Jones Day, from which several other employees have also left to work in the federal government after Trump took office. </w:t>
      </w:r>
      <w:r w:rsidRPr="00AA0D15">
        <w:rPr>
          <w:rStyle w:val="StyleUnderline"/>
        </w:rPr>
        <w:t>As an attorney, Dreiband has repeatedly defended companies from discrimination claims</w:t>
      </w:r>
      <w:r w:rsidRPr="00AA0D15">
        <w:rPr>
          <w:sz w:val="14"/>
        </w:rPr>
        <w:t xml:space="preserve">. His highest-profile case wound up before the US Supreme Court, where </w:t>
      </w:r>
      <w:r w:rsidRPr="00AA0D15">
        <w:rPr>
          <w:rStyle w:val="StyleUnderline"/>
        </w:rPr>
        <w:t>he defended</w:t>
      </w:r>
      <w:r w:rsidRPr="00AA0D15">
        <w:rPr>
          <w:sz w:val="14"/>
        </w:rPr>
        <w:t xml:space="preserve"> </w:t>
      </w:r>
      <w:r w:rsidRPr="00AA0D15">
        <w:rPr>
          <w:rStyle w:val="StyleUnderline"/>
        </w:rPr>
        <w:t xml:space="preserve">Abercrombie&amp;Fitch when the company </w:t>
      </w:r>
      <w:r w:rsidRPr="00AA0D15">
        <w:rPr>
          <w:rStyle w:val="Emphasis"/>
        </w:rPr>
        <w:t>refused to hire a 17-year-old Muslim woman because she wore a headscarf</w:t>
      </w:r>
      <w:r w:rsidRPr="00AA0D15">
        <w:rPr>
          <w:rStyle w:val="StyleUnderline"/>
        </w:rPr>
        <w:t>.</w:t>
      </w:r>
      <w:r w:rsidRPr="00AA0D15">
        <w:rPr>
          <w:sz w:val="14"/>
        </w:rPr>
        <w:t xml:space="preserve"> Abercrombie insisted that it didn’t have a reason to know the headscarf was meant for religious purposes. The court didn’t buy it, ruling 8-1 in favor of the Muslim woman. </w:t>
      </w:r>
      <w:r w:rsidRPr="00AA0D15">
        <w:rPr>
          <w:rStyle w:val="StyleUnderline"/>
        </w:rPr>
        <w:t>He</w:t>
      </w:r>
      <w:r w:rsidRPr="00AA0D15">
        <w:rPr>
          <w:sz w:val="14"/>
        </w:rPr>
        <w:t xml:space="preserve"> also has </w:t>
      </w:r>
      <w:r w:rsidRPr="00AA0D15">
        <w:rPr>
          <w:rStyle w:val="StyleUnderline"/>
        </w:rPr>
        <w:t>defended the tobacco company R.J. Reynolds in an age discrimination case</w:t>
      </w:r>
      <w:r w:rsidRPr="00AA0D15">
        <w:rPr>
          <w:sz w:val="14"/>
        </w:rPr>
        <w:t xml:space="preserve">, </w:t>
      </w:r>
      <w:r w:rsidRPr="00AA0D15">
        <w:rPr>
          <w:rStyle w:val="StyleUnderline"/>
        </w:rPr>
        <w:t>Bloomberg in a pregnancy discrimination case, and the Washington Post in an age and race discrimination case. All of this requires a certain expertise in civil rights and nondiscrimination laws, which Dreiband will surely bring to the job. But as head of the Civil Rights Division,</w:t>
      </w:r>
      <w:r w:rsidRPr="00AA0D15">
        <w:rPr>
          <w:sz w:val="14"/>
        </w:rPr>
        <w:t xml:space="preserve"> one of his top jobs would be to do the opposite of what his history suggests he’s specialized in: </w:t>
      </w:r>
      <w:r w:rsidRPr="00AA0D15">
        <w:rPr>
          <w:rStyle w:val="StyleUnderline"/>
        </w:rPr>
        <w:t xml:space="preserve">He would be expected to enforce civil rights law </w:t>
      </w:r>
      <w:r w:rsidRPr="00AA0D15">
        <w:rPr>
          <w:rStyle w:val="Emphasis"/>
        </w:rPr>
        <w:t>against big companies</w:t>
      </w:r>
      <w:r w:rsidRPr="00AA0D15">
        <w:rPr>
          <w:sz w:val="14"/>
        </w:rPr>
        <w:t xml:space="preserve">, government agencies like police departments, </w:t>
      </w:r>
      <w:r w:rsidRPr="00AA0D15">
        <w:rPr>
          <w:rStyle w:val="StyleUnderline"/>
        </w:rPr>
        <w:t>and other entities that may discriminate</w:t>
      </w:r>
      <w:r w:rsidRPr="00AA0D15">
        <w:rPr>
          <w:sz w:val="14"/>
        </w:rPr>
        <w:t xml:space="preserve">. But Dreiband does have a brief history of taking the opposite role, serving in the Equal Employment Opportunity Commission, which upholds nondiscrimination laws in the workplace, under President George W. Bush. There, he worked on lawsuits against Abercrombie &amp; Fitch — for alleged discrimination against minority employees — and against a meat processing company in Chicago — for alleged discrimination against black and female employees. Still, this work represents only a small part of his career. </w:t>
      </w:r>
      <w:r w:rsidRPr="00AA0D15">
        <w:rPr>
          <w:rStyle w:val="StyleUnderline"/>
        </w:rPr>
        <w:t xml:space="preserve">Dreiband has also long </w:t>
      </w:r>
      <w:r w:rsidRPr="00AA0D15">
        <w:rPr>
          <w:rStyle w:val="Emphasis"/>
        </w:rPr>
        <w:t>criticized some civil rights laws</w:t>
      </w:r>
      <w:r w:rsidRPr="00AA0D15">
        <w:rPr>
          <w:sz w:val="14"/>
        </w:rPr>
        <w:t xml:space="preserve">, such as legislation that would work to prohibit wage discrimination. And he criticized the “ban the box” initiative that attempts to prevent private employers from asking about a job applicant’s criminal history. Civil rights groups quickly spoke out against Dreiband’s nomination. Coupled with Trump’s comments on the campaign trail and Jeff Sessions’s leadership at the Justice Department, </w:t>
      </w:r>
      <w:r w:rsidRPr="00AA0D15">
        <w:rPr>
          <w:rStyle w:val="StyleUnderline"/>
        </w:rPr>
        <w:t xml:space="preserve">the pick is just the latest sign that the Trump administration marks a return to the </w:t>
      </w:r>
      <w:r w:rsidRPr="00AA0D15">
        <w:rPr>
          <w:rStyle w:val="Emphasis"/>
        </w:rPr>
        <w:t>lack of seriousness toward civil rights law enforcement</w:t>
      </w:r>
      <w:r w:rsidRPr="00AA0D15">
        <w:rPr>
          <w:sz w:val="14"/>
        </w:rPr>
        <w:t xml:space="preserve"> that has been typical of recent Republican presidencies. So one of the potentially most important duties of the federal government will go neglected. “Now, more than ever, the leader of the Civil Rights Division must uphold its mission,” Vanita Gupta, who headed the Civil Rights Division under President Barack Obama and is now CEO of the Leadership Conference on Civil and Human Rights, said in a statement. “This is an administration that has shown an open hostility to, and a demonstrated record of, undermining our nation’s core civil rights. We need a leader who will take the lessons of previous administrations and reject the politicization of the division.” She added, “</w:t>
      </w:r>
      <w:r w:rsidRPr="00AA0D15">
        <w:rPr>
          <w:rStyle w:val="StyleUnderline"/>
        </w:rPr>
        <w:t xml:space="preserve">Dreiband has devoted the vast majority of his career to </w:t>
      </w:r>
      <w:r w:rsidRPr="00AA0D15">
        <w:rPr>
          <w:rStyle w:val="Emphasis"/>
        </w:rPr>
        <w:t>defending corporations accused of employment discrimination.</w:t>
      </w:r>
      <w:r w:rsidRPr="00AA0D15">
        <w:rPr>
          <w:sz w:val="14"/>
        </w:rPr>
        <w:t xml:space="preserve"> </w:t>
      </w:r>
      <w:r w:rsidRPr="00AA0D15">
        <w:rPr>
          <w:rStyle w:val="StyleUnderline"/>
        </w:rPr>
        <w:t>He</w:t>
      </w:r>
      <w:r w:rsidRPr="00AA0D15">
        <w:rPr>
          <w:sz w:val="14"/>
        </w:rPr>
        <w:t xml:space="preserve"> has </w:t>
      </w:r>
      <w:r w:rsidRPr="00AA0D15">
        <w:rPr>
          <w:rStyle w:val="Emphasis"/>
        </w:rPr>
        <w:t>opposed important legislation to safeguard our civil rights.</w:t>
      </w:r>
      <w:r w:rsidRPr="00AA0D15">
        <w:rPr>
          <w:sz w:val="14"/>
        </w:rPr>
        <w:t xml:space="preserve"> </w:t>
      </w:r>
      <w:r w:rsidRPr="00AA0D15">
        <w:rPr>
          <w:rStyle w:val="StyleUnderline"/>
        </w:rPr>
        <w:t xml:space="preserve">And he has </w:t>
      </w:r>
      <w:r w:rsidRPr="00AA0D15">
        <w:rPr>
          <w:rStyle w:val="Emphasis"/>
        </w:rPr>
        <w:t>no known experience</w:t>
      </w:r>
      <w:r w:rsidRPr="00AA0D15">
        <w:rPr>
          <w:rStyle w:val="StyleUnderline"/>
        </w:rPr>
        <w:t xml:space="preserve"> in most of the Civil Rights Division’s core issue areas</w:t>
      </w:r>
      <w:r w:rsidRPr="00AA0D15">
        <w:rPr>
          <w:sz w:val="14"/>
        </w:rPr>
        <w:t xml:space="preserve">, such as voting rights, police reform, housing, education, and hate crimes. </w:t>
      </w:r>
      <w:r w:rsidRPr="00AA0D15">
        <w:rPr>
          <w:rStyle w:val="Emphasis"/>
        </w:rPr>
        <w:t>He is the wrong person for the job.”</w:t>
      </w:r>
    </w:p>
    <w:p w:rsidR="00C47278" w:rsidRDefault="00C47278" w:rsidP="00C47278">
      <w:pPr>
        <w:pStyle w:val="Heading3"/>
        <w:rPr>
          <w:rFonts w:cs="Times New Roman"/>
        </w:rPr>
      </w:pPr>
      <w:r w:rsidRPr="00AA0D15">
        <w:rPr>
          <w:rFonts w:cs="Times New Roman"/>
        </w:rPr>
        <w:t xml:space="preserve">AT </w:t>
      </w:r>
      <w:r w:rsidR="007C2097">
        <w:rPr>
          <w:rFonts w:cs="Times New Roman"/>
        </w:rPr>
        <w:t xml:space="preserve">federalism </w:t>
      </w:r>
      <w:r w:rsidRPr="00AA0D15">
        <w:rPr>
          <w:rFonts w:cs="Times New Roman"/>
        </w:rPr>
        <w:t>link turn – states control school choice</w:t>
      </w:r>
    </w:p>
    <w:p w:rsidR="007C2097" w:rsidRPr="007C2097" w:rsidRDefault="007C2097" w:rsidP="007C2097">
      <w:r>
        <w:t>[their federalism link turn says states still maintain a ton of control post-plan]</w:t>
      </w:r>
    </w:p>
    <w:p w:rsidR="00C47278" w:rsidRPr="00AA0D15" w:rsidRDefault="00C47278" w:rsidP="00C47278">
      <w:pPr>
        <w:pStyle w:val="Heading4"/>
        <w:rPr>
          <w:rFonts w:cs="Times New Roman"/>
        </w:rPr>
      </w:pPr>
      <w:r w:rsidRPr="00AA0D15">
        <w:rPr>
          <w:rFonts w:cs="Times New Roman"/>
        </w:rPr>
        <w:t>That completely swamps aff solvency</w:t>
      </w:r>
    </w:p>
    <w:p w:rsidR="00C47278" w:rsidRPr="0000439A" w:rsidRDefault="00C47278" w:rsidP="0000439A">
      <w:r w:rsidRPr="0000439A">
        <w:rPr>
          <w:rStyle w:val="Style13ptBold"/>
        </w:rPr>
        <w:t>Heinecke 97</w:t>
      </w:r>
      <w:r w:rsidRPr="0000439A">
        <w:t xml:space="preserve"> – Walter F., Associate Professor of Educational Research, Statistics, &amp; Evaluation int he Department of Educational Leadership, Foundations and Policy at the Curry School of Education, University of Virginia, “DESEGREGATION AS THE TRANSFORMATION OF INTENTIONS: A CASE STUDY ,” Arizona State University, 1997, accessed via proquest//ninerz</w:t>
      </w:r>
    </w:p>
    <w:p w:rsidR="00C47278" w:rsidRPr="00AA0D15" w:rsidRDefault="00C47278" w:rsidP="00C47278">
      <w:pPr>
        <w:rPr>
          <w:sz w:val="14"/>
        </w:rPr>
      </w:pPr>
      <w:r w:rsidRPr="00AA0D15">
        <w:rPr>
          <w:sz w:val="14"/>
        </w:rPr>
        <w:t xml:space="preserve">Summary of Conditions </w:t>
      </w:r>
      <w:r w:rsidRPr="00AA0D15">
        <w:rPr>
          <w:rStyle w:val="StyleUnderline"/>
        </w:rPr>
        <w:t>The consequences of national level desegregation activity</w:t>
      </w:r>
      <w:r w:rsidRPr="00AA0D15">
        <w:rPr>
          <w:sz w:val="14"/>
        </w:rPr>
        <w:t xml:space="preserve"> (including no executive level enforcement, changing Supreme Court decisions, and a changing climate about race relations) </w:t>
      </w:r>
      <w:r w:rsidRPr="00AA0D15">
        <w:rPr>
          <w:rStyle w:val="StyleUnderline"/>
        </w:rPr>
        <w:t xml:space="preserve">and the conditions of Western State and Valley City School District (including </w:t>
      </w:r>
      <w:r w:rsidRPr="00AA0D15">
        <w:rPr>
          <w:rStyle w:val="Emphasis"/>
        </w:rPr>
        <w:t>overt racism</w:t>
      </w:r>
      <w:r w:rsidRPr="00AA0D15">
        <w:rPr>
          <w:sz w:val="14"/>
        </w:rPr>
        <w:t xml:space="preserve">, </w:t>
      </w:r>
      <w:r w:rsidRPr="00AA0D15">
        <w:rPr>
          <w:rStyle w:val="Emphasis"/>
        </w:rPr>
        <w:t>preference for racial segregation</w:t>
      </w:r>
      <w:r w:rsidRPr="00AA0D15">
        <w:rPr>
          <w:sz w:val="14"/>
        </w:rPr>
        <w:t xml:space="preserve">, </w:t>
      </w:r>
      <w:r w:rsidRPr="00AA0D15">
        <w:rPr>
          <w:rStyle w:val="Emphasis"/>
        </w:rPr>
        <w:t>preference for choice and efficiency over equity</w:t>
      </w:r>
      <w:r w:rsidRPr="00AA0D15">
        <w:rPr>
          <w:sz w:val="14"/>
        </w:rPr>
        <w:t xml:space="preserve">, </w:t>
      </w:r>
      <w:r w:rsidRPr="00AA0D15">
        <w:rPr>
          <w:rStyle w:val="Emphasis"/>
        </w:rPr>
        <w:t>open enrollment policy</w:t>
      </w:r>
      <w:r w:rsidRPr="00AA0D15">
        <w:rPr>
          <w:sz w:val="14"/>
        </w:rPr>
        <w:t xml:space="preserve">, </w:t>
      </w:r>
      <w:r w:rsidRPr="00AA0D15">
        <w:rPr>
          <w:rStyle w:val="Emphasis"/>
        </w:rPr>
        <w:t xml:space="preserve">and a marginalization of minorities </w:t>
      </w:r>
      <w:r w:rsidRPr="00AA0D15">
        <w:rPr>
          <w:rStyle w:val="StyleUnderline"/>
        </w:rPr>
        <w:t>from political decision making</w:t>
      </w:r>
      <w:r w:rsidRPr="00AA0D15">
        <w:rPr>
          <w:sz w:val="14"/>
        </w:rPr>
        <w:t xml:space="preserve">) </w:t>
      </w:r>
      <w:r w:rsidRPr="00AA0D15">
        <w:rPr>
          <w:rStyle w:val="StyleUnderline"/>
        </w:rPr>
        <w:t>combined to create the conditions leading to the filing of the complaint</w:t>
      </w:r>
      <w:r w:rsidRPr="00AA0D15">
        <w:rPr>
          <w:sz w:val="14"/>
        </w:rPr>
        <w:t xml:space="preserve"> by the Local Chapter of the Valley City NAACP to the OCR. </w:t>
      </w:r>
      <w:r w:rsidRPr="00AA0D15">
        <w:rPr>
          <w:rStyle w:val="StyleUnderline"/>
        </w:rPr>
        <w:t>The state political culture and local district culture promoted values of efficiency and choice over equity</w:t>
      </w:r>
      <w:r w:rsidRPr="00AA0D15">
        <w:rPr>
          <w:sz w:val="14"/>
        </w:rPr>
        <w:t xml:space="preserve">. </w:t>
      </w:r>
      <w:r w:rsidRPr="00AA0D15">
        <w:rPr>
          <w:rStyle w:val="StyleUnderline"/>
        </w:rPr>
        <w:t>Racism and discrimination were evident in the state’s history and political landscape</w:t>
      </w:r>
      <w:r w:rsidRPr="00AA0D15">
        <w:rPr>
          <w:sz w:val="14"/>
        </w:rPr>
        <w:t xml:space="preserve">. </w:t>
      </w:r>
      <w:r w:rsidRPr="00AA0D15">
        <w:rPr>
          <w:rStyle w:val="Emphasis"/>
        </w:rPr>
        <w:t>As a result, little action was taken in response to the Brown (</w:t>
      </w:r>
      <w:r w:rsidRPr="00AA0D15">
        <w:rPr>
          <w:sz w:val="14"/>
        </w:rPr>
        <w:t xml:space="preserve">1954) </w:t>
      </w:r>
      <w:r w:rsidRPr="00AA0D15">
        <w:rPr>
          <w:rStyle w:val="Emphasis"/>
        </w:rPr>
        <w:t>decision</w:t>
      </w:r>
      <w:r w:rsidRPr="00AA0D15">
        <w:rPr>
          <w:sz w:val="14"/>
        </w:rPr>
        <w:t xml:space="preserve">. </w:t>
      </w:r>
      <w:r w:rsidRPr="00AA0D15">
        <w:rPr>
          <w:rStyle w:val="StyleUnderline"/>
        </w:rPr>
        <w:t xml:space="preserve">School assignments were based on neighborhood residence, and the </w:t>
      </w:r>
      <w:r w:rsidRPr="00AA0D15">
        <w:rPr>
          <w:rStyle w:val="Emphasis"/>
        </w:rPr>
        <w:t>neighborhoods were segregated by race</w:t>
      </w:r>
      <w:r w:rsidRPr="00AA0D15">
        <w:rPr>
          <w:sz w:val="14"/>
        </w:rPr>
        <w:t xml:space="preserve">. </w:t>
      </w:r>
      <w:r w:rsidRPr="00AA0D15">
        <w:rPr>
          <w:rStyle w:val="StyleUnderline"/>
        </w:rPr>
        <w:t>Schools did little to desegregate, and Anglo</w:t>
      </w:r>
      <w:r w:rsidRPr="00AA0D15">
        <w:rPr>
          <w:sz w:val="14"/>
        </w:rPr>
        <w:t xml:space="preserve">s, in order to segregate themselves, </w:t>
      </w:r>
      <w:r w:rsidRPr="00AA0D15">
        <w:rPr>
          <w:rStyle w:val="Emphasis"/>
        </w:rPr>
        <w:t>took advantage of district and local laws promoting choice in school attendance.</w:t>
      </w:r>
      <w:r w:rsidRPr="00AA0D15">
        <w:rPr>
          <w:sz w:val="14"/>
        </w:rPr>
        <w:t xml:space="preserve"> </w:t>
      </w:r>
      <w:r w:rsidRPr="00AA0D15">
        <w:rPr>
          <w:rStyle w:val="StyleUnderline"/>
        </w:rPr>
        <w:t xml:space="preserve">The efficiency oriented political culture, manifested through the activity of the state legislature, resulted in fiscal cutbacks for school districts experiencing declining enrollments. The open enrollment policy combined with this efficiency oriented fiscal policy had a greater impact on minority neighborhood schools than the Anglo schools in the district’s northern neighborhoods. </w:t>
      </w:r>
      <w:r w:rsidRPr="00AA0D15">
        <w:rPr>
          <w:sz w:val="14"/>
        </w:rPr>
        <w:t xml:space="preserve">The potential of the Brown (1954) decision and ensuing civil rights enforcement to promote equality of educational opportunity in Valley City School District was neutralized by the values promoted by Western State’s political culture. Prior to 1978 there was little or no pro-active attempt to desegregate Valley City’s schools. In fact, the values of choice superseded any attempt to promote equity and integration. </w:t>
      </w:r>
      <w:r w:rsidRPr="00AA0D15">
        <w:rPr>
          <w:rStyle w:val="StyleUnderline"/>
        </w:rPr>
        <w:t xml:space="preserve">One manifestation of choice is when people chose to live with people of their own ethnic backgrounds. </w:t>
      </w:r>
      <w:r w:rsidRPr="00AA0D15">
        <w:rPr>
          <w:rStyle w:val="Emphasis"/>
        </w:rPr>
        <w:t>Choice can be used to promote racist agendas.</w:t>
      </w:r>
      <w:r w:rsidRPr="00AA0D15">
        <w:rPr>
          <w:sz w:val="14"/>
        </w:rPr>
        <w:t xml:space="preserve"> </w:t>
      </w:r>
      <w:r w:rsidRPr="00AA0D15">
        <w:rPr>
          <w:rStyle w:val="StyleUnderline"/>
        </w:rPr>
        <w:t xml:space="preserve">Open enrollment </w:t>
      </w:r>
      <w:r w:rsidRPr="00AA0D15">
        <w:rPr>
          <w:rStyle w:val="Emphasis"/>
        </w:rPr>
        <w:t>at the state and district levels</w:t>
      </w:r>
      <w:r w:rsidRPr="00AA0D15">
        <w:rPr>
          <w:rStyle w:val="StyleUnderline"/>
        </w:rPr>
        <w:t xml:space="preserve"> subverted the original intentions of the Brown decision</w:t>
      </w:r>
      <w:r w:rsidRPr="00AA0D15">
        <w:rPr>
          <w:sz w:val="14"/>
        </w:rPr>
        <w:t xml:space="preserve"> and the Civil Rights Act of 1964. During the 1960s and 1970s the schools in the Valley City School District grew more and more segregated and unequal in terms of quality.</w:t>
      </w:r>
    </w:p>
    <w:p w:rsidR="00C47278" w:rsidRPr="00AA0D15" w:rsidRDefault="00C47278" w:rsidP="00C47278">
      <w:pPr>
        <w:pStyle w:val="Heading2"/>
        <w:rPr>
          <w:rFonts w:cs="Times New Roman"/>
        </w:rPr>
      </w:pPr>
      <w:r w:rsidRPr="00AA0D15">
        <w:rPr>
          <w:rFonts w:cs="Times New Roman"/>
        </w:rPr>
        <w:t>CTE</w:t>
      </w:r>
    </w:p>
    <w:p w:rsidR="00C47278" w:rsidRPr="00AA0D15" w:rsidRDefault="00C47278" w:rsidP="00C47278">
      <w:pPr>
        <w:pStyle w:val="Heading3"/>
        <w:rPr>
          <w:rFonts w:cs="Times New Roman"/>
        </w:rPr>
      </w:pPr>
      <w:r w:rsidRPr="00AA0D15">
        <w:rPr>
          <w:rFonts w:cs="Times New Roman"/>
        </w:rPr>
        <w:t>1nc</w:t>
      </w:r>
    </w:p>
    <w:p w:rsidR="00C47278" w:rsidRPr="00AA0D15" w:rsidRDefault="00C47278" w:rsidP="00C47278">
      <w:pPr>
        <w:pStyle w:val="Heading4"/>
        <w:rPr>
          <w:rFonts w:cs="Times New Roman"/>
        </w:rPr>
      </w:pPr>
      <w:r w:rsidRPr="00AA0D15">
        <w:rPr>
          <w:rFonts w:cs="Times New Roman"/>
        </w:rPr>
        <w:t>Text: The 50 states should fully fund secondary career and technical education, examine state labor market projections to identify high-growth industries and fully fund efforts to support schools to offer coursework and programs of study that match them, encourage concentration, and harmonize dual enrollment efforts by making credits stackable.</w:t>
      </w:r>
    </w:p>
    <w:p w:rsidR="00C47278" w:rsidRPr="00AA0D15" w:rsidRDefault="00C47278" w:rsidP="00C47278">
      <w:pPr>
        <w:pStyle w:val="Heading4"/>
        <w:rPr>
          <w:rFonts w:cs="Times New Roman"/>
        </w:rPr>
      </w:pPr>
      <w:r w:rsidRPr="00AA0D15">
        <w:rPr>
          <w:rFonts w:cs="Times New Roman"/>
        </w:rPr>
        <w:t>Solves the aff – Arkansas proves it can be done at the state level</w:t>
      </w:r>
    </w:p>
    <w:p w:rsidR="00C47278" w:rsidRPr="00AA0D15" w:rsidRDefault="00C47278" w:rsidP="00C47278">
      <w:pPr>
        <w:rPr>
          <w:b/>
        </w:rPr>
      </w:pPr>
      <w:r w:rsidRPr="00AA0D15">
        <w:rPr>
          <w:b/>
        </w:rPr>
        <w:t>Dougherty 16–</w:t>
      </w:r>
      <w:r w:rsidRPr="00AA0D15">
        <w:t xml:space="preserve"> Shaun M. Dougherty is an Assistant Professor of Education Policy and Leadership at the Neag School of Education and an affiliated faculty member in the Department of Public Policy at the University of Connecticut. He holds a doctoral degree in quantitative policy analysis from Harvard University as well as a master’s degree in educational administration from Gwynedd Mercy University, (“CAREER AND TECHNICAL EDUCATION IN HIGH SCHOOL: DOES IT IMPROVE STUDENT OUTCOMES?,” April 2016, Thomas Fordham Institute, https://edex.s3-us-west-2.amazonaws.com/publication/pdfs/%282016.04.07%29%20Career%20and%20Technical%20Education%20in%20High%20School.pdf)//jkuffour</w:t>
      </w:r>
    </w:p>
    <w:p w:rsidR="00C47278" w:rsidRPr="00AA0D15" w:rsidRDefault="00C47278" w:rsidP="00C47278">
      <w:r w:rsidRPr="00AA0D15">
        <w:t xml:space="preserve">WHAT ARE THE </w:t>
      </w:r>
      <w:r w:rsidRPr="00AA0D15">
        <w:rPr>
          <w:rStyle w:val="StyleUnderline"/>
        </w:rPr>
        <w:t>IMPLICATIONS FOR ARKANSAS</w:t>
      </w:r>
      <w:r w:rsidRPr="00AA0D15">
        <w:t xml:space="preserve">? FIRST, </w:t>
      </w:r>
      <w:r w:rsidRPr="00AA0D15">
        <w:rPr>
          <w:rStyle w:val="StyleUnderline"/>
        </w:rPr>
        <w:t>STAY THE COURSE.</w:t>
      </w:r>
      <w:r w:rsidRPr="00AA0D15">
        <w:t xml:space="preserve"> The results presented here show clear benefits to increased exposure to CTE coursework and contradict the notion that CTE is a separate track for low-achieving, disadvantaged, minority, and/or non-college-bound students. Though students don’t necessarily have to fulfill Arkansas’s career focus requirement by taking CTE classes, </w:t>
      </w:r>
      <w:r w:rsidRPr="00AA0D15">
        <w:rPr>
          <w:rStyle w:val="StyleUnderline"/>
        </w:rPr>
        <w:t>early implementation of Smart Core shows that students are, in fact, doing precisely that</w:t>
      </w:r>
      <w:r w:rsidRPr="00AA0D15">
        <w:t xml:space="preserve">. Together, these findings suggest maintaining Smart Core, and promoting the idea that CTE is for students of all backgrounds and ability levels. SECOND, </w:t>
      </w:r>
      <w:r w:rsidRPr="00AA0D15">
        <w:rPr>
          <w:rStyle w:val="Emphasis"/>
        </w:rPr>
        <w:t>MAKE KNOWN THE BENEFITS OF CONCENTRATING</w:t>
      </w:r>
      <w:r w:rsidRPr="00AA0D15">
        <w:rPr>
          <w:rStyle w:val="StyleUnderline"/>
        </w:rPr>
        <w:t xml:space="preserve">. The findings suggest </w:t>
      </w:r>
      <w:r w:rsidRPr="00AA0D15">
        <w:rPr>
          <w:rStyle w:val="Emphasis"/>
        </w:rPr>
        <w:t>that there are benefits to concentrating,</w:t>
      </w:r>
      <w:r w:rsidRPr="00AA0D15">
        <w:rPr>
          <w:rStyle w:val="StyleUnderline"/>
        </w:rPr>
        <w:t xml:space="preserve"> especially for male, low-income, and “priority cluster” student</w:t>
      </w:r>
      <w:r w:rsidRPr="00AA0D15">
        <w:t xml:space="preserve">s. Granted, </w:t>
      </w:r>
      <w:r w:rsidRPr="00AA0D15">
        <w:rPr>
          <w:rStyle w:val="StyleUnderline"/>
        </w:rPr>
        <w:t>concentrators may be different from other students who take similarly high numbers of CTE course</w:t>
      </w:r>
      <w:r w:rsidRPr="00AA0D15">
        <w:t>s in ways that are related to their success and not necessarily about the decision to concentrate. But for students who have already started a concentration</w:t>
      </w:r>
      <w:r w:rsidRPr="00AA0D15">
        <w:rPr>
          <w:rStyle w:val="StyleUnderline"/>
        </w:rPr>
        <w:t xml:space="preserve">, </w:t>
      </w:r>
      <w:r w:rsidRPr="00AA0D15">
        <w:rPr>
          <w:rStyle w:val="Emphasis"/>
        </w:rPr>
        <w:t xml:space="preserve">there are potential advantages from a signaling </w:t>
      </w:r>
      <w:r w:rsidRPr="00AA0D15">
        <w:rPr>
          <w:rStyle w:val="StyleUnderline"/>
        </w:rPr>
        <w:t>standpoint</w:t>
      </w:r>
      <w:r w:rsidRPr="00AA0D15">
        <w:t xml:space="preserve"> (and possibly actually technical skill) </w:t>
      </w:r>
      <w:r w:rsidRPr="00AA0D15">
        <w:rPr>
          <w:rStyle w:val="StyleUnderline"/>
        </w:rPr>
        <w:t>that could be realized by counseling students to actually finish their program of study</w:t>
      </w:r>
      <w:r w:rsidRPr="00AA0D15">
        <w:t xml:space="preserve">. This is especially true for students in clusters without a clear postsecondary pathway, and those who do not see themselves as college-bound or who aren’t interested in enrolling in college right away. THIRD, </w:t>
      </w:r>
      <w:r w:rsidRPr="00AA0D15">
        <w:rPr>
          <w:rStyle w:val="Emphasis"/>
        </w:rPr>
        <w:t>EXPAND DUAL ENROLLMENT</w:t>
      </w:r>
      <w:r w:rsidRPr="00AA0D15">
        <w:rPr>
          <w:rStyle w:val="StyleUnderline"/>
        </w:rPr>
        <w:t>. Dual enrollment magnifies the benefits of exposure to CTE</w:t>
      </w:r>
      <w:r w:rsidRPr="00AA0D15">
        <w:t xml:space="preserve">. Even if students are self-selecting, and are already interested in clusters with a path to college (like education and health professions) dual enrollment can smooth the transition and reduce the financial and information cost of enrolling. </w:t>
      </w:r>
      <w:r w:rsidRPr="00AA0D15">
        <w:rPr>
          <w:rStyle w:val="Emphasis"/>
        </w:rPr>
        <w:t>Dual enrollment</w:t>
      </w:r>
      <w:r w:rsidRPr="00AA0D15">
        <w:t xml:space="preserve"> also </w:t>
      </w:r>
      <w:r w:rsidRPr="00AA0D15">
        <w:rPr>
          <w:rStyle w:val="Emphasis"/>
        </w:rPr>
        <w:t>encourages students to set career goals in high school,</w:t>
      </w:r>
      <w:r w:rsidRPr="00AA0D15">
        <w:rPr>
          <w:rStyle w:val="StyleUnderline"/>
        </w:rPr>
        <w:t xml:space="preserve"> since early on they must consider whether their desired career pathways can be achieved through high school, or whether they need a two-year degree or certificate, or a four-year college program</w:t>
      </w:r>
      <w:r w:rsidRPr="00AA0D15">
        <w:t xml:space="preserve">—and whether any of the requisite postsecondary coursework can be completed in high school FOR </w:t>
      </w:r>
      <w:r w:rsidRPr="00AA0D15">
        <w:rPr>
          <w:rStyle w:val="Emphasis"/>
        </w:rPr>
        <w:t>OTHER STATES</w:t>
      </w:r>
      <w:r w:rsidRPr="00AA0D15">
        <w:rPr>
          <w:rStyle w:val="StyleUnderline"/>
        </w:rPr>
        <w:t>?</w:t>
      </w:r>
      <w:r w:rsidRPr="00AA0D15">
        <w:t xml:space="preserve"> Although the positive results of this study matter most for Arkansas, </w:t>
      </w:r>
      <w:r w:rsidRPr="00AA0D15">
        <w:rPr>
          <w:rStyle w:val="StyleUnderline"/>
        </w:rPr>
        <w:t xml:space="preserve">they also suggest that other </w:t>
      </w:r>
      <w:r w:rsidRPr="00AA0D15">
        <w:rPr>
          <w:rStyle w:val="Emphasis"/>
        </w:rPr>
        <w:t>states should INVEST MORE HEAVILY IN SECONDARY CTE</w:t>
      </w:r>
      <w:r w:rsidRPr="00AA0D15">
        <w:t>. The findings presented here demonstrate that CTE improves outcomes for students who focus their studies on a specific career. And the fact that CTE coursework in high school is not related to enrollment in a four-year college, either positively or negatively, should reassure leaders wary of promoting secondary CTE for fear that doing so comes at the expense of an advanced degree. Consequently, as they have in Arkansas</w:t>
      </w:r>
      <w:r w:rsidRPr="00AA0D15">
        <w:rPr>
          <w:rStyle w:val="Emphasis"/>
        </w:rPr>
        <w:t>, state education and labor departments could</w:t>
      </w:r>
      <w:r w:rsidRPr="00AA0D15">
        <w:rPr>
          <w:rStyle w:val="StyleUnderline"/>
        </w:rPr>
        <w:t xml:space="preserve"> take the following steps: – </w:t>
      </w:r>
      <w:r w:rsidRPr="00AA0D15">
        <w:rPr>
          <w:rStyle w:val="Emphasis"/>
        </w:rPr>
        <w:t>Examine state labor market projections to identify high-growth industries, and support schools to offer coursework and programs of study that match them</w:t>
      </w:r>
      <w:r w:rsidRPr="00AA0D15">
        <w:rPr>
          <w:rStyle w:val="StyleUnderline"/>
        </w:rPr>
        <w:t xml:space="preserve">. </w:t>
      </w:r>
      <w:r w:rsidRPr="00AA0D15">
        <w:rPr>
          <w:rStyle w:val="Emphasis"/>
        </w:rPr>
        <w:t>– Encourage</w:t>
      </w:r>
      <w:r w:rsidRPr="00AA0D15">
        <w:rPr>
          <w:rStyle w:val="StyleUnderline"/>
        </w:rPr>
        <w:t xml:space="preserve"> (or require) </w:t>
      </w:r>
      <w:r w:rsidRPr="00AA0D15">
        <w:rPr>
          <w:rStyle w:val="Emphasis"/>
        </w:rPr>
        <w:t xml:space="preserve">secondary CTE coursework </w:t>
      </w:r>
      <w:r w:rsidRPr="00AA0D15">
        <w:t xml:space="preserve">so students can earn industry-recognized credentials for in-demand careers while still in high school. </w:t>
      </w:r>
      <w:r w:rsidRPr="00AA0D15">
        <w:rPr>
          <w:rStyle w:val="StyleUnderline"/>
        </w:rPr>
        <w:t xml:space="preserve">– </w:t>
      </w:r>
      <w:r w:rsidRPr="00AA0D15">
        <w:rPr>
          <w:rStyle w:val="Emphasis"/>
        </w:rPr>
        <w:t>Encourage</w:t>
      </w:r>
      <w:r w:rsidRPr="00AA0D15">
        <w:rPr>
          <w:rStyle w:val="StyleUnderline"/>
        </w:rPr>
        <w:t xml:space="preserve"> (or require) </w:t>
      </w:r>
      <w:r w:rsidRPr="00AA0D15">
        <w:rPr>
          <w:rStyle w:val="Emphasis"/>
        </w:rPr>
        <w:t>students taking multiple CTE courses to choose a concentration</w:t>
      </w:r>
      <w:r w:rsidRPr="00AA0D15">
        <w:t>, rather than taking courses in an ad-hoc manner.52</w:t>
      </w:r>
      <w:r w:rsidRPr="00AA0D15">
        <w:rPr>
          <w:rStyle w:val="StyleUnderline"/>
        </w:rPr>
        <w:t xml:space="preserve"> – </w:t>
      </w:r>
      <w:r w:rsidRPr="00AA0D15">
        <w:rPr>
          <w:rStyle w:val="Emphasis"/>
        </w:rPr>
        <w:t>Harmonize dual enrollment efforts by making credits “stackable” from high school into college</w:t>
      </w:r>
      <w:r w:rsidRPr="00AA0D15">
        <w:t>, so that students can begin postsecondary credentials early and easily transfer credits as they progress.</w:t>
      </w:r>
    </w:p>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State governments are sufficiently capable to fund and run CTE programs --- multiple warrants</w:t>
      </w:r>
    </w:p>
    <w:p w:rsidR="00C47278" w:rsidRPr="00AA0D15" w:rsidRDefault="00C47278" w:rsidP="00C47278">
      <w:pPr>
        <w:pStyle w:val="Heading4"/>
        <w:numPr>
          <w:ilvl w:val="0"/>
          <w:numId w:val="12"/>
        </w:numPr>
        <w:spacing w:before="40" w:line="259" w:lineRule="auto"/>
        <w:rPr>
          <w:rFonts w:cs="Times New Roman"/>
        </w:rPr>
      </w:pPr>
      <w:r w:rsidRPr="00AA0D15">
        <w:rPr>
          <w:rFonts w:cs="Times New Roman"/>
        </w:rPr>
        <w:t>Flexibility</w:t>
      </w:r>
    </w:p>
    <w:p w:rsidR="00C47278" w:rsidRPr="00AA0D15" w:rsidRDefault="00C47278" w:rsidP="00C47278">
      <w:pPr>
        <w:rPr>
          <w:lang w:val="fr-FR"/>
        </w:rPr>
      </w:pPr>
      <w:r w:rsidRPr="00AA0D15">
        <w:rPr>
          <w:b/>
        </w:rPr>
        <w:t xml:space="preserve">Brand 8 </w:t>
      </w:r>
      <w:r w:rsidRPr="00AA0D15">
        <w:t xml:space="preserve">--- executive director of American youth policy forum. (Betsy Brand, “Supporting High Quality Career and Technical Education through Federal and State Policy”, American Youth Policy Forum. </w:t>
      </w:r>
      <w:hyperlink r:id="rId92" w:history="1">
        <w:r w:rsidRPr="00AA0D15">
          <w:rPr>
            <w:rStyle w:val="Hyperlink"/>
            <w:lang w:val="fr-FR"/>
          </w:rPr>
          <w:t>http://www.aypf.org/wp-content/uploads/2014/07/Supporting-High-Quality-CTE.pdf</w:t>
        </w:r>
      </w:hyperlink>
      <w:r w:rsidRPr="00AA0D15">
        <w:rPr>
          <w:lang w:val="fr-FR"/>
        </w:rPr>
        <w:t>) //ET</w:t>
      </w:r>
    </w:p>
    <w:p w:rsidR="00C47278" w:rsidRPr="00AA0D15" w:rsidRDefault="00C47278" w:rsidP="00C47278">
      <w:r w:rsidRPr="00AA0D15">
        <w:t xml:space="preserve">Recommendation: Federal and </w:t>
      </w:r>
      <w:r w:rsidRPr="00AA0D15">
        <w:rPr>
          <w:rStyle w:val="StyleUnderline"/>
        </w:rPr>
        <w:t>state policy leaders should define and describe a high school reform framework f</w:t>
      </w:r>
      <w:r w:rsidRPr="00AA0D15">
        <w:t xml:space="preserve">or all youth that supports multiple pathways to graduation </w:t>
      </w:r>
      <w:r w:rsidRPr="00AA0D15">
        <w:rPr>
          <w:rStyle w:val="StyleUnderline"/>
        </w:rPr>
        <w:t xml:space="preserve">including a welldefined role for CTE with academically rigorous expectations, and they should provide funding to support the development of these multiple pathways. Federal and </w:t>
      </w:r>
      <w:r w:rsidRPr="00AA0D15">
        <w:rPr>
          <w:rStyle w:val="Emphasis"/>
        </w:rPr>
        <w:t xml:space="preserve">state policymakers can fund innovative approaches to developing multiple pathways based on CTE or the career clusters to be used as examples by others. </w:t>
      </w:r>
      <w:r w:rsidRPr="00AA0D15">
        <w:rPr>
          <w:rStyle w:val="StyleUnderline"/>
        </w:rPr>
        <w:t>Innovative policies that support flexible school scheduling and organization should be encouraged to draw on resources throughout the community and to address concerns that a CTE program</w:t>
      </w:r>
      <w:r w:rsidRPr="00AA0D15">
        <w:t xml:space="preserve"> of study </w:t>
      </w:r>
      <w:r w:rsidRPr="00AA0D15">
        <w:rPr>
          <w:rStyle w:val="StyleUnderline"/>
        </w:rPr>
        <w:t>pathway would limit students</w:t>
      </w:r>
      <w:r w:rsidRPr="00AA0D15">
        <w:t xml:space="preserve"> from completing college preparatory or Advanced Placement courses because of time. </w:t>
      </w:r>
    </w:p>
    <w:p w:rsidR="00C47278" w:rsidRPr="00AA0D15" w:rsidRDefault="00C47278" w:rsidP="00C47278">
      <w:pPr>
        <w:pStyle w:val="Heading4"/>
        <w:numPr>
          <w:ilvl w:val="0"/>
          <w:numId w:val="12"/>
        </w:numPr>
        <w:spacing w:before="40" w:line="259" w:lineRule="auto"/>
        <w:rPr>
          <w:rFonts w:cs="Times New Roman"/>
        </w:rPr>
      </w:pPr>
      <w:r w:rsidRPr="00AA0D15">
        <w:rPr>
          <w:rFonts w:cs="Times New Roman"/>
        </w:rPr>
        <w:t>Comprehensive frameworks</w:t>
      </w:r>
    </w:p>
    <w:p w:rsidR="00C47278" w:rsidRPr="00AA0D15" w:rsidRDefault="00C47278" w:rsidP="00C47278">
      <w:r w:rsidRPr="00AA0D15">
        <w:rPr>
          <w:b/>
        </w:rPr>
        <w:t xml:space="preserve">Brand 8 </w:t>
      </w:r>
      <w:r w:rsidRPr="00AA0D15">
        <w:t>--- executive director of American youth policy forum. (Betsy Brand, “Supporting High Quality Career and Technical Education through Federal and State Policy”, American Youth Policy Forum. http://www.aypf.org/wp-content/uploads/2014/07/Supporting-High-Quality-CTE.pdf)//ET</w:t>
      </w:r>
    </w:p>
    <w:p w:rsidR="00C47278" w:rsidRPr="00AA0D15" w:rsidRDefault="00C47278" w:rsidP="00C47278">
      <w:r w:rsidRPr="00AA0D15">
        <w:rPr>
          <w:rStyle w:val="StyleUnderline"/>
        </w:rPr>
        <w:t>Recommendation: Policymakers must become more proactive in stating that academic assessments alone are not enough to determine whether young people have the competencies needed to be successful in today’s economy and society.</w:t>
      </w:r>
      <w:r w:rsidRPr="00AA0D15">
        <w:t xml:space="preserve"> Assessment systems need to include multiple measures that include academics, applied and contextual knowledge, critical-thinking skills, workforce readiness, and social and civic engagement skills. </w:t>
      </w:r>
      <w:r w:rsidRPr="00AA0D15">
        <w:rPr>
          <w:rStyle w:val="Emphasis"/>
        </w:rPr>
        <w:t>States</w:t>
      </w:r>
      <w:r w:rsidRPr="00AA0D15">
        <w:t xml:space="preserve">, in particular, </w:t>
      </w:r>
      <w:r w:rsidRPr="00AA0D15">
        <w:rPr>
          <w:rStyle w:val="Emphasis"/>
        </w:rPr>
        <w:t>should develop a comprehensive framework that spells out what knowledge and skills are needed and when the knowledge and skills should be assessed</w:t>
      </w:r>
      <w:r w:rsidRPr="00AA0D15">
        <w:t xml:space="preserve">, by whom (state/district/school), and how. NCLB should encourage states to develop broader and multiple assessments that measure more than academic proficiency. </w:t>
      </w:r>
      <w:r w:rsidRPr="00AA0D15">
        <w:rPr>
          <w:rStyle w:val="Emphasis"/>
        </w:rPr>
        <w:t>Career and technical educators</w:t>
      </w:r>
      <w:r w:rsidRPr="00AA0D15">
        <w:t xml:space="preserve"> </w:t>
      </w:r>
      <w:r w:rsidRPr="00AA0D15">
        <w:rPr>
          <w:rStyle w:val="StyleUnderline"/>
        </w:rPr>
        <w:t>should be involved as states develop or revise their assessment systems and to help develop integrated standards and crosswalks between academic and applied measure</w:t>
      </w:r>
      <w:r w:rsidRPr="00AA0D15">
        <w:t>s. Assessments that measure technical skills need to be developed, and the federal government can support research and development of these technical assessments and ensure a strong role for industry.</w:t>
      </w:r>
    </w:p>
    <w:p w:rsidR="00C47278" w:rsidRPr="00AA0D15" w:rsidRDefault="00C47278" w:rsidP="00C47278">
      <w:pPr>
        <w:pStyle w:val="Heading4"/>
        <w:numPr>
          <w:ilvl w:val="0"/>
          <w:numId w:val="12"/>
        </w:numPr>
        <w:spacing w:before="40" w:line="259" w:lineRule="auto"/>
        <w:rPr>
          <w:rFonts w:cs="Times New Roman"/>
        </w:rPr>
      </w:pPr>
      <w:r w:rsidRPr="00AA0D15">
        <w:rPr>
          <w:rFonts w:cs="Times New Roman"/>
        </w:rPr>
        <w:t>Career planning</w:t>
      </w:r>
    </w:p>
    <w:p w:rsidR="00C47278" w:rsidRPr="00AA0D15" w:rsidRDefault="00C47278" w:rsidP="00C47278">
      <w:r w:rsidRPr="00AA0D15">
        <w:rPr>
          <w:b/>
        </w:rPr>
        <w:t xml:space="preserve">Brand 8 </w:t>
      </w:r>
      <w:r w:rsidRPr="00AA0D15">
        <w:t>--- executive director of American youth policy forum. (Betsy Brand, “Supporting High Quality Career and Technical Education through Federal and State Policy”, American Youth Policy Forum. http://www.aypf.org/wp-content/uploads/2014/07/Supporting-High-Quality-CTE.pdf)//ET</w:t>
      </w:r>
    </w:p>
    <w:p w:rsidR="00C47278" w:rsidRPr="00AA0D15" w:rsidRDefault="00C47278" w:rsidP="00C47278">
      <w:pPr>
        <w:rPr>
          <w:rStyle w:val="StyleUnderline"/>
        </w:rPr>
      </w:pPr>
      <w:r w:rsidRPr="00AA0D15">
        <w:t xml:space="preserve">Recommendation: </w:t>
      </w:r>
      <w:r w:rsidRPr="00AA0D15">
        <w:rPr>
          <w:rStyle w:val="StyleUnderline"/>
        </w:rPr>
        <w:t>Federal and state governments can encourage and support guidance and advisement by providing funding for more counselors in high schools.</w:t>
      </w:r>
      <w:r w:rsidRPr="00AA0D15">
        <w:t xml:space="preserve"> Counselors need training and development about the value of CTE and about the 16 career clusters and emerging careers in those industry sectors, so they are better able to advise students and parents. Professional development for teachers should include information about the career clusters and strategies for building career awareness into instruction. </w:t>
      </w:r>
      <w:r w:rsidRPr="00AA0D15">
        <w:rPr>
          <w:rStyle w:val="Emphasis"/>
        </w:rPr>
        <w:t>States can require students to develop a four- or fiveyear college and career plan</w:t>
      </w:r>
      <w:r w:rsidRPr="00AA0D15">
        <w:rPr>
          <w:rStyle w:val="StyleUnderline"/>
        </w:rPr>
        <w:t xml:space="preserve">, or to designate a career major during high school, as a way to help connect their academic studies to future plans. Section 118 of the Perkins Act, which provides </w:t>
      </w:r>
      <w:r w:rsidRPr="00AA0D15">
        <w:t xml:space="preserve">American Youth Policy Forum Page 11 </w:t>
      </w:r>
      <w:r w:rsidRPr="00AA0D15">
        <w:rPr>
          <w:rStyle w:val="StyleUnderline"/>
        </w:rPr>
        <w:t>funding to support career guidance and academic counseling programs and promote improved career and education decision-making, should be fully funded.</w:t>
      </w:r>
    </w:p>
    <w:p w:rsidR="00C47278" w:rsidRPr="00AA0D15" w:rsidRDefault="00C47278" w:rsidP="00C47278">
      <w:pPr>
        <w:pStyle w:val="Heading4"/>
        <w:numPr>
          <w:ilvl w:val="0"/>
          <w:numId w:val="12"/>
        </w:numPr>
        <w:spacing w:before="40" w:line="259" w:lineRule="auto"/>
        <w:rPr>
          <w:rFonts w:cs="Times New Roman"/>
        </w:rPr>
      </w:pPr>
      <w:r w:rsidRPr="00AA0D15">
        <w:rPr>
          <w:rFonts w:cs="Times New Roman"/>
        </w:rPr>
        <w:t>Data collection</w:t>
      </w:r>
    </w:p>
    <w:p w:rsidR="00C47278" w:rsidRPr="00AA0D15" w:rsidRDefault="00C47278" w:rsidP="00C47278">
      <w:r w:rsidRPr="00AA0D15">
        <w:rPr>
          <w:b/>
        </w:rPr>
        <w:t xml:space="preserve">Brand 8 </w:t>
      </w:r>
      <w:r w:rsidRPr="00AA0D15">
        <w:t>--- executive director of American youth policy forum. (Betsy Brand, “Supporting High Quality Career and Technical Education through Federal and State Policy”, American Youth Policy Forum. http://www.aypf.org/wp-content/uploads/2014/07/Supporting-High-Quality-CTE.pdf)//ET</w:t>
      </w:r>
    </w:p>
    <w:p w:rsidR="00C47278" w:rsidRPr="00AA0D15" w:rsidRDefault="00C47278" w:rsidP="00C47278">
      <w:pPr>
        <w:rPr>
          <w:rStyle w:val="Emphasis"/>
        </w:rPr>
      </w:pPr>
      <w:r w:rsidRPr="00AA0D15">
        <w:t xml:space="preserve">Recommendation: </w:t>
      </w:r>
      <w:r w:rsidRPr="00AA0D15">
        <w:rPr>
          <w:rStyle w:val="StyleUnderline"/>
        </w:rPr>
        <w:t xml:space="preserve">The federal government can support the design of comprehensive data systems across programs and educational sectors. </w:t>
      </w:r>
      <w:r w:rsidRPr="00AA0D15">
        <w:t xml:space="preserve">The federal government can also review definitions to ensure consistency across laws and ensure that privacy protections remain strong but allow collection of necessary data. The federal government can also collect statewide data and make it available in a national clearinghouse. Additional federal research should be supported to determine longer-term academic and labor market outcomes of CTE students to better understand the pathways that students pursue from high school to postsecondary education and careers. </w:t>
      </w:r>
      <w:r w:rsidRPr="00AA0D15">
        <w:rPr>
          <w:rStyle w:val="StyleUnderline"/>
        </w:rPr>
        <w:t xml:space="preserve">As states develop longitudinal student record data systems and student identifiers, they need to identify and track students who participate in CTE and their long-term outcomes. </w:t>
      </w:r>
      <w:r w:rsidRPr="00AA0D15">
        <w:rPr>
          <w:rStyle w:val="Emphasis"/>
        </w:rPr>
        <w:t xml:space="preserve">States should develop the capacity to track labor market participation of all students, and incorporate external industry certifications in any data collection system, to the extent possible. </w:t>
      </w:r>
    </w:p>
    <w:p w:rsidR="00C47278" w:rsidRPr="00AA0D15" w:rsidRDefault="00C47278" w:rsidP="00C47278">
      <w:pPr>
        <w:pStyle w:val="Heading4"/>
        <w:numPr>
          <w:ilvl w:val="0"/>
          <w:numId w:val="12"/>
        </w:numPr>
        <w:spacing w:before="40" w:line="259" w:lineRule="auto"/>
        <w:rPr>
          <w:rFonts w:cs="Times New Roman"/>
        </w:rPr>
      </w:pPr>
      <w:r w:rsidRPr="00AA0D15">
        <w:rPr>
          <w:rFonts w:cs="Times New Roman"/>
        </w:rPr>
        <w:t xml:space="preserve">Empirics </w:t>
      </w:r>
    </w:p>
    <w:p w:rsidR="00C47278" w:rsidRPr="00AA0D15" w:rsidRDefault="00C47278" w:rsidP="00C47278">
      <w:r w:rsidRPr="00AA0D15">
        <w:rPr>
          <w:b/>
        </w:rPr>
        <w:t xml:space="preserve">ACTE 2013 </w:t>
      </w:r>
      <w:r w:rsidRPr="00AA0D15">
        <w:t>--- Association for Career and Technical Education. (“State Policies Impacting CTE 2013 Year in Review” https://cte.careertech.org/sites/default/files/NASDCTEc-ACTE%20State_Policy_Review_2013.pdf)//ET</w:t>
      </w:r>
    </w:p>
    <w:p w:rsidR="00C47278" w:rsidRPr="00AA0D15" w:rsidRDefault="00C47278" w:rsidP="00C47278">
      <w:r w:rsidRPr="00AA0D15">
        <w:rPr>
          <w:rStyle w:val="StyleUnderline"/>
        </w:rPr>
        <w:t xml:space="preserve">2013 was a major year for career and technical education (CTE)! </w:t>
      </w:r>
      <w:r w:rsidRPr="00AA0D15">
        <w:rPr>
          <w:rStyle w:val="Emphasis"/>
        </w:rPr>
        <w:t xml:space="preserve">All but three states had legislative or regulatory action </w:t>
      </w:r>
      <w:r w:rsidRPr="00AA0D15">
        <w:rPr>
          <w:rStyle w:val="StyleUnderline"/>
        </w:rPr>
        <w:t>in the 2013 calendar year that impacted</w:t>
      </w:r>
      <w:r w:rsidRPr="00AA0D15">
        <w:t xml:space="preserve"> one or more elements of </w:t>
      </w:r>
      <w:r w:rsidRPr="00AA0D15">
        <w:rPr>
          <w:rStyle w:val="StyleUnderline"/>
        </w:rPr>
        <w:t>CTE</w:t>
      </w:r>
      <w:r w:rsidRPr="00AA0D15">
        <w:t xml:space="preserve">. </w:t>
      </w:r>
      <w:r w:rsidRPr="00AA0D15">
        <w:rPr>
          <w:rStyle w:val="StyleUnderline"/>
        </w:rPr>
        <w:t xml:space="preserve">This level of engagement by state legislatures, state boards of education, governors’ offices and state agencies can be attributed to the growing awareness that CTE is key to engaging learners at all levels, closing the skills gap and bolstering America’s competitiveness advantage. </w:t>
      </w:r>
      <w:r w:rsidRPr="00AA0D15">
        <w:t xml:space="preserve">Prepared by the National Association of State Directors of Career Technical Education Consortium (NASDCTEc) and the Association for Career and Technical Education (ACTE), this paper will provide both an overview and a state-by-state review of CTE-related policies that were enacted in 2013. Overview </w:t>
      </w:r>
      <w:r w:rsidRPr="00AA0D15">
        <w:rPr>
          <w:rStyle w:val="StyleUnderline"/>
        </w:rPr>
        <w:t>Looking across all 50 states and Washington D.C., a few trends emerged. S</w:t>
      </w:r>
      <w:r w:rsidRPr="00AA0D15">
        <w:t xml:space="preserve">urprisingly, </w:t>
      </w:r>
      <w:r w:rsidRPr="00AA0D15">
        <w:rPr>
          <w:rStyle w:val="StyleUnderline"/>
        </w:rPr>
        <w:t xml:space="preserve">the </w:t>
      </w:r>
      <w:r w:rsidRPr="00AA0D15">
        <w:rPr>
          <w:rStyle w:val="Emphasis"/>
        </w:rPr>
        <w:t>most common form of activity was funding for CTE.</w:t>
      </w:r>
      <w:r w:rsidRPr="00AA0D15">
        <w:rPr>
          <w:rStyle w:val="StyleUnderline"/>
        </w:rPr>
        <w:t xml:space="preserve"> Thirty-one states directed additional funds to support new and existing CTE initiatives</w:t>
      </w:r>
      <w:r w:rsidRPr="00AA0D15">
        <w:t xml:space="preserve">, </w:t>
      </w:r>
      <w:r w:rsidRPr="00AA0D15">
        <w:rPr>
          <w:rStyle w:val="StyleUnderline"/>
        </w:rPr>
        <w:t xml:space="preserve">through such mechanisms as </w:t>
      </w:r>
      <w:r w:rsidRPr="00AA0D15">
        <w:rPr>
          <w:rStyle w:val="Emphasis"/>
        </w:rPr>
        <w:t>competitive grants to scale or replicate best practices</w:t>
      </w:r>
      <w:r w:rsidRPr="00AA0D15">
        <w:t xml:space="preserve"> (such as California, Alabama and New York), </w:t>
      </w:r>
      <w:r w:rsidRPr="00AA0D15">
        <w:rPr>
          <w:rStyle w:val="Emphasis"/>
        </w:rPr>
        <w:t xml:space="preserve">capital investments </w:t>
      </w:r>
      <w:r w:rsidRPr="00AA0D15">
        <w:t xml:space="preserve">(such as Arkansas and Massachusetts) or </w:t>
      </w:r>
      <w:r w:rsidRPr="00AA0D15">
        <w:rPr>
          <w:rStyle w:val="Emphasis"/>
        </w:rPr>
        <w:t>adjustments to the state’s funding formula</w:t>
      </w:r>
      <w:r w:rsidRPr="00AA0D15">
        <w:t xml:space="preserve"> (such as Georgia and Arizona). </w:t>
      </w:r>
      <w:r w:rsidRPr="00AA0D15">
        <w:rPr>
          <w:rStyle w:val="StyleUnderline"/>
        </w:rPr>
        <w:t>It is particularly noteworthy that so many states worked to find new sources of revenue for secondary and postsecondary CTE,</w:t>
      </w:r>
      <w:r w:rsidRPr="00AA0D15">
        <w:t xml:space="preserve"> </w:t>
      </w:r>
      <w:r w:rsidRPr="00AA0D15">
        <w:rPr>
          <w:rStyle w:val="Emphasis"/>
        </w:rPr>
        <w:t xml:space="preserve">given how tight resources are around the country. </w:t>
      </w:r>
      <w:r w:rsidRPr="00AA0D15">
        <w:t xml:space="preserve">Another major trend was around governance. Several states reorganized their state agencies or clarified regulatory authority for CTE. In addition, </w:t>
      </w:r>
      <w:r w:rsidRPr="00AA0D15">
        <w:rPr>
          <w:rStyle w:val="StyleUnderline"/>
        </w:rPr>
        <w:t>a number of states launched statewide task forces or councils to coordinate efforts to increase participation in CTE</w:t>
      </w:r>
      <w:r w:rsidRPr="00AA0D15">
        <w:t xml:space="preserve"> (such as Indiana</w:t>
      </w:r>
      <w:r w:rsidRPr="00AA0D15">
        <w:rPr>
          <w:rStyle w:val="StyleUnderline"/>
        </w:rPr>
        <w:t>), to ease transitions between secondary and postsecondary education (</w:t>
      </w:r>
      <w:r w:rsidRPr="00AA0D15">
        <w:t xml:space="preserve">such as Arkansas and Iowa) and/or to meet statewide goals related to workforce development (such as Tennessee and Oregon). There were also significant changes in regard to states’ graduation requirements. A handful of </w:t>
      </w:r>
      <w:r w:rsidRPr="00AA0D15">
        <w:rPr>
          <w:rStyle w:val="StyleUnderline"/>
        </w:rPr>
        <w:t>states passed legislation or initiated efforts to allow students to advance by demonstrating proficiency</w:t>
      </w:r>
      <w:r w:rsidRPr="00AA0D15">
        <w:t xml:space="preserve"> (rather than seat time), including Colorado, Iowa, Oklahoma and Vermont. While not all of these states have made CTE explicit in their policies, competency-based education graduation requirements certainly open the </w:t>
      </w:r>
      <w:r w:rsidRPr="00AA0D15">
        <w:rPr>
          <w:rStyle w:val="StyleUnderline"/>
        </w:rPr>
        <w:t>door to more academic and technical integration. Arizona, Washington and Wisconsin expanded policies to allow CTE courses to count toward academic requirements. In addition, a number of states developed CTE-focused endorsements for their high school diplomas, including Florida, Texas, North Carolina and Wisconsin. Finally, several states addressed expanding access to dual/concurrent enrollment by launching new task forces focused on this goal</w:t>
      </w:r>
      <w:r w:rsidRPr="00AA0D15">
        <w:t xml:space="preserve"> (such as Louisiana, Maine and Rhode Island), facilitating credit-transfer policies (such as Kentucky and Maryland) or creating centralized inventories (such as Indiana). This review also identified 11 states that addressed science, technology, engineering and math (STEM) in some way, often in concert with other policies. As this review did not focus on all STEM-related polices, but rather CTE policies, it is likely there were other statelevel STEM activities that were </w:t>
      </w:r>
      <w:r w:rsidR="007C2097">
        <w:t xml:space="preserve">not captured in this analysis. </w:t>
      </w:r>
    </w:p>
    <w:p w:rsidR="00C47278" w:rsidRPr="00AA0D15" w:rsidRDefault="007C2097" w:rsidP="00C47278">
      <w:pPr>
        <w:pStyle w:val="Heading4"/>
        <w:rPr>
          <w:rFonts w:cs="Times New Roman"/>
        </w:rPr>
      </w:pPr>
      <w:r>
        <w:rPr>
          <w:rFonts w:cs="Times New Roman"/>
        </w:rPr>
        <w:t>Most states are acting in this area now---the counterplan perfects this approach</w:t>
      </w:r>
    </w:p>
    <w:p w:rsidR="00C47278" w:rsidRPr="00AA0D15" w:rsidRDefault="00C47278" w:rsidP="00C47278">
      <w:r w:rsidRPr="00AA0D15">
        <w:rPr>
          <w:rStyle w:val="Style13ptBold"/>
        </w:rPr>
        <w:t>ACTE 1/17</w:t>
      </w:r>
      <w:r w:rsidRPr="00AA0D15">
        <w:t xml:space="preserve"> - the Association for Career and Technical Education is a non-profit association of CTE professionals (“State Policies Impacting CTE: 2016 Year in Review,” ACTE Online, </w:t>
      </w:r>
      <w:hyperlink r:id="rId93" w:history="1">
        <w:r w:rsidRPr="00AA0D15">
          <w:rPr>
            <w:rStyle w:val="Hyperlink"/>
          </w:rPr>
          <w:t>https://cte.careertech.org/sites/default/files/files/resources/2016_State_Policy_Year_in_Review.pdf</w:t>
        </w:r>
      </w:hyperlink>
      <w:r w:rsidRPr="00AA0D15">
        <w:rPr>
          <w:rStyle w:val="Hyperlink"/>
        </w:rPr>
        <w:t>)</w:t>
      </w:r>
    </w:p>
    <w:p w:rsidR="00C47278" w:rsidRPr="00AA0D15" w:rsidRDefault="00C47278" w:rsidP="00C47278">
      <w:r w:rsidRPr="00AA0D15">
        <w:t xml:space="preserve">In </w:t>
      </w:r>
      <w:r w:rsidRPr="00AA0D15">
        <w:rPr>
          <w:rStyle w:val="StyleUnderline"/>
        </w:rPr>
        <w:t>2016</w:t>
      </w:r>
      <w:r w:rsidRPr="00AA0D15">
        <w:t xml:space="preserve">, </w:t>
      </w:r>
      <w:r w:rsidRPr="00AA0D15">
        <w:rPr>
          <w:rStyle w:val="StyleUnderline"/>
        </w:rPr>
        <w:t>42 states carried out a total of 139 policy actions relevant to CTE, including laws, executive orders, board of education actions, budget provisions and ballot initiatives</w:t>
      </w:r>
      <w:r w:rsidRPr="00AA0D15">
        <w:t xml:space="preserve">. This represents an increase over 2015 activity. </w:t>
      </w:r>
      <w:r w:rsidRPr="00AA0D15">
        <w:rPr>
          <w:rStyle w:val="StyleUnderline"/>
        </w:rPr>
        <w:t>Several states passed packages of legislation impacting multiple elements of CTE programming</w:t>
      </w:r>
      <w:r w:rsidRPr="00AA0D15">
        <w:t xml:space="preserve">, such as Virginia, California, Indiana and Idaho, while Iowa took a deep dive into redesigning secondary CTE and career development. The governors in several of these states had previously signaled that CTE would be a priority in 2016 in their state of the state addresses, including Gov. C.L. “Butch” Otter of Idaho and Gov. Terry McAuliffe of Virginia, which helped provide momentum for such reforms. Key Takeaways In 2016, </w:t>
      </w:r>
      <w:r w:rsidRPr="00AA0D15">
        <w:rPr>
          <w:rStyle w:val="StyleUnderline"/>
        </w:rPr>
        <w:t>funding continued its streak as the top category of state CTE policies</w:t>
      </w:r>
      <w:r w:rsidRPr="00AA0D15">
        <w:t xml:space="preserve"> for the fourth year in a row. Twenty-eight states took action to financially support CTE activities this past year, including new sources of funding, redirected funds, scholarships and incentives. </w:t>
      </w:r>
      <w:r w:rsidRPr="00AA0D15">
        <w:rPr>
          <w:rStyle w:val="StyleUnderline"/>
        </w:rPr>
        <w:t>New grant programs supporting CTE were established in several states</w:t>
      </w:r>
      <w:r w:rsidRPr="00AA0D15">
        <w:t>, including California and Massachusetts. Oregon created the College and Career Readiness Fund, which calls on the legislature to allocate $800 per high school student each year for CTE programs as well as dual credit and dropout prevention, while Utah started a fund to develop programs of study with industry. In addition, the prior year’s cuts to CTE in Arizona were restored.</w:t>
      </w:r>
    </w:p>
    <w:p w:rsidR="00C47278" w:rsidRPr="00AA0D15" w:rsidRDefault="007C2097" w:rsidP="00C47278">
      <w:pPr>
        <w:pStyle w:val="Heading4"/>
        <w:rPr>
          <w:rFonts w:cs="Times New Roman"/>
        </w:rPr>
      </w:pPr>
      <w:r>
        <w:rPr>
          <w:rFonts w:cs="Times New Roman"/>
        </w:rPr>
        <w:t>States can create uniform standards</w:t>
      </w:r>
    </w:p>
    <w:p w:rsidR="00C47278" w:rsidRPr="00AA0D15" w:rsidRDefault="00C47278" w:rsidP="00C47278">
      <w:r w:rsidRPr="007C2097">
        <w:rPr>
          <w:rStyle w:val="Style13ptBold"/>
        </w:rPr>
        <w:t>National Association of State Directors of CTE Consortium 16</w:t>
      </w:r>
      <w:r w:rsidRPr="00AA0D15">
        <w:t xml:space="preserve"> - organization of representatives for CTE across the nation (“The State of Career Technical Education: An Analysis of State CTE Standards,” CTE Career Tech, </w:t>
      </w:r>
      <w:hyperlink r:id="rId94" w:history="1">
        <w:r w:rsidRPr="00AA0D15">
          <w:rPr>
            <w:rStyle w:val="Hyperlink"/>
          </w:rPr>
          <w:t>https://cte.careertech.org/sites/default/files/State-CTE-Standards-ReportFINAL.pdf</w:t>
        </w:r>
      </w:hyperlink>
      <w:r w:rsidRPr="00AA0D15">
        <w:t xml:space="preserve">) </w:t>
      </w:r>
    </w:p>
    <w:p w:rsidR="00C47278" w:rsidRPr="00AA0D15" w:rsidRDefault="00C47278" w:rsidP="00C47278">
      <w:r w:rsidRPr="00AA0D15">
        <w:t>For the first time in the history of Career Technical Education (CTE</w:t>
      </w:r>
      <w:r w:rsidRPr="00AA0D15">
        <w:rPr>
          <w:rStyle w:val="StyleUnderline"/>
        </w:rPr>
        <w:t>), states and territories throughout the United States have developed a common set of benchmark standards</w:t>
      </w:r>
      <w:r w:rsidRPr="00AA0D15">
        <w:t xml:space="preserve"> – the Common Career Technical Core – that defines what CTE students should know and must be able to do to thrive in a global economy. </w:t>
      </w:r>
      <w:r w:rsidRPr="00AA0D15">
        <w:rPr>
          <w:rStyle w:val="StyleUnderline"/>
        </w:rPr>
        <w:t>The state-led development of these benchmarks represents a critical step towards the states voicing and agreeing on a shared understanding of the foundational capabilities successful CTE programs are expected to shape and instill in participating students</w:t>
      </w:r>
      <w:r w:rsidRPr="00AA0D15">
        <w:t>. Although significant, this achievement is but a first step in ensuring that graduates of CTE programs acquire the knowledge and skills they need to be relevant in today’s highly competitive and global labor market. The critical next step is for states to adopt and implement the Common Career Technical Core so they may reap the full benefits of these standards.</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Federal solvency deficit</w:t>
      </w:r>
    </w:p>
    <w:p w:rsidR="00C47278" w:rsidRPr="00AA0D15" w:rsidRDefault="00C47278" w:rsidP="00C47278">
      <w:pPr>
        <w:pStyle w:val="Heading4"/>
        <w:rPr>
          <w:rFonts w:cs="Times New Roman"/>
        </w:rPr>
      </w:pPr>
      <w:r w:rsidRPr="00AA0D15">
        <w:rPr>
          <w:rFonts w:cs="Times New Roman"/>
        </w:rPr>
        <w:t>The aff fails because CTE doesn’t account for changes in the economy – but the pinpointing high growth industries plank solves this</w:t>
      </w:r>
    </w:p>
    <w:p w:rsidR="00C47278" w:rsidRPr="00AA0D15" w:rsidRDefault="00C47278" w:rsidP="00C47278">
      <w:pPr>
        <w:rPr>
          <w:b/>
        </w:rPr>
      </w:pPr>
      <w:r w:rsidRPr="00AA0D15">
        <w:rPr>
          <w:b/>
        </w:rPr>
        <w:t xml:space="preserve">Barnum 6-6 – </w:t>
      </w:r>
      <w:r w:rsidRPr="00AA0D15">
        <w:t>Matt Barnum is a writer based in Brooklyn, New York. ("The Long-Term Downside to a Bipartisan Education Initiative," 6-6-2017, The Atlantic, https://www.theatlantic.com/education/archive/2017/06/the-downside-to-career-and-technical-education/529161/)//jkuffour</w:t>
      </w:r>
    </w:p>
    <w:p w:rsidR="00C47278" w:rsidRPr="00AA0D15" w:rsidRDefault="00C47278" w:rsidP="00C47278">
      <w:r w:rsidRPr="00AA0D15">
        <w:t xml:space="preserve">Quick: What’s one education topic that </w:t>
      </w:r>
      <w:hyperlink r:id="rId95" w:history="1">
        <w:r w:rsidRPr="00AA0D15">
          <w:rPr>
            <w:rStyle w:val="Hyperlink"/>
          </w:rPr>
          <w:t>Betsy DeVos</w:t>
        </w:r>
      </w:hyperlink>
      <w:r w:rsidRPr="00AA0D15">
        <w:t xml:space="preserve">, </w:t>
      </w:r>
      <w:hyperlink r:id="rId96" w:history="1">
        <w:r w:rsidRPr="00AA0D15">
          <w:rPr>
            <w:rStyle w:val="Hyperlink"/>
          </w:rPr>
          <w:t>Randi Weingarten</w:t>
        </w:r>
      </w:hyperlink>
      <w:r w:rsidRPr="00AA0D15">
        <w:t xml:space="preserve">, </w:t>
      </w:r>
      <w:hyperlink r:id="rId97" w:history="1">
        <w:r w:rsidRPr="00AA0D15">
          <w:rPr>
            <w:rStyle w:val="Hyperlink"/>
          </w:rPr>
          <w:t>Donald Trump</w:t>
        </w:r>
      </w:hyperlink>
      <w:r w:rsidRPr="00AA0D15">
        <w:t xml:space="preserve">, and </w:t>
      </w:r>
      <w:hyperlink r:id="rId98" w:history="1">
        <w:r w:rsidRPr="00AA0D15">
          <w:rPr>
            <w:rStyle w:val="Hyperlink"/>
          </w:rPr>
          <w:t>Al Franken</w:t>
        </w:r>
      </w:hyperlink>
      <w:r w:rsidRPr="00AA0D15">
        <w:t xml:space="preserve"> all support? It’s actually career and technical education—something they’ve all said America’s schools need in order to better prepare graduates for the economy. President Trump even </w:t>
      </w:r>
      <w:hyperlink r:id="rId99" w:history="1">
        <w:r w:rsidRPr="00AA0D15">
          <w:rPr>
            <w:rStyle w:val="Hyperlink"/>
          </w:rPr>
          <w:t>praised</w:t>
        </w:r>
      </w:hyperlink>
      <w:r w:rsidRPr="00AA0D15">
        <w:t xml:space="preserve"> Germany’s approach to vocational education recently. Trump’s budget </w:t>
      </w:r>
      <w:hyperlink r:id="rId100" w:history="1">
        <w:r w:rsidRPr="00AA0D15">
          <w:rPr>
            <w:rStyle w:val="Hyperlink"/>
          </w:rPr>
          <w:t>actually cuts</w:t>
        </w:r>
      </w:hyperlink>
      <w:r w:rsidRPr="00AA0D15">
        <w:t xml:space="preserve"> CTE funding, but, at least in theory, there’s wide support across the ideological spectrum for helping more students learn career-specific skills in high school. </w:t>
      </w:r>
      <w:r w:rsidRPr="00AA0D15">
        <w:rPr>
          <w:rStyle w:val="StyleUnderline"/>
        </w:rPr>
        <w:t xml:space="preserve">Yet </w:t>
      </w:r>
      <w:r w:rsidRPr="00AA0D15">
        <w:rPr>
          <w:rStyle w:val="Emphasis"/>
        </w:rPr>
        <w:t xml:space="preserve">new international </w:t>
      </w:r>
      <w:hyperlink r:id="rId101" w:history="1">
        <w:r w:rsidRPr="00AA0D15">
          <w:rPr>
            <w:rStyle w:val="Emphasis"/>
          </w:rPr>
          <w:t>research</w:t>
        </w:r>
      </w:hyperlink>
      <w:r w:rsidRPr="00AA0D15">
        <w:rPr>
          <w:rStyle w:val="Emphasis"/>
        </w:rPr>
        <w:t xml:space="preserve"> points to a significant downside of</w:t>
      </w:r>
      <w:r w:rsidRPr="00AA0D15">
        <w:rPr>
          <w:rStyle w:val="StyleUnderline"/>
        </w:rPr>
        <w:t xml:space="preserve"> such </w:t>
      </w:r>
      <w:r w:rsidRPr="00AA0D15">
        <w:rPr>
          <w:rStyle w:val="Emphasis"/>
        </w:rPr>
        <w:t>programs: Students</w:t>
      </w:r>
      <w:r w:rsidRPr="00AA0D15">
        <w:rPr>
          <w:rStyle w:val="StyleUnderline"/>
        </w:rPr>
        <w:t xml:space="preserve"> </w:t>
      </w:r>
      <w:r w:rsidRPr="00AA0D15">
        <w:t>may benefit early in their careers, but</w:t>
      </w:r>
      <w:r w:rsidRPr="00AA0D15">
        <w:rPr>
          <w:rStyle w:val="StyleUnderline"/>
        </w:rPr>
        <w:t xml:space="preserve"> </w:t>
      </w:r>
      <w:r w:rsidRPr="00AA0D15">
        <w:rPr>
          <w:rStyle w:val="Emphasis"/>
        </w:rPr>
        <w:t>are harmed later in life as the economy changes and they lack the general skills necessary to adapt. The study raises concerns about</w:t>
      </w:r>
      <w:r w:rsidRPr="00AA0D15">
        <w:rPr>
          <w:rStyle w:val="StyleUnderline"/>
        </w:rPr>
        <w:t xml:space="preserve"> the trade-offs that could come with significantly expanding </w:t>
      </w:r>
      <w:r w:rsidRPr="00AA0D15">
        <w:rPr>
          <w:rStyle w:val="Emphasis"/>
        </w:rPr>
        <w:t>c</w:t>
      </w:r>
      <w:r w:rsidRPr="00AA0D15">
        <w:rPr>
          <w:rStyle w:val="StyleUnderline"/>
        </w:rPr>
        <w:t xml:space="preserve">areer and </w:t>
      </w:r>
      <w:r w:rsidRPr="00AA0D15">
        <w:rPr>
          <w:rStyle w:val="Emphasis"/>
        </w:rPr>
        <w:t>t</w:t>
      </w:r>
      <w:r w:rsidRPr="00AA0D15">
        <w:rPr>
          <w:rStyle w:val="StyleUnderline"/>
        </w:rPr>
        <w:t xml:space="preserve">echnical </w:t>
      </w:r>
      <w:r w:rsidRPr="00AA0D15">
        <w:rPr>
          <w:rStyle w:val="Emphasis"/>
        </w:rPr>
        <w:t>t</w:t>
      </w:r>
      <w:r w:rsidRPr="00AA0D15">
        <w:rPr>
          <w:rStyle w:val="StyleUnderline"/>
        </w:rPr>
        <w:t>raining</w:t>
      </w:r>
      <w:r w:rsidRPr="00AA0D15">
        <w:t xml:space="preserve"> in the United States—at least any version that substitutes for broad knowledge and skills transferable across jobs. “Individuals with general education initially face worse employment outcomes but experience improved employment probability as they become older relative to individuals with vocational education,” write four researchers in the study, which </w:t>
      </w:r>
      <w:hyperlink r:id="rId102" w:history="1">
        <w:r w:rsidRPr="00AA0D15">
          <w:rPr>
            <w:rStyle w:val="Hyperlink"/>
          </w:rPr>
          <w:t>appeared</w:t>
        </w:r>
      </w:hyperlink>
      <w:r w:rsidRPr="00AA0D15">
        <w:t xml:space="preserve"> in the winter 2017 issue of the peer-reviewed Journal of Human Resources. Many European and developing countries provide extensive vocational education, including apprenticeships with involvement from industry, the authors note. That stands in contrast with the U.S., which has reduced or eliminated separate vocational tracks in most high schools. Looking at 11 European countries, the </w:t>
      </w:r>
      <w:r w:rsidRPr="00AA0D15">
        <w:rPr>
          <w:rStyle w:val="StyleUnderline"/>
        </w:rPr>
        <w:t>researchers compared students within the same country who went on the vocational track to similar students who went through a general-education program</w:t>
      </w:r>
      <w:r w:rsidRPr="00AA0D15">
        <w:t xml:space="preserve">. (The study excludes women, citing changes over time in their likelihood of participating in the workforce.) The takeaway is that </w:t>
      </w:r>
      <w:r w:rsidRPr="00AA0D15">
        <w:rPr>
          <w:rStyle w:val="StyleUnderline"/>
        </w:rPr>
        <w:t xml:space="preserve">although vocational students make higher salaries and are more likely to be employed as young adults, that advantage fades over time; </w:t>
      </w:r>
      <w:r w:rsidRPr="00AA0D15">
        <w:rPr>
          <w:rStyle w:val="Emphasis"/>
        </w:rPr>
        <w:t>by their late forties, those who went through a general education program have higher employment rates</w:t>
      </w:r>
      <w:r w:rsidRPr="00AA0D15">
        <w:rPr>
          <w:rStyle w:val="StyleUnderline"/>
        </w:rPr>
        <w:t>.</w:t>
      </w:r>
      <w:r w:rsidRPr="00AA0D15">
        <w:t xml:space="preserve"> Those findings were confirmed with more granular data from Germany and Austria. “The advantages of vocational training in smoothing entry into the labor market have to be set against disadvantages later in life,” the study concludes. Germany requires students at age 10 to choose a vocational high school, academic high school, or what one Atlantic </w:t>
      </w:r>
      <w:hyperlink r:id="rId103" w:history="1">
        <w:r w:rsidRPr="00AA0D15">
          <w:rPr>
            <w:rStyle w:val="Hyperlink"/>
          </w:rPr>
          <w:t>article</w:t>
        </w:r>
      </w:hyperlink>
      <w:r w:rsidRPr="00AA0D15">
        <w:t xml:space="preserve"> described as “something in between.” Students have frequent opportunities to move between tracks down the line. In the U.S., </w:t>
      </w:r>
      <w:r w:rsidRPr="00AA0D15">
        <w:rPr>
          <w:rStyle w:val="StyleUnderline"/>
        </w:rPr>
        <w:t>career-focused courses are often just a small part of a student’s course load</w:t>
      </w:r>
      <w:r w:rsidRPr="00AA0D15">
        <w:t xml:space="preserve">. As of 2009, the </w:t>
      </w:r>
      <w:hyperlink r:id="rId104" w:history="1">
        <w:r w:rsidRPr="00AA0D15">
          <w:rPr>
            <w:rStyle w:val="Hyperlink"/>
          </w:rPr>
          <w:t>average</w:t>
        </w:r>
      </w:hyperlink>
      <w:r w:rsidRPr="00AA0D15">
        <w:t xml:space="preserve"> American student took 3.6 CTE classes in high school. The authors of the latest research say the findings don’t imply that career-and-technical education is necessarily a bad idea, just that </w:t>
      </w:r>
      <w:r w:rsidRPr="00AA0D15">
        <w:rPr>
          <w:rStyle w:val="StyleUnderline"/>
        </w:rPr>
        <w:t xml:space="preserve">it is important to understand the trade-offs. </w:t>
      </w:r>
      <w:r w:rsidRPr="00AA0D15">
        <w:t xml:space="preserve">The results also suggest that </w:t>
      </w:r>
      <w:r w:rsidRPr="00AA0D15">
        <w:rPr>
          <w:rStyle w:val="Emphasis"/>
        </w:rPr>
        <w:t>policymakers looking</w:t>
      </w:r>
      <w:r w:rsidRPr="00AA0D15">
        <w:rPr>
          <w:rStyle w:val="StyleUnderline"/>
        </w:rPr>
        <w:t xml:space="preserve"> only </w:t>
      </w:r>
      <w:r w:rsidRPr="00AA0D15">
        <w:rPr>
          <w:rStyle w:val="Emphasis"/>
        </w:rPr>
        <w:t>at the short-term impacts</w:t>
      </w:r>
      <w:r w:rsidRPr="00AA0D15">
        <w:rPr>
          <w:rStyle w:val="StyleUnderline"/>
        </w:rPr>
        <w:t xml:space="preserve"> of such programs </w:t>
      </w:r>
      <w:r w:rsidRPr="00AA0D15">
        <w:rPr>
          <w:rStyle w:val="Emphasis"/>
        </w:rPr>
        <w:t>may not be getting an accurate understanding of their effects.</w:t>
      </w:r>
      <w:r w:rsidRPr="00AA0D15">
        <w:t xml:space="preserve"> One </w:t>
      </w:r>
      <w:hyperlink r:id="rId105" w:history="1">
        <w:r w:rsidRPr="00AA0D15">
          <w:rPr>
            <w:rStyle w:val="Hyperlink"/>
          </w:rPr>
          <w:t>recent study</w:t>
        </w:r>
      </w:hyperlink>
      <w:r w:rsidRPr="00AA0D15">
        <w:t xml:space="preserve"> of Arkansas’s high-school CTE program—which requires students to take six career-focused classes in high school in order to graduate and allows them to concentrate in specific areas—found that participants had higher earnings and employment rates as young adults. Longer-run impacts were not examined. Shaun Dougherty, the author of the Arkansas research and a professor at the University of Connecticut, praised aspects of the recent international study but said that it had limited ability to guide policy in the U.S. “Opportunities and expectations for retraining and intermittent higher education and certification look very different now, in the U.S., than they did in Europe 30-plus years ago (or now for that matter),” he told Chalkbeat in an email. The results likely depend on the precise design of CTE programs. Dougherty’s research found that CTE students were more likely to graduate high school and just as likely to attend four-year colleges, suggesting the program did not steer students away from higher education. Another U.S. </w:t>
      </w:r>
      <w:hyperlink r:id="rId106" w:history="1">
        <w:r w:rsidRPr="00AA0D15">
          <w:rPr>
            <w:rStyle w:val="Hyperlink"/>
          </w:rPr>
          <w:t>study</w:t>
        </w:r>
      </w:hyperlink>
      <w:r w:rsidRPr="00AA0D15">
        <w:t xml:space="preserve"> looking at the federal Perkins CTE program found that participation did not harm (or help) math performance. Dougherty said </w:t>
      </w:r>
      <w:r w:rsidRPr="00AA0D15">
        <w:rPr>
          <w:rStyle w:val="StyleUnderline"/>
        </w:rPr>
        <w:t xml:space="preserve">more research on the topic is important, but noted the significant difficulty in making predictions about the future of the labor market. </w:t>
      </w:r>
      <w:r w:rsidRPr="00AA0D15">
        <w:t>“There may be a long-term trade-off [in CTE programs], but none of us can forecast accurately what will happen, even on average, with much reliability,” he said.</w:t>
      </w:r>
    </w:p>
    <w:p w:rsidR="00C47278" w:rsidRPr="00AA0D15" w:rsidRDefault="00C47278" w:rsidP="00C47278">
      <w:pPr>
        <w:pStyle w:val="Heading3"/>
        <w:rPr>
          <w:rFonts w:cs="Times New Roman"/>
        </w:rPr>
      </w:pPr>
      <w:r w:rsidRPr="00AA0D15">
        <w:rPr>
          <w:rFonts w:cs="Times New Roman"/>
        </w:rPr>
        <w:t>AT transfer credit deficit</w:t>
      </w:r>
    </w:p>
    <w:p w:rsidR="00C47278" w:rsidRPr="00AA0D15" w:rsidRDefault="00C47278" w:rsidP="00C47278">
      <w:pPr>
        <w:pStyle w:val="Heading4"/>
        <w:rPr>
          <w:rFonts w:cs="Times New Roman"/>
        </w:rPr>
      </w:pPr>
      <w:r w:rsidRPr="00AA0D15">
        <w:rPr>
          <w:rFonts w:cs="Times New Roman"/>
        </w:rPr>
        <w:t xml:space="preserve">States solve credit transfer issues </w:t>
      </w:r>
    </w:p>
    <w:p w:rsidR="00C47278" w:rsidRPr="00AA0D15" w:rsidRDefault="00C47278" w:rsidP="00C47278">
      <w:r w:rsidRPr="00AA0D15">
        <w:rPr>
          <w:b/>
        </w:rPr>
        <w:t>NASDCTEc 13</w:t>
      </w:r>
      <w:r w:rsidRPr="00AA0D15">
        <w:t xml:space="preserve"> – NASDCTEc is the National Association of State Directors of Career Technical Education Consortium. NASDCTEc was established in 1920 to represent the state and territory heads of secondary, postsecondary and adult Career Technical Education (CTE) across the nation. NASDCTEc, through leadership, advocacy and partnerships, aims to support an innovative CTE system that prepares individuals to succeed in education and their careers, and poises the United States to flourish in a global, dynamic economy. In cooperation with the National Career Technical Education Foundation (NCTEF), NASDCTEc provides leadership and support for The National Career Clusters® Framework to deliver high-quality CTE programs through improved curriculum design and instruction, “The State of Career Technical Education An Analysis of State CTE Standards,” 2013, Career Tech, https://careertech.org/sites/default/files/State-CTE-Standards-ReportFINAL.pdf)//jkuffour</w:t>
      </w:r>
    </w:p>
    <w:p w:rsidR="00C47278" w:rsidRPr="00AA0D15" w:rsidRDefault="00C47278" w:rsidP="00C47278">
      <w:pPr>
        <w:rPr>
          <w:rStyle w:val="Emphasis"/>
        </w:rPr>
      </w:pPr>
      <w:r w:rsidRPr="00AA0D15">
        <w:rPr>
          <w:rStyle w:val="Emphasis"/>
        </w:rPr>
        <w:t>Fill the Postsecondary CTE Standards Gap</w:t>
      </w:r>
      <w:r w:rsidRPr="00AA0D15">
        <w:t xml:space="preserve"> The economic forecasts project that the majority of careers will require some type of postsecondary credential or degree.18 While states have continued to make progress in building collaboration across secondary and postsecondary CTE programs,</w:t>
      </w:r>
      <w:r w:rsidRPr="00AA0D15">
        <w:rPr>
          <w:rStyle w:val="StyleUnderline"/>
        </w:rPr>
        <w:t xml:space="preserve"> there is much work still be done in this area.</w:t>
      </w:r>
      <w:r w:rsidRPr="00AA0D15">
        <w:t xml:space="preserve"> Most notably, </w:t>
      </w:r>
      <w:r w:rsidRPr="00AA0D15">
        <w:rPr>
          <w:rStyle w:val="Emphasis"/>
        </w:rPr>
        <w:t>the absence of state-approved postsecondary CTE standards in</w:t>
      </w:r>
      <w:r w:rsidRPr="00AA0D15">
        <w:rPr>
          <w:rStyle w:val="StyleUnderline"/>
        </w:rPr>
        <w:t xml:space="preserve"> most </w:t>
      </w:r>
      <w:r w:rsidRPr="00AA0D15">
        <w:rPr>
          <w:rStyle w:val="Emphasis"/>
        </w:rPr>
        <w:t>states</w:t>
      </w:r>
      <w:r w:rsidRPr="00AA0D15">
        <w:rPr>
          <w:rStyle w:val="StyleUnderline"/>
        </w:rPr>
        <w:t xml:space="preserve"> </w:t>
      </w:r>
      <w:r w:rsidRPr="00AA0D15">
        <w:rPr>
          <w:rStyle w:val="Emphasis"/>
        </w:rPr>
        <w:t>makes this learner level alignment a</w:t>
      </w:r>
      <w:r w:rsidRPr="00AA0D15">
        <w:rPr>
          <w:rStyle w:val="StyleUnderline"/>
        </w:rPr>
        <w:t xml:space="preserve"> significant </w:t>
      </w:r>
      <w:r w:rsidRPr="00AA0D15">
        <w:rPr>
          <w:rStyle w:val="Emphasis"/>
        </w:rPr>
        <w:t>challenge</w:t>
      </w:r>
      <w:r w:rsidRPr="00AA0D15">
        <w:rPr>
          <w:rStyle w:val="StyleUnderline"/>
        </w:rPr>
        <w:t xml:space="preserve">. </w:t>
      </w:r>
      <w:r w:rsidRPr="00AA0D15">
        <w:t xml:space="preserve">To achieve the desired systemic alignment, </w:t>
      </w:r>
      <w:r w:rsidRPr="00AA0D15">
        <w:rPr>
          <w:rStyle w:val="StyleUnderline"/>
        </w:rPr>
        <w:t>progress will need to be made toward common standards within states, and ideally across states</w:t>
      </w:r>
      <w:r w:rsidRPr="00AA0D15">
        <w:t xml:space="preserve">. Further, </w:t>
      </w:r>
      <w:r w:rsidRPr="00AA0D15">
        <w:rPr>
          <w:rStyle w:val="Emphasis"/>
        </w:rPr>
        <w:t xml:space="preserve">the lack of common postsecondary CTE standards makes credit transfer agreements </w:t>
      </w:r>
      <w:r w:rsidRPr="00AA0D15">
        <w:rPr>
          <w:rStyle w:val="StyleUnderline"/>
        </w:rPr>
        <w:t xml:space="preserve">between secondary and postsecondary institutions and among postsecondary institutions </w:t>
      </w:r>
      <w:r w:rsidRPr="00AA0D15">
        <w:rPr>
          <w:rStyle w:val="Emphasis"/>
        </w:rPr>
        <w:t>an ongoing challenge</w:t>
      </w:r>
      <w:r w:rsidRPr="00AA0D15">
        <w:rPr>
          <w:rStyle w:val="StyleUnderline"/>
        </w:rPr>
        <w:t>.</w:t>
      </w:r>
      <w:r w:rsidRPr="00AA0D15">
        <w:t xml:space="preserve"> While many states have devised ‘work arounds,’ including some statewide articulation and common course numbering systems, </w:t>
      </w:r>
      <w:r w:rsidRPr="00AA0D15">
        <w:rPr>
          <w:rStyle w:val="StyleUnderline"/>
        </w:rPr>
        <w:t>many students earn college credit in high school that has limited value</w:t>
      </w:r>
      <w:r w:rsidRPr="00AA0D15">
        <w:t xml:space="preserve"> in the postsecondary space beyond a single institution of higher education. </w:t>
      </w:r>
      <w:r w:rsidRPr="00AA0D15">
        <w:rPr>
          <w:rStyle w:val="Emphasis"/>
        </w:rPr>
        <w:t>Having a truly aligned set of secondary and postsecondary CTE standards would provide a common framework to more easily accomplish these goals</w:t>
      </w:r>
      <w:r w:rsidRPr="00AA0D15">
        <w:t xml:space="preserve">. Implementation of Standards with Fidelity </w:t>
      </w:r>
      <w:r w:rsidRPr="00AA0D15">
        <w:rPr>
          <w:rStyle w:val="StyleUnderline"/>
        </w:rPr>
        <w:t>States have significant responsibility for monitoring the quality of CTE programs</w:t>
      </w:r>
      <w:r w:rsidRPr="00AA0D15">
        <w:t xml:space="preserve">, even in local control environments. This monitoring is how most states determine whether locals are implementing state-approved standards with fidelity. </w:t>
      </w:r>
      <w:r w:rsidRPr="00AA0D15">
        <w:rPr>
          <w:rStyle w:val="StyleUnderline"/>
        </w:rPr>
        <w:t>However</w:t>
      </w:r>
      <w:r w:rsidRPr="00AA0D15">
        <w:rPr>
          <w:rStyle w:val="Emphasis"/>
        </w:rPr>
        <w:t>, there is a wide range in how states actually use program evaluation as a lever for ensuring quality</w:t>
      </w:r>
      <w:r w:rsidRPr="00AA0D15">
        <w:rPr>
          <w:rStyle w:val="StyleUnderline"/>
        </w:rPr>
        <w:t xml:space="preserve"> and consistency across programs. It is</w:t>
      </w:r>
      <w:r w:rsidRPr="00AA0D15">
        <w:t xml:space="preserve"> often </w:t>
      </w:r>
      <w:r w:rsidRPr="00AA0D15">
        <w:rPr>
          <w:rStyle w:val="StyleUnderline"/>
        </w:rPr>
        <w:t>hard to tell</w:t>
      </w:r>
      <w:r w:rsidRPr="00AA0D15">
        <w:t xml:space="preserve">, even in states that have required state-approved standards, </w:t>
      </w:r>
      <w:r w:rsidRPr="00AA0D15">
        <w:rPr>
          <w:rStyle w:val="StyleUnderline"/>
        </w:rPr>
        <w:t xml:space="preserve">how well those standards are being implemented in classrooms across the state. </w:t>
      </w:r>
      <w:r w:rsidRPr="00AA0D15">
        <w:rPr>
          <w:rStyle w:val="Emphasis"/>
        </w:rPr>
        <w:t>Improved monitoring and reporting procedures are needed to tell if standards are being implemented with fidelity</w:t>
      </w:r>
      <w:r w:rsidRPr="00AA0D15">
        <w:t xml:space="preserve">. Continued Progress on Programs of Study States have made significant progress in the development and implementation of programs of study, but not enough to allow programs of study to transform CTE instruction for students. </w:t>
      </w:r>
      <w:r w:rsidRPr="00AA0D15">
        <w:rPr>
          <w:rStyle w:val="StyleUnderline"/>
        </w:rPr>
        <w:t>Programs of study require a non-duplicative sequence of academic and technical standards across secondary and postsecondary education</w:t>
      </w:r>
      <w:r w:rsidRPr="00AA0D15">
        <w:t xml:space="preserve">, the model on which the CCTC were built, </w:t>
      </w:r>
      <w:r w:rsidRPr="00AA0D15">
        <w:rPr>
          <w:rStyle w:val="StyleUnderline"/>
        </w:rPr>
        <w:t xml:space="preserve">yet </w:t>
      </w:r>
      <w:r w:rsidRPr="00AA0D15">
        <w:rPr>
          <w:rStyle w:val="Emphasis"/>
        </w:rPr>
        <w:t>very few states actually base their programs of study on aligned state standards</w:t>
      </w:r>
      <w:r w:rsidRPr="00AA0D15">
        <w:rPr>
          <w:rStyle w:val="StyleUnderline"/>
        </w:rPr>
        <w:t>. Programs of study are a powerful tool for preparing students for the career of their choice</w:t>
      </w:r>
      <w:r w:rsidRPr="00AA0D15">
        <w:t xml:space="preserve">, but only if they are rigorous and offer students the opportunity to experience postsecondary learning and earn a meaningful credential or degree. Implementation of the Common Career Technical Core </w:t>
      </w:r>
      <w:r w:rsidRPr="00AA0D15">
        <w:rPr>
          <w:rStyle w:val="StyleUnderline"/>
        </w:rPr>
        <w:t>When the CCTC were developed, it was intentionally done to support the goal of transitioning to a delivery system of programs of study</w:t>
      </w:r>
      <w:r w:rsidRPr="00AA0D15">
        <w:t xml:space="preserve">. And while many states have a high degree of alignment to the Career Ready Practices, </w:t>
      </w:r>
      <w:r w:rsidRPr="00AA0D15">
        <w:rPr>
          <w:rStyle w:val="StyleUnderline"/>
        </w:rPr>
        <w:t>the implementation of such standards requires a different approach – shifting of content employability or career development standards – to practice standards that are embraced and implemented at every grade level, with increasing complexity</w:t>
      </w:r>
      <w:r w:rsidRPr="00AA0D15">
        <w:t xml:space="preserve">. States will be faced with the decision, in partnership with their employer and community stakeholders, of how to interpret the alignment results, what actions to take and if they want to move toward adoption of the CCTC. Many will have to decide if they want to incorporate a set of broader CCTC Career Cluster and Career Pathway standards, alongside of or in place of existing state or industry standards that are narrower in focus. In any case, </w:t>
      </w:r>
      <w:r w:rsidRPr="00AA0D15">
        <w:rPr>
          <w:rStyle w:val="Emphasis"/>
        </w:rPr>
        <w:t>the CCTC offer a strong anchor to states’ standards and programs of study.</w:t>
      </w:r>
    </w:p>
    <w:p w:rsidR="00C47278" w:rsidRPr="00AA0D15" w:rsidRDefault="00C47278" w:rsidP="00C47278"/>
    <w:p w:rsidR="00C47278" w:rsidRPr="00AA0D15" w:rsidRDefault="00C47278" w:rsidP="00C47278"/>
    <w:p w:rsidR="00C47278" w:rsidRPr="00AA0D15" w:rsidRDefault="00C47278" w:rsidP="00C47278"/>
    <w:p w:rsidR="00C47278" w:rsidRPr="00AA0D15" w:rsidRDefault="00C47278" w:rsidP="00C47278">
      <w:pPr>
        <w:pStyle w:val="Heading2"/>
        <w:rPr>
          <w:rFonts w:cs="Times New Roman"/>
        </w:rPr>
      </w:pPr>
      <w:r w:rsidRPr="00AA0D15">
        <w:rPr>
          <w:rFonts w:cs="Times New Roman"/>
        </w:rPr>
        <w:t>STEM</w:t>
      </w:r>
    </w:p>
    <w:p w:rsidR="00C47278" w:rsidRPr="00AA0D15" w:rsidRDefault="00C47278" w:rsidP="00C47278">
      <w:pPr>
        <w:pStyle w:val="Heading3"/>
        <w:rPr>
          <w:rFonts w:cs="Times New Roman"/>
        </w:rPr>
      </w:pPr>
      <w:r w:rsidRPr="00AA0D15">
        <w:rPr>
          <w:rFonts w:cs="Times New Roman"/>
        </w:rPr>
        <w:t>1nc solvency</w:t>
      </w:r>
    </w:p>
    <w:p w:rsidR="00C47278" w:rsidRPr="00AA0D15" w:rsidRDefault="00C47278" w:rsidP="00C47278">
      <w:pPr>
        <w:pStyle w:val="Heading4"/>
        <w:rPr>
          <w:rFonts w:cs="Times New Roman"/>
        </w:rPr>
      </w:pPr>
      <w:r w:rsidRPr="00AA0D15">
        <w:rPr>
          <w:rFonts w:cs="Times New Roman"/>
        </w:rPr>
        <w:t>States are best at reforming STEM education --- comparative ev</w:t>
      </w:r>
    </w:p>
    <w:p w:rsidR="00C47278" w:rsidRPr="00AA0D15" w:rsidRDefault="00C47278" w:rsidP="00C47278">
      <w:pPr>
        <w:rPr>
          <w:b/>
        </w:rPr>
      </w:pPr>
      <w:r w:rsidRPr="00AA0D15">
        <w:rPr>
          <w:b/>
        </w:rPr>
        <w:t>Lips and McNeill 2009 ---</w:t>
      </w:r>
      <w:r w:rsidRPr="00AA0D15">
        <w:t xml:space="preserve"> Dan Lips is a Senior Policy Analyst in Education in the Domestic Policy Studies Department, and Jena Baker McNeill is a Policy Analyst for Homeland Security in the Douglas and Sarah Allison Center for Foreign Policy Studies, at The Heritage Foundation</w:t>
      </w:r>
      <w:r w:rsidRPr="00AA0D15">
        <w:rPr>
          <w:b/>
        </w:rPr>
        <w:t xml:space="preserve">.  </w:t>
      </w:r>
      <w:r w:rsidRPr="00AA0D15">
        <w:t>(Dan Lips and Jena Baker McNeill, “A New Approach to Improving Science, Technology, Engineering, and Math Education”, http://www.heritage.org/education/report/new-approach-improving-science-technology-engineering-and-math-education)//ET</w:t>
      </w:r>
    </w:p>
    <w:p w:rsidR="00C47278" w:rsidRPr="00AA0D15" w:rsidRDefault="00C47278" w:rsidP="00C47278">
      <w:r w:rsidRPr="00AA0D15">
        <w:t xml:space="preserve">On February 17, 2009, President Barack Obama signed into law the American Recovery and Reinvest­ment Act of 2009--the $787 billion legislative pack­age hailed as an "economic stimulus." The legislation includes $2.5 billion in additional federal funding for the National Science Foundation, including new funding for science, technology, engineering, and math (STEM) education programs.[1] This legislation continues recent federal efforts, including the America COMPETES Act of 2007, to increase federal support for STEM education initiatives. Unfortunately, </w:t>
      </w:r>
      <w:r w:rsidRPr="00AA0D15">
        <w:rPr>
          <w:rStyle w:val="StyleUnderline"/>
        </w:rPr>
        <w:t xml:space="preserve">experience of the past </w:t>
      </w:r>
      <w:r w:rsidRPr="00AA0D15">
        <w:rPr>
          <w:rStyle w:val="Emphasis"/>
        </w:rPr>
        <w:t>50 years</w:t>
      </w:r>
      <w:r w:rsidRPr="00AA0D15">
        <w:rPr>
          <w:rStyle w:val="StyleUnderline"/>
        </w:rPr>
        <w:t xml:space="preserve"> sug­gests that such </w:t>
      </w:r>
      <w:r w:rsidRPr="00AA0D15">
        <w:rPr>
          <w:rStyle w:val="Emphasis"/>
        </w:rPr>
        <w:t>federal initiatives</w:t>
      </w:r>
      <w:r w:rsidRPr="00AA0D15">
        <w:t xml:space="preserve"> </w:t>
      </w:r>
      <w:r w:rsidRPr="00AA0D15">
        <w:rPr>
          <w:rStyle w:val="StyleUnderline"/>
        </w:rPr>
        <w:t>are unlikely to solve the fundamental problem of American underperfor­mance in STEM education--the limited number of students who complete elementary and secondary school with the skills and knowledge to pursue STEM coursewor</w:t>
      </w:r>
      <w:r w:rsidRPr="00AA0D15">
        <w:t xml:space="preserve">k in higher education and succeed in many parts of the workforce. </w:t>
      </w:r>
      <w:r w:rsidRPr="00AA0D15">
        <w:rPr>
          <w:rStyle w:val="StyleUnderline"/>
        </w:rPr>
        <w:t>The American education sys­tem is supposed to be a pipeline that prepares chil­dren in elementary and secondary school to pursue opportunities in post-secondary education and in the workforce. I</w:t>
      </w:r>
      <w:r w:rsidRPr="00AA0D15">
        <w:t xml:space="preserve">t is well known that this pipeline is leaky--that millions of children pass through their K-12 years without receiving a quality education. </w:t>
      </w:r>
      <w:r w:rsidRPr="00AA0D15">
        <w:rPr>
          <w:rStyle w:val="StyleUnderline"/>
        </w:rPr>
        <w:t>Too many students drop out</w:t>
      </w:r>
      <w:r w:rsidRPr="00AA0D15">
        <w:t xml:space="preserve"> and, all too often, those who do earn a high school degree lack the academic qualifications to succeed in STEM fields in college or in the workforce. Improving learning in STEM education should remain a priority for American policymakers. For stu­dents, succeeding in K-12 STEM classes will open the door to future opportunities in higher educa­tion, and in the workforce. Also, ensuring that the next generation of American workers has adequate skills and training in critical areas is vital to America's national security and economic competitiveness. If the United States lacks the tools to combat aggressors, America's future is at risk. Wars are won partly with superior technologies--and America's survival depends on its ability to maintain an advantage over its enemies. U.S. scientists and engineers work every day to develop new tools to protect Americans from terrorism, such as lasers and explosives-detection devices. Tackling pressing global problems--from energy security to vulnera­ble cyber infrastructure--will require the intellec­tual curiosity and creativity of STEM-educated individuals. </w:t>
      </w:r>
      <w:r w:rsidRPr="00AA0D15">
        <w:rPr>
          <w:rStyle w:val="StyleUnderline"/>
        </w:rPr>
        <w:t>Given the importance of addressing these needs, policymakers should recognize the need for a new approach to STEM education in America.</w:t>
      </w:r>
      <w:r w:rsidRPr="00AA0D15">
        <w:t xml:space="preserve"> </w:t>
      </w:r>
      <w:r w:rsidRPr="00AA0D15">
        <w:rPr>
          <w:rStyle w:val="StyleUnderline"/>
        </w:rPr>
        <w:t>Instead of continuing to pursue elusive federal solutions,</w:t>
      </w:r>
      <w:r w:rsidRPr="00AA0D15">
        <w:t xml:space="preserve"> </w:t>
      </w:r>
      <w:r w:rsidRPr="00AA0D15">
        <w:rPr>
          <w:rStyle w:val="StyleUnderline"/>
        </w:rPr>
        <w:t>national and state policymakers should recognize the need for systemic K-12 education reforms at the state and local levels.</w:t>
      </w:r>
      <w:r w:rsidRPr="00AA0D15">
        <w:t xml:space="preserve"> </w:t>
      </w:r>
      <w:r w:rsidRPr="00AA0D15">
        <w:rPr>
          <w:rStyle w:val="StyleUnderline"/>
        </w:rPr>
        <w:t>Aggressive reform is the most promising strategy</w:t>
      </w:r>
      <w:r w:rsidRPr="00AA0D15">
        <w:t xml:space="preserve"> for fixing the leaky pipe­line in STEM education and for increasing the pop­ulation of American students prepared to pursue these fields in college and beyond. </w:t>
      </w:r>
      <w:r w:rsidRPr="00AA0D15">
        <w:rPr>
          <w:rStyle w:val="Emphasis"/>
        </w:rPr>
        <w:t>State policy­makers</w:t>
      </w:r>
      <w:r w:rsidRPr="00AA0D15">
        <w:t xml:space="preserve"> and the private sector </w:t>
      </w:r>
      <w:r w:rsidRPr="00AA0D15">
        <w:rPr>
          <w:rStyle w:val="Emphasis"/>
        </w:rPr>
        <w:t>should support reforms that allow greater innovation to improve STEM education,</w:t>
      </w:r>
      <w:r w:rsidRPr="00AA0D15">
        <w:t xml:space="preserve"> </w:t>
      </w:r>
      <w:r w:rsidRPr="00AA0D15">
        <w:rPr>
          <w:rStyle w:val="Emphasis"/>
        </w:rPr>
        <w:t xml:space="preserve">including new school models, providing incentives for teacher excellence, and supporting other initiatives to promote learning in STEM fields. </w:t>
      </w:r>
      <w:r w:rsidRPr="00AA0D15">
        <w:t>The Broken Pipeline The systemic problems in U.S. public elementary and secondary schools are well known.[2] Millions of children continue to pass through American public schools without basic math and reading skills. Long</w:t>
      </w:r>
      <w:r w:rsidRPr="00AA0D15">
        <w:rPr>
          <w:rStyle w:val="StyleUnderline"/>
        </w:rPr>
        <w:t>-term measurements,</w:t>
      </w:r>
      <w:r w:rsidRPr="00AA0D15">
        <w:t xml:space="preserve"> such as national test scores and graduation rates, have </w:t>
      </w:r>
      <w:r w:rsidRPr="00AA0D15">
        <w:rPr>
          <w:rStyle w:val="StyleUnderline"/>
        </w:rPr>
        <w:t xml:space="preserve">remained flat </w:t>
      </w:r>
      <w:r w:rsidRPr="00AA0D15">
        <w:rPr>
          <w:rStyle w:val="Emphasis"/>
        </w:rPr>
        <w:t>despite significant increases in government spend­in</w:t>
      </w:r>
      <w:r w:rsidRPr="00AA0D15">
        <w:rPr>
          <w:rStyle w:val="StyleUnderline"/>
        </w:rPr>
        <w:t>g</w:t>
      </w:r>
      <w:r w:rsidRPr="00AA0D15">
        <w:t xml:space="preserve">. In many large cities, </w:t>
      </w:r>
      <w:r w:rsidRPr="00AA0D15">
        <w:rPr>
          <w:rStyle w:val="StyleUnderline"/>
        </w:rPr>
        <w:t>fewer than half of all stu­dents even graduate from high school.</w:t>
      </w:r>
      <w:r w:rsidRPr="00AA0D15">
        <w:t xml:space="preserve"> On the 2005 National Assessment of Educational Progress science test, 46 percent of 12th-graders scored "below basic."[3] On the NAEP math exam, 39 percent of 12th-graders scored below basic--suggesting that nearly half of all high school seniors cannot answer basic algebra and geometry questions.[4] These eval­uations found that few students were excelling. In science, only 29 percent of 12th-graders scored "proficient" and only 3 percent scored "advanced." The performance in math was similarly dismal: 35 percent "proficient"; 5 percent "advanced." The performance of American students in science and mathematics compared to students in other countries is also concerning. The percentage of Amer­ican college students earning degrees in STEM fields lags behind students in China, India, Japan, Russia, Mexico, and even the Middle East.[5] The 2007 Trends in International Mathematics and Science Study (TIMSS) report revealed that students in a number of developed countries and economic competitors were outperforming U.S. students, particularly in the percentage of students excelling in science.[6] The End of the STEM Pipeline. Policymakers and analysts concerned about American students' low achievement in STEM fields often focus on the end of the pipeline--the percentage of American college students earning degrees in STEM fields and the population of the workforce prepared for science, technology, engineering, and math profes­sions. But the situation does not look much better as students continue to higher education. The Govern­ment Accountability Office (GAO) reported in 2006 that the percentage of U.S. post-secondary students earning degrees in STEM fields has fallen over the past decade--from 32 percent in 1995 to 27 per­cent in 2004.[7] A closer examination of the statistics shows that the number of degrees earned by college students in STEM fields has essentially remained flat during this period, since the college-student population as a whole increased during that period. In addition, an estimated one-third of these STEM degrees were awarded to students from abroad. Moreover, the declining percentage of STEM degrees earned has occurred during a period when the number of jobs in STEM fields has grown. The GAO reports that overall employment in STEM fields grew by 23 percent between 1993 and 2004, compared to growth of 17 percent in non-STEM fields. If these trends continue, American students may be less prepared to compete for jobs in STEM fields than students with degrees from other coun­tries. As the National Science Foundation reports, the percentage of students earning STEM degrees in other countries is already higher than in the United States.[8] STEM: A National Security and Economic Priority The bleak outlook for America's collective STEM abilities is a cause for concern. A STEM-educated workforce can help America gain a competitive edge in the global markets. For instance, America's ascent to economic superpower status began during the Industrial Revolution. The new products and processes that came out of this period of innovation sig­nificantly expanded America's economy, created jobs, and gave the U.S. an advantage against foreign competitors. The value of a STEM-educated work­force does not diminish in hard economic times. In fact, in the current economic climate, it is increasingly more important that the U.S. produce new and innovative technologies that will expand and create new markets and add more jobs. Not Just Economics. The shortage of STEM workers is not only an economic problem. Amer­ica's ability to produce a STEM-educated workforce has a direct effect on national security. The U.S. has enjoyed its status as the dominant scientific power ­for many decades. But as the economies of China and India have expanded, this position has fallen dramatically. A 2005 study by the National Bureau of Economic Research indicated that China will produce more "scientific and engineering doctorates than the U.S. by 2010."[9] The decrease in America's STEM expertise was stressed in a Defense Science Board report in 2008, which addressed the coming shortage of nuclear-deterrence know-how. The report cited the importance of this knowledge, noting that "no threat can put the nation's existence at risk as quickly and chillingly as nuclear weap­ons." The report also emphasized that "a significant part of the workforce in the national laboratories and production facilities are at or near retirement age"--and that there simply are not enough stu­dents going into STEM fields to fill the void.[10] Those who underestimate the impact of a STEM-educated work force on a nation's security need only look at America's cyber security problem. For­eign intelligence efforts increasingly rely on cyber tools to collect sensitive U.S. technology and eco­nomic information.[11] One of the major culprits is China--a country that has made cyber warfare one of its major espionage tools. China's People's Liberation Army (PLA) organized its first cyber warfare unit in 2003. Its mission: to target foreign com­puter network operations. In 2006, Chinese intelli­gence agencies covertly attacked at least four separate U.S. government computer networks. In June 2007, 150 computers in the $1.75 billion computer network at the U.S. Department of Homeland Security were quietly penetrated by pro­grams that sent an unknown quantity of informa­tion to a Chinese-language Web site. In the same month of June 2007, Chinese military hackers cir­cumvented one of the Defense Department's com­puter networks. The skills necessary for China to engage in this type of cyber warfare are a direct result of the ingenuity of STEM-educated Chinese citizens. The new technologies and techniques America needs to combat these types of attacks depend on America's ability to produce citizens with superior STEM skills. The STEM Education Crisis: Fifty Years and Counting The most recent alarm highlighting the crisis in STEM education sounded in 2007 with the publication of Rising Above the Gathering Storm: Energizing and Employing America for a Brighter Eco­nomic Future--a report by the Committee on Pros­pering in the Global Economy of the 21st Century, a distinguished group of national leaders including Defense Secretary Robert Gates.[12] The report examined the changing trends in the world's labor force and highlighted the need to implement a series of reforms to improve the nation's economic competitiveness. The committee's first recommendation was to implement a new strategy for improving K-12 science and math education. </w:t>
      </w:r>
      <w:r w:rsidRPr="00AA0D15">
        <w:rPr>
          <w:rStyle w:val="StyleUnderline"/>
        </w:rPr>
        <w:t>Rising Above the Gathering Storm energized sup­port for the</w:t>
      </w:r>
      <w:r w:rsidRPr="00AA0D15">
        <w:t xml:space="preserve"> Bush Administration's American Competitiveness Initiative, aimed at strengthening U.S. education by improving math, science, and foreign language education,and spurred support for new </w:t>
      </w:r>
      <w:r w:rsidRPr="00AA0D15">
        <w:rPr>
          <w:rStyle w:val="StyleUnderline"/>
        </w:rPr>
        <w:t xml:space="preserve">congressional action, including the 2007 America COMPETES Act--legislation that authorized new programs and funding for </w:t>
      </w:r>
      <w:r w:rsidRPr="00AA0D15">
        <w:rPr>
          <w:rStyle w:val="Emphasis"/>
        </w:rPr>
        <w:t>federal</w:t>
      </w:r>
      <w:r w:rsidRPr="00AA0D15">
        <w:rPr>
          <w:rStyle w:val="StyleUnderline"/>
        </w:rPr>
        <w:t xml:space="preserve"> </w:t>
      </w:r>
      <w:r w:rsidRPr="00AA0D15">
        <w:rPr>
          <w:rStyle w:val="Emphasis"/>
        </w:rPr>
        <w:t>STEM pro­grams.</w:t>
      </w:r>
      <w:r w:rsidRPr="00AA0D15">
        <w:rPr>
          <w:rStyle w:val="StyleUnderline"/>
        </w:rPr>
        <w:t>[</w:t>
      </w:r>
      <w:r w:rsidRPr="00AA0D15">
        <w:t xml:space="preserve">13] The U.S. Department of Education's in­volvement in STEM fields was greatly expanded, including a new federal program </w:t>
      </w:r>
      <w:r w:rsidRPr="00AA0D15">
        <w:rPr>
          <w:rStyle w:val="StyleUnderline"/>
        </w:rPr>
        <w:t>to train 70,000 new teachers</w:t>
      </w:r>
      <w:r w:rsidRPr="00AA0D15">
        <w:t xml:space="preserve"> to teach Advanced Placement or Inter­national Baccalaureate courses. The act also autho­rized the U.S. Education Department to provide additional teacher training in STEM fields and to encourage students pursuing STEM majors to obtain teaching certification. The department and other federal agencies are also charged with providing additional funds and resources to help schools develop and implement new programs and strategies to promote learning in STEM fields. </w:t>
      </w:r>
      <w:r w:rsidRPr="00AA0D15">
        <w:rPr>
          <w:rStyle w:val="StyleUnderline"/>
        </w:rPr>
        <w:t xml:space="preserve">But those with a historical perspective on the STEM education crisis recognize the Gathering Storm report as only the latest in a series of national warnings about the crisis in STEM education and </w:t>
      </w:r>
      <w:r w:rsidRPr="00AA0D15">
        <w:rPr>
          <w:rStyle w:val="Emphasis"/>
        </w:rPr>
        <w:t xml:space="preserve">the continuing failure of Washington-centric educational policies that have done little to address the rampant under-education of America's children. </w:t>
      </w:r>
      <w:r w:rsidRPr="00AA0D15">
        <w:rPr>
          <w:rStyle w:val="StyleUnderline"/>
        </w:rPr>
        <w:t>I</w:t>
      </w:r>
      <w:r w:rsidRPr="00AA0D15">
        <w:t xml:space="preserve">n fact, </w:t>
      </w:r>
      <w:r w:rsidRPr="00AA0D15">
        <w:rPr>
          <w:rStyle w:val="StyleUnderline"/>
        </w:rPr>
        <w:t xml:space="preserve">the language of the report was similar to </w:t>
      </w:r>
      <w:r w:rsidRPr="00AA0D15">
        <w:t>the words of President Dwight Eisenhower in 1958 as he signed into law the National Defense Education Act (</w:t>
      </w:r>
      <w:r w:rsidRPr="00AA0D15">
        <w:rPr>
          <w:rStyle w:val="StyleUnderline"/>
        </w:rPr>
        <w:t>NDEA</w:t>
      </w:r>
      <w:r w:rsidRPr="00AA0D15">
        <w:t xml:space="preserve">),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 The NDEA included new benefits for college students and federal support for elementary and secondary schools to improve science, math, and foreign language instruction. It also provided a foundation for future federal support of post-secondary and K-12 education. During the 1960s, the federal education budget grew, including the cre­ation of the U.S. Department of Education. But the crisis in America's schools persisted. In 1983, the National Commission on Excellence in Education published the seminal report A Nation at Risk, highlighting the calamity that exists in the nation's education system: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war.[16] The report highlighted American students' poor performance in math and science. It also called for aggressive education reforms and a greater focus on standards and testing.[17] But despite ever more spending by the federal and state governments, little has changed. The </w:t>
      </w:r>
      <w:r w:rsidRPr="00AA0D15">
        <w:rPr>
          <w:rStyle w:val="StyleUnderline"/>
        </w:rPr>
        <w:t>deteriorating quality of American education--particularly in STEM fields--continued to be a priority under</w:t>
      </w:r>
      <w:r w:rsidRPr="00AA0D15">
        <w:t xml:space="preserve"> subsequent </w:t>
      </w:r>
      <w:r w:rsidRPr="00AA0D15">
        <w:rPr>
          <w:rStyle w:val="StyleUnderline"/>
        </w:rPr>
        <w:t>Administrations</w:t>
      </w:r>
      <w:r w:rsidRPr="00AA0D15">
        <w:t xml:space="preserve">. In 1989, President George H. W. </w:t>
      </w:r>
      <w:r w:rsidRPr="00AA0D15">
        <w:rPr>
          <w:rStyle w:val="StyleUnderline"/>
        </w:rPr>
        <w:t>Bush convened a</w:t>
      </w:r>
      <w:r w:rsidRPr="00AA0D15">
        <w:t xml:space="preserve"> national </w:t>
      </w:r>
      <w:r w:rsidRPr="00AA0D15">
        <w:rPr>
          <w:rStyle w:val="StyleUnderline"/>
        </w:rPr>
        <w:t>summit</w:t>
      </w:r>
      <w:r w:rsidRPr="00AA0D15">
        <w:t xml:space="preserve">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w:t>
      </w:r>
      <w:r w:rsidRPr="00AA0D15">
        <w:rPr>
          <w:rStyle w:val="StyleUnderline"/>
        </w:rPr>
        <w:t>Clinton</w:t>
      </w:r>
      <w:r w:rsidRPr="00AA0D15">
        <w:t xml:space="preserve"> would also </w:t>
      </w:r>
      <w:r w:rsidRPr="00AA0D15">
        <w:rPr>
          <w:rStyle w:val="StyleUnderline"/>
        </w:rPr>
        <w:t>highlight</w:t>
      </w:r>
      <w:r w:rsidRPr="00AA0D15">
        <w:t xml:space="preserve"> the need to improve </w:t>
      </w:r>
      <w:r w:rsidRPr="00AA0D15">
        <w:rPr>
          <w:rStyle w:val="StyleUnderline"/>
        </w:rPr>
        <w:t>STEM</w:t>
      </w:r>
      <w:r w:rsidRPr="00AA0D15">
        <w:t xml:space="preserve"> education. Recent Federal STEM Initiatives. Since 2005, </w:t>
      </w:r>
      <w:r w:rsidRPr="00AA0D15">
        <w:rPr>
          <w:rStyle w:val="StyleUnderline"/>
        </w:rPr>
        <w:t xml:space="preserve">Congress has enacted legislation that has changed and expanded the federal government's intervention in STEM education. </w:t>
      </w:r>
      <w:r w:rsidRPr="00AA0D15">
        <w:t xml:space="preserve">The Deficit Reduction Act of 2005 included provisions to provide new college scholarships for qualifying students who pursue coursework in mathematics, technology, engineering, critical foreign languages, and in physical, life, and computer sciences. But in 2006, the </w:t>
      </w:r>
      <w:r w:rsidRPr="00AA0D15">
        <w:rPr>
          <w:rStyle w:val="Emphasis"/>
        </w:rPr>
        <w:t>GAO reported</w:t>
      </w:r>
      <w:r w:rsidRPr="00AA0D15">
        <w:t xml:space="preserve"> </w:t>
      </w:r>
      <w:r w:rsidRPr="00AA0D15">
        <w:rPr>
          <w:rStyle w:val="StyleUnderline"/>
        </w:rPr>
        <w:t xml:space="preserve">that that the federal government has provided little </w:t>
      </w:r>
      <w:r w:rsidRPr="00AA0D15">
        <w:rPr>
          <w:rStyle w:val="Emphasis"/>
        </w:rPr>
        <w:t>information about the effectiveness of these program</w:t>
      </w:r>
      <w:r w:rsidRPr="00AA0D15">
        <w:rPr>
          <w:rStyle w:val="StyleUnderline"/>
        </w:rPr>
        <w:t>s</w:t>
      </w:r>
      <w:r w:rsidRPr="00AA0D15">
        <w:t xml:space="preserve"> and urged more evaluation and coordination.[19] The GAO emphasized that the federal government had spent nearly $4 billion on more than 200 STEM programs in 2004.[20] It also stated that: </w:t>
      </w:r>
      <w:r w:rsidRPr="00AA0D15">
        <w:rPr>
          <w:rStyle w:val="StyleUnderline"/>
        </w:rPr>
        <w:t>"Although evaluations had been done or were underway for about half of these programs, little is known about the extent to which most STEM programs are achieving their desired results.</w:t>
      </w:r>
      <w:r w:rsidRPr="00AA0D15">
        <w:t xml:space="preserve">"[21] 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evaluation of federal programs is currently nonexistent."[22] </w:t>
      </w:r>
      <w:r w:rsidRPr="00AA0D15">
        <w:rPr>
          <w:rStyle w:val="StyleUnderline"/>
        </w:rPr>
        <w:t xml:space="preserve">Despite this recommendation for reform, the federal government continues to expand federal STEM programs. </w:t>
      </w:r>
      <w:r w:rsidRPr="00AA0D15">
        <w:t xml:space="preserve">In fact, President Barack Obama has signaled an interest in continuing the focus on STEM education. As a Senator, he sponsored the Enhancing Science, Technology, Engineering, and Mathematics Educa­tion Act of 2008--legislation that would have reformed federal STEM education programs and encouraged new STEM initiatives at the state level (it was never enacted into law).[23]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 STEM Funding in the American Recovery and Reinvestment Act of 2009. During his short time in office, President </w:t>
      </w:r>
      <w:r w:rsidRPr="00AA0D15">
        <w:rPr>
          <w:rStyle w:val="StyleUnderline"/>
        </w:rPr>
        <w:t>Obama has already approved legislation that would extend federal funding for STEM education programs</w:t>
      </w:r>
      <w:r w:rsidRPr="00AA0D15">
        <w:t xml:space="preserve">. The American Recovery and Reinvestment Act continues on the same path: providing even more federal funding for STEM edu­cation programs. The act features $2.5 billion in new funding for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will likely be used to support teacher training and research to improve math and science instruc­tion. The additional funding for NSF can be used on other projects, some of which may include support for STEM education, such as by funding STEM programs at higher education institutions. Unfortu­nately, </w:t>
      </w:r>
      <w:r w:rsidRPr="00AA0D15">
        <w:rPr>
          <w:rStyle w:val="StyleUnderline"/>
        </w:rPr>
        <w:t xml:space="preserve">years of federal support for STEM education programs have failed to prepare American students to enter STEM fields. </w:t>
      </w:r>
      <w:r w:rsidRPr="00AA0D15">
        <w:t xml:space="preserve">A New Way Forward </w:t>
      </w:r>
      <w:r w:rsidRPr="00AA0D15">
        <w:rPr>
          <w:rStyle w:val="StyleUnderline"/>
        </w:rPr>
        <w:t>Even though the government has spent billions of dollars on massive federal programs aimed at tackling the STEM problem over the past 50 years, the problem persists.</w:t>
      </w:r>
      <w:r w:rsidRPr="00AA0D15">
        <w:t xml:space="preserve"> </w:t>
      </w:r>
      <w:r w:rsidRPr="00AA0D15">
        <w:rPr>
          <w:rStyle w:val="StyleUnderline"/>
        </w:rPr>
        <w:t>Experience has shown that the most recent federal STEM initiatives</w:t>
      </w:r>
      <w:r w:rsidRPr="00AA0D15">
        <w:t xml:space="preserve">, including the funding increases in the American Recovery and Reinvestment Act, </w:t>
      </w:r>
      <w:r w:rsidRPr="00AA0D15">
        <w:rPr>
          <w:rStyle w:val="StyleUnderline"/>
        </w:rPr>
        <w:t>are unlikely to be the solution.</w:t>
      </w:r>
      <w:r w:rsidRPr="00AA0D15">
        <w:t xml:space="preserve"> The importance of improving STEM education for national security and economic competitiveness should force federal policymakers to evaluate whether the current policies are likely to solve the problem and fix the leaky pipeline. A can­did assessment of the current approach would find that it has failed to do so. </w:t>
      </w:r>
      <w:r w:rsidRPr="00AA0D15">
        <w:rPr>
          <w:rStyle w:val="StyleUnderline"/>
        </w:rPr>
        <w:t xml:space="preserve">The solution to the STEM problem </w:t>
      </w:r>
      <w:r w:rsidRPr="00AA0D15">
        <w:rPr>
          <w:rStyle w:val="Emphasis"/>
        </w:rPr>
        <w:t xml:space="preserve">will not be found in the halls of Congress. </w:t>
      </w:r>
      <w:r w:rsidRPr="00AA0D15">
        <w:rPr>
          <w:rStyle w:val="StyleUnderline"/>
        </w:rPr>
        <w:t xml:space="preserve">Success will not be found in a litany of federal policy initiatives or increased spending. </w:t>
      </w:r>
      <w:r w:rsidRPr="00AA0D15">
        <w:rPr>
          <w:rStyle w:val="Emphasis"/>
        </w:rPr>
        <w:t>What is needed is a major transformation</w:t>
      </w:r>
      <w:r w:rsidRPr="00AA0D15">
        <w:t xml:space="preserve"> in this country's approach to education, </w:t>
      </w:r>
      <w:r w:rsidRPr="00AA0D15">
        <w:rPr>
          <w:rStyle w:val="Emphasis"/>
        </w:rPr>
        <w:t>beginning at the state</w:t>
      </w:r>
      <w:r w:rsidRPr="00AA0D15">
        <w:t xml:space="preserve"> and local </w:t>
      </w:r>
      <w:r w:rsidRPr="00AA0D15">
        <w:rPr>
          <w:rStyle w:val="Emphasis"/>
        </w:rPr>
        <w:t>level</w:t>
      </w:r>
      <w:r w:rsidRPr="00AA0D15">
        <w:t xml:space="preserve">: </w:t>
      </w:r>
      <w:r w:rsidRPr="00AA0D15">
        <w:rPr>
          <w:rStyle w:val="Emphasis"/>
        </w:rPr>
        <w:t>State leaders should embrace systemic educa­tion reforms to improve student learning.</w:t>
      </w:r>
      <w:r w:rsidRPr="00AA0D15">
        <w:t xml:space="preserve"> </w:t>
      </w:r>
      <w:r w:rsidRPr="00AA0D15">
        <w:rPr>
          <w:rStyle w:val="StyleUnderline"/>
        </w:rPr>
        <w:t xml:space="preserve">Fixing the broken pipeline in STEM education will require fixing the overall quality of public educa­tion in America. States and localities are best positioned to implement the kinds of sweeping education reforms that change public school governance to encourage improvement. </w:t>
      </w:r>
      <w:r w:rsidRPr="00AA0D15">
        <w:rPr>
          <w:rStyle w:val="Emphasis"/>
        </w:rPr>
        <w:t>The state of Florida offers a blueprint</w:t>
      </w:r>
      <w:r w:rsidRPr="00AA0D15">
        <w:t xml:space="preserve">. </w:t>
      </w:r>
      <w:r w:rsidRPr="00AA0D15">
        <w:rPr>
          <w:rStyle w:val="StyleUnderline"/>
        </w:rPr>
        <w:t>for sys­temic education reform that is improving stu­dent learning</w:t>
      </w:r>
      <w:r w:rsidRPr="00AA0D15">
        <w:t xml:space="preserve"> Over the past decade, </w:t>
      </w:r>
      <w:r w:rsidRPr="00AA0D15">
        <w:rPr>
          <w:rStyle w:val="StyleUnderline"/>
        </w:rPr>
        <w:t>Florida has gone further than most states in reforming the governance of its public school systems</w:t>
      </w:r>
      <w:r w:rsidRPr="00AA0D15">
        <w:t xml:space="preserve">. </w:t>
      </w:r>
      <w:r w:rsidRPr="00AA0D15">
        <w:rPr>
          <w:rStyle w:val="StyleUnderline"/>
        </w:rPr>
        <w:t>Before</w:t>
      </w:r>
      <w:r w:rsidRPr="00AA0D15">
        <w:t xml:space="preserve"> the </w:t>
      </w:r>
      <w:r w:rsidRPr="00AA0D15">
        <w:rPr>
          <w:rStyle w:val="StyleUnderline"/>
        </w:rPr>
        <w:t>No Child Left Behind Act</w:t>
      </w:r>
      <w:r w:rsidRPr="00AA0D15">
        <w:t xml:space="preserve"> created federal requirements for state testing, </w:t>
      </w:r>
      <w:r w:rsidRPr="00AA0D15">
        <w:rPr>
          <w:rStyle w:val="StyleUnderline"/>
        </w:rPr>
        <w:t>Florida was hold­ing schools accountable for results by testing students annually and grading public schools based on their performance on state tests.</w:t>
      </w:r>
      <w:r w:rsidRPr="00AA0D15">
        <w:t xml:space="preserve"> Florida has also gone further than other states in offering parents public- and private-school choice. In addition, Florida has implemented other education reforms, such as ending social promotion by requiring students to master read­ing before advancing to the fourth grade, improving reading instruction, and reforming how teachers are hired and compensated. </w:t>
      </w:r>
      <w:r w:rsidRPr="00AA0D15">
        <w:rPr>
          <w:rStyle w:val="StyleUnderline"/>
        </w:rPr>
        <w:t>This aggressive approach to reform has led to significant improvement in student achievement. Since these reforms began in 1999, Flor­ida's students have made dramatic progress on the annual National Assessment of Educational Progress, a reliable indicator of student learn­ing.[</w:t>
      </w:r>
      <w:r w:rsidRPr="00AA0D15">
        <w:t xml:space="preserve">25] States across the country should imple­ment similar aggressive reforms to improve the public education. </w:t>
      </w:r>
      <w:r w:rsidRPr="00AA0D15">
        <w:rPr>
          <w:rStyle w:val="StyleUnderline"/>
        </w:rPr>
        <w:t>Strengthening the overall quality of public schools through these types of reforms is the most important step to fix the bro­ken pipeline to ensure that more children are able to succeed in STEM classes. State</w:t>
      </w:r>
      <w:r w:rsidRPr="00AA0D15">
        <w:t xml:space="preserve"> and local </w:t>
      </w:r>
      <w:r w:rsidRPr="00AA0D15">
        <w:rPr>
          <w:rStyle w:val="StyleUnderline"/>
        </w:rPr>
        <w:t>policymakers</w:t>
      </w:r>
      <w:r w:rsidRPr="00AA0D15">
        <w:t xml:space="preserve"> and school leaders </w:t>
      </w:r>
      <w:r w:rsidRPr="00AA0D15">
        <w:rPr>
          <w:rStyle w:val="StyleUnderline"/>
        </w:rPr>
        <w:t>should enact new policies to improve teacher quality in STEM fields</w:t>
      </w:r>
      <w:r w:rsidRPr="00AA0D15">
        <w:t>. One focus of systemic reform to improve STEM education should be to strengthen teacher quality and effectiveness.</w:t>
      </w:r>
      <w:r w:rsidRPr="00AA0D15">
        <w:rPr>
          <w:rStyle w:val="StyleUnderline"/>
        </w:rPr>
        <w:t xml:space="preserve"> Teacher quality is an important factor in deter­mining students' classroom performance.[26]</w:t>
      </w:r>
      <w:r w:rsidRPr="00AA0D15">
        <w:t xml:space="preserve"> </w:t>
      </w:r>
      <w:r w:rsidRPr="00AA0D15">
        <w:rPr>
          <w:rStyle w:val="StyleUnderline"/>
        </w:rPr>
        <w:t xml:space="preserve">Public schools in the United States traditionally pay teachers based on seniority and academic credentials--an approach that does not account for the significant differencesbetweenSTEM coursework and labor market demands. </w:t>
      </w:r>
      <w:r w:rsidRPr="00AA0D15">
        <w:t xml:space="preserve">The first action that </w:t>
      </w:r>
      <w:r w:rsidRPr="00AA0D15">
        <w:rPr>
          <w:rStyle w:val="StyleUnderline"/>
        </w:rPr>
        <w:t>policymakers should</w:t>
      </w:r>
      <w:r w:rsidRPr="00AA0D15">
        <w:t xml:space="preserve"> perform, </w:t>
      </w:r>
      <w:r w:rsidRPr="00AA0D15">
        <w:rPr>
          <w:rStyle w:val="StyleUnderline"/>
        </w:rPr>
        <w:t>there</w:t>
      </w:r>
      <w:r w:rsidRPr="00AA0D15">
        <w:t>­</w:t>
      </w:r>
      <w:r w:rsidRPr="00AA0D15">
        <w:rPr>
          <w:rStyle w:val="StyleUnderline"/>
        </w:rPr>
        <w:t>fore</w:t>
      </w:r>
      <w:r w:rsidRPr="00AA0D15">
        <w:t xml:space="preserve">, is to </w:t>
      </w:r>
      <w:r w:rsidRPr="00AA0D15">
        <w:rPr>
          <w:rStyle w:val="StyleUnderline"/>
        </w:rPr>
        <w:t xml:space="preserve">implement policies to reform teacher compensation, </w:t>
      </w:r>
      <w:r w:rsidRPr="00AA0D15">
        <w:t xml:space="preserve">such as </w:t>
      </w:r>
      <w:r w:rsidRPr="00AA0D15">
        <w:rPr>
          <w:rStyle w:val="StyleUnderline"/>
        </w:rPr>
        <w:t>allowing STEM teachers to receive higher salaries</w:t>
      </w:r>
      <w:r w:rsidRPr="00AA0D15">
        <w:t xml:space="preserve"> than teachers of other subjects.[27] This is particularly necessary since those who are qualified to be STEM teachers may be in greater demand in professional fields beyond education than other teachers.[28] Second, </w:t>
      </w:r>
      <w:r w:rsidRPr="00AA0D15">
        <w:rPr>
          <w:rStyle w:val="StyleUnderline"/>
        </w:rPr>
        <w:t>states</w:t>
      </w:r>
      <w:r w:rsidRPr="00AA0D15">
        <w:t xml:space="preserve"> and school systems </w:t>
      </w:r>
      <w:r w:rsidRPr="00AA0D15">
        <w:rPr>
          <w:rStyle w:val="StyleUnderline"/>
        </w:rPr>
        <w:t>should open up new pathways for qualified professionals to become school teachers,</w:t>
      </w:r>
      <w:r w:rsidRPr="00AA0D15">
        <w:t xml:space="preserve"> which would be partic­ularly beneficial for increasing the pool of effec­tive STEM teachers. </w:t>
      </w:r>
      <w:r w:rsidRPr="00AA0D15">
        <w:rPr>
          <w:rStyle w:val="StyleUnderline"/>
        </w:rPr>
        <w:t>Policymakers are increasingly enacting alternative teacher certification pro­grams, which allow qualified professionals to train to become school teachers without completing traditional teacher certification requirements</w:t>
      </w:r>
      <w:r w:rsidRPr="00AA0D15">
        <w:t xml:space="preserve">.[29] States and school districts should facilitate alternative teacher certification to encourage talented professionals to pursue teaching with a particular focus on teachers prepared for STEM fields. Third, </w:t>
      </w:r>
      <w:r w:rsidRPr="00AA0D15">
        <w:rPr>
          <w:rStyle w:val="StyleUnderline"/>
        </w:rPr>
        <w:t>policymakers</w:t>
      </w:r>
      <w:r w:rsidRPr="00AA0D15">
        <w:t xml:space="preserve"> and school leaders </w:t>
      </w:r>
      <w:r w:rsidRPr="00AA0D15">
        <w:rPr>
          <w:rStyle w:val="StyleUnderline"/>
        </w:rPr>
        <w:t>should implement policies like performance-based pay to create new incentives to promote excellence in teaching</w:t>
      </w:r>
      <w:r w:rsidRPr="00AA0D15">
        <w:t xml:space="preserve"> and student learning. An attractive alternative approach to encouraging greater participation in "Advanced Placement" (AP) coursework </w:t>
      </w:r>
      <w:r w:rsidRPr="00AA0D15">
        <w:rPr>
          <w:rStyle w:val="StyleUnderline"/>
        </w:rPr>
        <w:t>would be to provide incentives and bonuses to encourage more students to take-- and pass--AP exams</w:t>
      </w:r>
      <w:r w:rsidRPr="00AA0D15">
        <w:t>. Since 1996, the Dallas school system has been providing financial incentives to students who take and pass AP exams. Their teachers, too, can receive financial bonuses when their students pass these exams. The program has led to a dramatic increase in the number of students who pass AP exams, especially among minorities.[30] A similar state­wide program in Florida has also led to dramatic increases in students who pass the AP exams.[31] This incentive-based approach to achieving quality teaching and learning should be applied to STEM education.</w:t>
      </w:r>
      <w:r w:rsidRPr="00AA0D15">
        <w:rPr>
          <w:rStyle w:val="StyleUnderline"/>
        </w:rPr>
        <w:t xml:space="preserve"> </w:t>
      </w:r>
      <w:r w:rsidRPr="00AA0D15">
        <w:t xml:space="preserve">States and localities should encourage new school models. </w:t>
      </w:r>
      <w:r w:rsidRPr="00AA0D15">
        <w:rPr>
          <w:rStyle w:val="StyleUnderline"/>
        </w:rPr>
        <w:t xml:space="preserve">Another focus of state-level sys­temic reforms should be to facilitate </w:t>
      </w:r>
      <w:r w:rsidRPr="00AA0D15">
        <w:rPr>
          <w:rStyle w:val="Emphasis"/>
        </w:rPr>
        <w:t>school-wide innovation</w:t>
      </w:r>
      <w:r w:rsidRPr="00AA0D15">
        <w:t xml:space="preserve"> </w:t>
      </w:r>
      <w:r w:rsidRPr="00AA0D15">
        <w:rPr>
          <w:rStyle w:val="StyleUnderline"/>
        </w:rPr>
        <w:t xml:space="preserve">and the creation of </w:t>
      </w:r>
      <w:r w:rsidRPr="00AA0D15">
        <w:rPr>
          <w:rStyle w:val="Emphasis"/>
        </w:rPr>
        <w:t>new schools that focus on STEM education</w:t>
      </w:r>
      <w:r w:rsidRPr="00AA0D15">
        <w:t xml:space="preserve">. One promising education reform trend in recent decades has been the growth of charter schools. Charter schools are public schools that are free of many of the traditional regulations governing traditional public schools--including the aspect that parents can choose these schools even if they are not in the designated school district. Today, there are more than 1.4 million students attending more than 4,500 public charter schools in 40 states and the District of Columbia.[32] A key difference between charter schools and traditional schools is that charters grant school leaders the authority and autonomy to define a school's instructional mission and to use the school's resources for that mission. Heads of charter schools, for instance, have the authority to hire and fire their teachers. Charter school success stories highlight how innovation and effective leadership in schools can improve opportunities for students and help fix the broken pipeline in STEM education. KIPP Academy public schools are widely recognized as one of the most successful charter school models. There are currently 66 KIPP schools serving 16,000 students across the country.[33] KIPP schools traditionally serve low-income students, and have a track record of lift­ing students' academic achievement. The KIPP 2009 Report Card shows that students who entered KIPP schools in fifth grade scored only in the 40th percentile on the national math test. After four years, these same students scored in the 82nd percentile.[34] The private sector should support and foster innovative solutions to improving STEM edu­cation. The private and non-profit sector can support STEM education by implementing part­nerships with schools and other initiatives. One promising private initiative is Project Lead the Way--a non-profit organization that is working to give middle and high school students instruc­tion and experience in science and engineering. The purpose of this instruction is to increase the number of students who pursue engineering or technology programs in college. During the 2008-2009 school year, 500,000 students will take part in Project Lead the Way instruction. Project Lead the Way is an example of a private-sector initiative that has evolved from the need to fix the broken pipeline of STEM education. The private sector does not need to wait for federal and state government action to address the STEM education crisis. Congress should increase the number of H-1B visas to close the education gap. Currently, the law permits only 65,000 H-1B visas to be granted each fiscal year. H-1B visas are reserved for those foreigners who have a specialized skill and at least a college degree. Many of these appli­cants are highly skilled in STEM fields. Admit­ting such a low number of these highly qualified workers contributes to America's STEM problem and hurts high-tech industries by pushing the smartest people around the world to work in competing countries like China. In fact, some U.S. companies are so desperate for workers, that they have moved certain branches to Can­ada and Mexico where immigration laws are friendlier. This was the case for Microsoft, which in 2008 decided to open a branch in Vancouver in order to hire 150 engineers who were not for­tunate enough to obtain an H-1B visa to work in the U.S.[35] A survey by the National Foundation for American Policy found that 65 percent of high-tech companies employed people outside the United States because workers were unable to obtain an H-1B visa.[36] Congress should return the cap to its previous amount of 195,000.[37] The cap should also be flexible enough to respond to the needs of the marketplace. By increasing the H-1B cap, Con­gress would allow companies to fill vital posi­tions and to expand within the United States-- keeping companies from outsourcing work or moving overseas. This would also allow companies to engage in more innovation and produce better and new technologies, contributing to a brighter and more secure economic future for all Americans. </w:t>
      </w:r>
      <w:r w:rsidRPr="00AA0D15">
        <w:rPr>
          <w:rStyle w:val="Emphasis"/>
        </w:rPr>
        <w:t>Congress should resist new efforts to expand federal programs</w:t>
      </w:r>
      <w:r w:rsidRPr="00AA0D15">
        <w:t xml:space="preserve">, </w:t>
      </w:r>
      <w:r w:rsidRPr="00AA0D15">
        <w:rPr>
          <w:rStyle w:val="StyleUnderline"/>
        </w:rPr>
        <w:t>including those that sup­port STEM educat</w:t>
      </w:r>
      <w:r w:rsidRPr="00AA0D15">
        <w:t xml:space="preserve">ion, and instead focus on reforming existing federal programs to encourage state and local innovation. Federal policymakers should review the effectiveness of current STEM education programs and termi­nate those programs they find to be ineffective or unnecessary. Moreover, federal policymakers should reform major federal education programs like No Child Left Behind to facilitate reform and innovation at the state level.[38] Conclusion For more than 50 years, American political, business, military, and academic leadershave emphasized the economic and national security reasons for improving STEM education. Yet after a half century, American students continue to underperform in sci­ence, technology, engineering, and math. </w:t>
      </w:r>
      <w:r w:rsidRPr="00AA0D15">
        <w:rPr>
          <w:rStyle w:val="StyleUnderline"/>
        </w:rPr>
        <w:t>Instead of focusing on federal solutions and increased spend­ing for national STEM programs, policymakers</w:t>
      </w:r>
      <w:r w:rsidRPr="00AA0D15">
        <w:t xml:space="preserve"> and the private sector shou</w:t>
      </w:r>
      <w:r w:rsidRPr="00AA0D15">
        <w:rPr>
          <w:rStyle w:val="StyleUnderline"/>
        </w:rPr>
        <w:t xml:space="preserve">ld refocus attention on sys­temic education reforms at the state, </w:t>
      </w:r>
      <w:r w:rsidRPr="00AA0D15">
        <w:t xml:space="preserve">local, and school </w:t>
      </w:r>
      <w:r w:rsidRPr="00AA0D15">
        <w:rPr>
          <w:rStyle w:val="StyleUnderline"/>
        </w:rPr>
        <w:t>levels to fix the broken pipeline and dramat­ically increase the number of students who are able to succeed in STEM fields at school</w:t>
      </w:r>
      <w:r w:rsidRPr="00AA0D15">
        <w:t xml:space="preserve"> and in the workforce. </w:t>
      </w:r>
      <w:r w:rsidRPr="00AA0D15">
        <w:rPr>
          <w:rStyle w:val="StyleUnderline"/>
        </w:rPr>
        <w:t>These reforms should include a full spectrum of education reforms--from more choice and autonomy for parents and school leaders to encouraging new school innovation and changing how teachers are hired and compensated. These reforms must include initiatives aimed at improving teacher quality--from changes in compensation structures to alternative certification programs.</w:t>
      </w:r>
      <w:r w:rsidRPr="00AA0D15">
        <w:t xml:space="preserve"> Finally, America must begin to involve the private sector in educa­tion and seek out new and innovative school models that will allow for greater specialization in STEM coursework. </w:t>
      </w:r>
    </w:p>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States are key to STEM education --- provide unique flexibility that facilitates implementation</w:t>
      </w:r>
    </w:p>
    <w:p w:rsidR="00C47278" w:rsidRPr="00AA0D15" w:rsidRDefault="00C47278" w:rsidP="00C47278">
      <w:r w:rsidRPr="00AA0D15">
        <w:rPr>
          <w:b/>
        </w:rPr>
        <w:t xml:space="preserve">Burke and McNeill 2011 </w:t>
      </w:r>
      <w:r w:rsidRPr="00AA0D15">
        <w:t>—Lindsey M. Burke is a Policy Analyst in the Domestic Policy Studies Department and Jena Baker McNeill is Policy Analyst for Homeland Security at The Heritage Foundation. (“Educate to Innovate”: How the Obama Plan for STEM Education Falls Short”, Backgrounder NO. 2904. http://files.eric.ed.gov/fulltext/ED514583.pdf)//ET</w:t>
      </w:r>
    </w:p>
    <w:p w:rsidR="00C47278" w:rsidRPr="00AA0D15" w:rsidRDefault="00C47278" w:rsidP="00C47278">
      <w:pPr>
        <w:rPr>
          <w:rStyle w:val="StyleUnderline"/>
          <w:sz w:val="16"/>
          <w:u w:val="none"/>
        </w:rPr>
      </w:pPr>
      <w:r w:rsidRPr="00AA0D15">
        <w:t xml:space="preserve">Abstract: President </w:t>
      </w:r>
      <w:r w:rsidRPr="00AA0D15">
        <w:rPr>
          <w:rStyle w:val="StyleUnderline"/>
        </w:rPr>
        <w:t>Obama’s Educate to Innovate initiative has provided billions in additional federal funding</w:t>
      </w:r>
      <w:r w:rsidRPr="00AA0D15">
        <w:t xml:space="preserve"> </w:t>
      </w:r>
      <w:r w:rsidRPr="00AA0D15">
        <w:rPr>
          <w:rStyle w:val="StyleUnderline"/>
        </w:rPr>
        <w:t xml:space="preserve">for </w:t>
      </w:r>
      <w:r w:rsidRPr="00AA0D15">
        <w:t>science, technology, engineering, and mathematics (</w:t>
      </w:r>
      <w:r w:rsidRPr="00AA0D15">
        <w:rPr>
          <w:rStyle w:val="StyleUnderline"/>
        </w:rPr>
        <w:t>STEM</w:t>
      </w:r>
      <w:r w:rsidRPr="00AA0D15">
        <w:t xml:space="preserve">) education programs across the country. The Administration’s recognition of the importance of STEM education— for global competitiveness as well as for national security—is good and important. But </w:t>
      </w:r>
      <w:r w:rsidRPr="00AA0D15">
        <w:rPr>
          <w:rStyle w:val="Emphasis"/>
        </w:rPr>
        <w:t>the past 50 years suggest that federal initiatives are unlikely to solve the fundamental problem of American underperformance in STEM education</w:t>
      </w:r>
      <w:r w:rsidRPr="00AA0D15">
        <w:t xml:space="preserve">. Heritage Foundation education and national security analysts explain that, though Educate to Innovate is intended to raise the U.S. “from the middle to the top of the pack in science and math,” </w:t>
      </w:r>
      <w:r w:rsidRPr="00AA0D15">
        <w:rPr>
          <w:rStyle w:val="StyleUnderline"/>
        </w:rPr>
        <w:t>the federal program’s</w:t>
      </w:r>
      <w:r w:rsidRPr="00AA0D15">
        <w:rPr>
          <w:rStyle w:val="Emphasis"/>
        </w:rPr>
        <w:t xml:space="preserve"> onesize-fits-all approach fails </w:t>
      </w:r>
      <w:r w:rsidRPr="00AA0D15">
        <w:rPr>
          <w:rStyle w:val="StyleUnderline"/>
        </w:rPr>
        <w:t xml:space="preserve">to remedy the underlying problems of academic performance and does not plug the leaky pipeline in the American education system. </w:t>
      </w:r>
      <w:r w:rsidRPr="00AA0D15">
        <w:t xml:space="preserve">In the 1950s and 1960s, Sputnik and the space race inspired a generation of Americans to pursue education and careers in science and technology. Half a century later, American students are now ranked 22nd and 31st among their peers throughout the world in science and math, respectively. Students in the United States, once a leader in science, technology, engineering, and mathematics (STEM), are now outperformed by students from Liechtenstein, Slovenia, Estonia, and Hungary, among others.1 In 1983, the National Commission on Excellence in Education published “A Nation at Risk,” a national study that highlighted the unacceptable state of the American education system: Talking Points • Half a century after the Space Race, American students are now ranked 22nd and 31st among their peers throughout the world in science and math, respectively. </w:t>
      </w:r>
      <w:r w:rsidRPr="00AA0D15">
        <w:rPr>
          <w:rStyle w:val="StyleUnderline"/>
        </w:rPr>
        <w:t xml:space="preserve">• The Obama Administration’s Educate to Innovate campaign falls short of its goal of increasing American students’ science, technology, engineering, and math (STEM) proficiency because it fails to address the underlying problems that plague the current educational system. </w:t>
      </w:r>
      <w:r w:rsidRPr="00AA0D15">
        <w:t xml:space="preserve">• In order to increase STEM proficiency, the Obama </w:t>
      </w:r>
      <w:r w:rsidRPr="00AA0D15">
        <w:rPr>
          <w:rStyle w:val="StyleUnderline"/>
        </w:rPr>
        <w:t>Administration should limit,</w:t>
      </w:r>
      <w:r w:rsidRPr="00AA0D15">
        <w:t xml:space="preserve"> not increase, </w:t>
      </w:r>
      <w:r w:rsidRPr="00AA0D15">
        <w:rPr>
          <w:rStyle w:val="StyleUnderline"/>
        </w:rPr>
        <w:t xml:space="preserve">federal influence over education, and afford </w:t>
      </w:r>
      <w:r w:rsidRPr="00AA0D15">
        <w:rPr>
          <w:rStyle w:val="Emphasis"/>
        </w:rPr>
        <w:t>state</w:t>
      </w:r>
      <w:r w:rsidRPr="00AA0D15">
        <w:t xml:space="preserve"> and local </w:t>
      </w:r>
      <w:r w:rsidRPr="00AA0D15">
        <w:rPr>
          <w:rStyle w:val="Emphasis"/>
        </w:rPr>
        <w:t>policymakers flexibility</w:t>
      </w:r>
      <w:r w:rsidRPr="00AA0D15">
        <w:t xml:space="preserve"> with their federal education dollars </w:t>
      </w:r>
      <w:r w:rsidRPr="00AA0D15">
        <w:rPr>
          <w:rStyle w:val="Emphasis"/>
        </w:rPr>
        <w:t>in order to better target resources to those areas most in need</w:t>
      </w:r>
      <w:r w:rsidRPr="00AA0D15">
        <w:rPr>
          <w:rStyle w:val="StyleUnderline"/>
        </w:rPr>
        <w:t xml:space="preserve">. Access to STEM courses can be expanded with the proliferation of high-quality virtual education programs. </w:t>
      </w:r>
      <w:r w:rsidRPr="00AA0D15">
        <w:t xml:space="preserve">• A STEM-educated workforce is vital to the security and the prosperity of the U.S. as industry and government increasingly demand highly trained STEM professionals to compete in the global market. No. 2504 page 2 January 5, 2011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war.212 More than two decades later, in 2010, the National Academies of Science, Engineering and Medicine published “Rising Above the Gathering Storm, Revisited: Rapidly Approaching Category 5,” which built on the findings of their 2005 “Gathering Storm” report. Notably, the report warns that, “Today, for the first time in history, America’s younger generation is less well-educated than its parents.”3 Attempting to counter the faltering academic standing of American students and seeking to elevate them “from the middle to the top of the pack in science and math,” the Obama Administration announced its Educate to Innovate initiative in November 2009.4 The program, while touted as an effort to enhance STEM education, falls short of achieving this goal because it fails to address the underlying problems that plague the current educational system. The Obama Administration should limit, not increase, federal influence over education, and afford state and local policymakers flexibility with their federal education dollars in order to better target resources to those areas most in need. For their part, </w:t>
      </w:r>
      <w:r w:rsidRPr="00AA0D15">
        <w:rPr>
          <w:rStyle w:val="StyleUnderline"/>
        </w:rPr>
        <w:t>state</w:t>
      </w:r>
      <w:r w:rsidRPr="00AA0D15">
        <w:t xml:space="preserve"> and local </w:t>
      </w:r>
      <w:r w:rsidRPr="00AA0D15">
        <w:rPr>
          <w:rStyle w:val="StyleUnderline"/>
        </w:rPr>
        <w:t xml:space="preserve">policymakers should: • Promote alternative and flexible means to certify new teachers; • Create an environment favorable to online education to allow more students to have access to quality STEM education; • Link teacher pay to performance to help recruit and retain qualified teachers; and • Reform the traditional public school structure to promote school choice. </w:t>
      </w:r>
      <w:r w:rsidRPr="00AA0D15">
        <w:rPr>
          <w:rStyle w:val="StyleUnderline"/>
          <w:sz w:val="16"/>
          <w:u w:val="none"/>
        </w:rPr>
        <w:t xml:space="preserve">Educate to Innovate President Barack Obama’s Educate to Innovate campaign is touted as a collaborative effort between the federal government, the private sector, and the non-profit and research communities to raise the standing of American students in science and math through commitments of time, money, and volunteering. The program strives to increase STEM literacy, enhance teaching quality, and expand educational and career opportunities for America’s youth. When the program was first announced in November 2009, the participating organizations offered a financial and in-kind commitment of more than $260 million. Taxpayer obligations for the federal government’s portion of Educate to Innovate add to that total. Additionally, five public–private partnerships were announced, as well as commitments by key societal and private-sector leaders to mobilize resources for STEM education, innovation, and awareness.5 These partnerships and commitments are: • Time Warner Cable’s “Connect a Million Minds” (CAMM), which pledges to connect children to after-school STEM programs and activities in their area; • Discovery Communications’ “Be the Future” will broadcast dedicated science programming to more than 99 million homes and offer interactive science education to approximately 60,000 schools; • Sesame Street’s “Early STEM Literacy” commits to a two-year focus on STEM subjects; • National Lab Day will promote hands-on learning with 100,000 teachers and 10 million students over the next four years, and foster communities of collaboration between volunteers, students, and educators in STEM education. These initiatives will then culminate in a nationally recognized day centered on science activities; • The National STEM Video Game Challenge promotes the design and creation of STEMrelated video games; • The annual White House Science Fair will bring the winners of science fairs from across the nation to the White House to showcase their STEM creations and innovation; and • Sally Ride, first female astronaut, Craig Barrett, former Intel chairman, Ursula Burns, CEO of XEROX, and Glenn Britt, CEO of Eastman Kodak, committed to foster interest and support for STEM education among American corporations and philanthropists.6 In January 2010, President Obama announced the continuance of the program, highlighting the half-billion-dollar financial commitment from the Administration’s partners. This expansion includes an added commitment of $250 million in financial and in-kind support, and a promise by 75 of the nation’s largest public universities to train 10,000 new teachers by 2015. The program expansion also included further public–private partnerships intended to facilitate the training of new STEM educators, including the launch of Intel’s Science and Math Teachers Initiative and the PBS Innovative Educators Challenge, as well as the expansion of the National Math and Science Initiative’s UTeach program and Woodrow Wilson Teaching Fellowships in math and science. Furthermore, the President called on 200,000 federal government employees working in the fields of science and engineering to volunteer to work with educators in order to foster enhanced STEM education.7 A More Fundamental Problem When President Obama announced his Administration’s plan to enhance STEM education, he affirmed that “we know that the nation that outeducates us today will out-compete us tomorrow.”8 </w:t>
      </w:r>
      <w:r w:rsidRPr="00AA0D15">
        <w:rPr>
          <w:rStyle w:val="StyleUnderline"/>
        </w:rPr>
        <w:t xml:space="preserve">The President’s plan to enhance STEM education, much like similar efforts in the past to improve education through </w:t>
      </w:r>
      <w:r w:rsidRPr="00AA0D15">
        <w:rPr>
          <w:rStyle w:val="Emphasis"/>
        </w:rPr>
        <w:t xml:space="preserve">short-term bursts with federal dollars, falls short of the dramatic changes needed in the educational system to truly fill the gap. </w:t>
      </w:r>
      <w:r w:rsidRPr="00AA0D15">
        <w:rPr>
          <w:rStyle w:val="StyleUnderline"/>
          <w:sz w:val="16"/>
          <w:u w:val="none"/>
        </w:rPr>
        <w:t xml:space="preserve">The need to improve STEM education in the United States is no recent revelation. </w:t>
      </w:r>
      <w:r w:rsidRPr="00AA0D15">
        <w:rPr>
          <w:rStyle w:val="StyleUnderline"/>
        </w:rPr>
        <w:t xml:space="preserve">Over the past 50 years, American leaders have repeatedly discussed the need to enhance STEM education. Yet, </w:t>
      </w:r>
      <w:r w:rsidRPr="00AA0D15">
        <w:rPr>
          <w:rStyle w:val="Emphasis"/>
        </w:rPr>
        <w:t xml:space="preserve">despite increasing federal efforts and spending, U.S. students continue to under-perform in STEM subjects. </w:t>
      </w:r>
      <w:r w:rsidRPr="00AA0D15">
        <w:rPr>
          <w:rStyle w:val="StyleUnderline"/>
          <w:sz w:val="16"/>
          <w:u w:val="none"/>
        </w:rPr>
        <w:t xml:space="preserve">In 2007, for instance, the America COMPETES Act created new federal funding for STEMeducation.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w:t>
      </w:r>
      <w:r w:rsidRPr="00AA0D15">
        <w:rPr>
          <w:rStyle w:val="StyleUnderline"/>
        </w:rPr>
        <w:t>Despite these efforts, there remains a major shortage of qualified STEM teachers throughout the nation—and American students continue to perform worse than their peers in STEM subjects.9</w:t>
      </w:r>
      <w:r w:rsidRPr="00AA0D15">
        <w:t xml:space="preserve"> </w:t>
      </w:r>
      <w:r w:rsidRPr="00AA0D15">
        <w:rPr>
          <w:rStyle w:val="StyleUnderline"/>
          <w:sz w:val="16"/>
          <w:u w:val="none"/>
        </w:rPr>
        <w:t xml:space="preserve">Encouraging the private sector to get involved in the education of tomorrow’s workforce can align the education of today with the skills needed for tomorrow. Using creative approaches to tackle learning challenges is certainly a concept that should be embraced. The problem with the President’s approach, however, is that the root of America’s STEM education deficit is much more fundamental than the problems addressed by the President’s initiatives. The American K–12 education system is meant to function as a pipeline that prepares students for higher education and careers. But with an average annual dropout rate of close to 10 percent, there is little doubt that this pipeline has sprung a leak.10 Even many of those who do graduate with a high school diploma lack the knowledge and skillbase to succeed in the STEM field. In the United States today, just 73 percent of freshmen entering high school will graduate within four years, and those who do are often not adequately prepared for higher education and careers in STEM fields.11 Too many students are not making it through the leaky pipeline of the American education system with the skills they need to succeed. The reasons for their underperformance stems from a number of problems: </w:t>
      </w:r>
      <w:r w:rsidRPr="00AA0D15">
        <w:rPr>
          <w:rStyle w:val="StyleUnderline"/>
        </w:rPr>
        <w:t>A One-Size-Fits-All Approach. D</w:t>
      </w:r>
      <w:r w:rsidRPr="00AA0D15">
        <w:rPr>
          <w:rStyle w:val="StyleUnderline"/>
          <w:sz w:val="16"/>
          <w:u w:val="none"/>
        </w:rPr>
        <w:t>espite increasing federal control over the American education system over the past 50 years, educational achievement across the country has continued to deteriorate.</w:t>
      </w:r>
      <w:r w:rsidRPr="00AA0D15">
        <w:rPr>
          <w:rStyle w:val="StyleUnderline"/>
        </w:rPr>
        <w:t xml:space="preserve">12 A large part of the problem is that the </w:t>
      </w:r>
      <w:r w:rsidRPr="00AA0D15">
        <w:rPr>
          <w:rStyle w:val="Emphasis"/>
        </w:rPr>
        <w:t>federal focus centers on a one-size-fits-all approach.</w:t>
      </w:r>
      <w:r w:rsidRPr="00AA0D15">
        <w:rPr>
          <w:rStyle w:val="StyleUnderline"/>
          <w:sz w:val="16"/>
          <w:u w:val="none"/>
        </w:rPr>
        <w:t xml:space="preserve"> </w:t>
      </w:r>
      <w:r w:rsidRPr="00AA0D15">
        <w:rPr>
          <w:rStyle w:val="StyleUnderline"/>
        </w:rPr>
        <w:t xml:space="preserve">Most recently, this approach is part of the Obama Administration’s efforts </w:t>
      </w:r>
      <w:r w:rsidRPr="00AA0D15">
        <w:rPr>
          <w:rStyle w:val="Emphasis"/>
        </w:rPr>
        <w:t>to impose national education standards and tests on states</w:t>
      </w:r>
      <w:r w:rsidRPr="00AA0D15">
        <w:rPr>
          <w:rStyle w:val="StyleUnderline"/>
        </w:rPr>
        <w:t xml:space="preserve">. This is a significant federal overreach into states’ educational decision-making authority, and will likely </w:t>
      </w:r>
      <w:r w:rsidRPr="00AA0D15">
        <w:rPr>
          <w:rStyle w:val="Emphasis"/>
        </w:rPr>
        <w:t>result in the standardization of mediocrity</w:t>
      </w:r>
      <w:r w:rsidRPr="00AA0D15">
        <w:rPr>
          <w:rStyle w:val="StyleUnderline"/>
          <w:sz w:val="16"/>
          <w:u w:val="none"/>
        </w:rPr>
        <w:t xml:space="preserve">, </w:t>
      </w:r>
      <w:r w:rsidRPr="00AA0D15">
        <w:rPr>
          <w:rStyle w:val="StyleUnderline"/>
        </w:rPr>
        <w:t>rather than a minimum benchmark for competency in math and English</w:t>
      </w:r>
      <w:r w:rsidRPr="00AA0D15">
        <w:rPr>
          <w:rStyle w:val="StyleUnderline"/>
          <w:sz w:val="16"/>
          <w:u w:val="none"/>
        </w:rPr>
        <w:t xml:space="preserve">.13 </w:t>
      </w:r>
      <w:r w:rsidRPr="00AA0D15">
        <w:rPr>
          <w:rStyle w:val="StyleUnderline"/>
        </w:rPr>
        <w:t xml:space="preserve">Applying a blanket approach to education reform </w:t>
      </w:r>
      <w:r w:rsidRPr="00AA0D15">
        <w:rPr>
          <w:rStyle w:val="Emphasis"/>
        </w:rPr>
        <w:t>undermines innovation</w:t>
      </w:r>
      <w:r w:rsidRPr="00AA0D15">
        <w:rPr>
          <w:rStyle w:val="StyleUnderline"/>
        </w:rPr>
        <w:t xml:space="preserve"> in STEM education, </w:t>
      </w:r>
      <w:r w:rsidRPr="00AA0D15">
        <w:rPr>
          <w:rStyle w:val="Emphasis"/>
        </w:rPr>
        <w:t xml:space="preserve">increasing conformity at the expense of meeting the diverse needs of students and parents. </w:t>
      </w:r>
      <w:r w:rsidRPr="00AA0D15">
        <w:rPr>
          <w:rStyle w:val="StyleUnderline"/>
          <w:sz w:val="16"/>
          <w:u w:val="none"/>
        </w:rPr>
        <w:t xml:space="preserve">Recruiting Quality Teachers. </w:t>
      </w:r>
      <w:r w:rsidRPr="00AA0D15">
        <w:rPr>
          <w:rStyle w:val="StyleUnderline"/>
        </w:rPr>
        <w:t>The Educate to Innovate initiative increases Department of Education grants to train teachers in the STEM fields</w:t>
      </w:r>
      <w:r w:rsidRPr="00AA0D15">
        <w:rPr>
          <w:rStyle w:val="StyleUnderline"/>
          <w:sz w:val="16"/>
          <w:u w:val="none"/>
        </w:rPr>
        <w:t xml:space="preserve"> by $10 million, and lauds a promise by 75 of the nation’s largest public universities to train 10,000 new teachers by 2015. But </w:t>
      </w:r>
      <w:r w:rsidRPr="00AA0D15">
        <w:t>in pledging to train 10,000 new teachers over the next five years</w:t>
      </w:r>
      <w:r w:rsidRPr="00AA0D15">
        <w:rPr>
          <w:rStyle w:val="StyleUnderline"/>
          <w:sz w:val="16"/>
          <w:u w:val="none"/>
        </w:rPr>
        <w:t xml:space="preserve">, public universities will be </w:t>
      </w:r>
      <w:r w:rsidRPr="00AA0D15">
        <w:t>training</w:t>
      </w:r>
      <w:r w:rsidRPr="00AA0D15">
        <w:rPr>
          <w:rStyle w:val="StyleUnderline"/>
          <w:sz w:val="16"/>
          <w:u w:val="none"/>
        </w:rPr>
        <w:t xml:space="preserve"> just 2,500 more teachers in the STEM fields than are currently being trained. This means that each of the 75 schools will train just six new teachers per year.14 </w:t>
      </w:r>
      <w:r w:rsidRPr="00AA0D15">
        <w:rPr>
          <w:rStyle w:val="StyleUnderline"/>
        </w:rPr>
        <w:t>A major impediment to improving STEM education in the public school system, however, is the ability of schools to recruit quality teachers in the field. T</w:t>
      </w:r>
      <w:r w:rsidRPr="00AA0D15">
        <w:rPr>
          <w:rStyle w:val="StyleUnderline"/>
          <w:sz w:val="16"/>
          <w:u w:val="none"/>
        </w:rPr>
        <w:t xml:space="preserve">he average salary for K–12 teachers in the 2006–2007 school year was $51,000, 86 percent of the yearly salary of occupations requiring similar education.15 More than half of the workers in science and engineering fields earned a salary of $70,600 or more in 2007.16 Students graduating from college with STEM degrees recognize that they can earn more in non-teaching professions and are shying away from careers in education. The Business Higher-Education Forum estimates that by 2015 there will be a shortage of 283,000 science and education teachers in secondary education alone.17 Concurrently, barriers also exist discouraging those who are currently in STEM professions from becoming teachers. </w:t>
      </w:r>
      <w:r w:rsidRPr="00AA0D15">
        <w:rPr>
          <w:rStyle w:val="Emphasis"/>
        </w:rPr>
        <w:t>Individuals with a professional backgroun</w:t>
      </w:r>
      <w:r w:rsidRPr="00AA0D15">
        <w:rPr>
          <w:rStyle w:val="StyleUnderline"/>
        </w:rPr>
        <w:t xml:space="preserve">d in STEM have </w:t>
      </w:r>
      <w:r w:rsidRPr="00AA0D15">
        <w:rPr>
          <w:rStyle w:val="Emphasis"/>
        </w:rPr>
        <w:t>the potential to be outstanding</w:t>
      </w:r>
      <w:r w:rsidRPr="00AA0D15">
        <w:rPr>
          <w:rStyle w:val="StyleUnderline"/>
        </w:rPr>
        <w:t xml:space="preserve"> teachers because of their in-depth understanding of the subjects and practical experience</w:t>
      </w:r>
      <w:r w:rsidRPr="00AA0D15">
        <w:rPr>
          <w:rStyle w:val="StyleUnderline"/>
          <w:sz w:val="16"/>
          <w:u w:val="none"/>
        </w:rPr>
        <w:t xml:space="preserve">. In many cases, however, </w:t>
      </w:r>
      <w:r w:rsidRPr="00AA0D15">
        <w:rPr>
          <w:rStyle w:val="Emphasis"/>
        </w:rPr>
        <w:t xml:space="preserve">these individuals face difficulties in obtaining teaching certifications, in terms of time, cost, and prohibitions imposed, often from federal policymakers. </w:t>
      </w:r>
      <w:r w:rsidRPr="00AA0D15">
        <w:rPr>
          <w:rStyle w:val="StyleUnderline"/>
          <w:sz w:val="16"/>
          <w:u w:val="none"/>
        </w:rPr>
        <w:t>Fixating on the Traditional School Model. While alternative education programs have long been in development</w:t>
      </w:r>
      <w:r w:rsidRPr="00AA0D15">
        <w:rPr>
          <w:rStyle w:val="StyleUnderline"/>
        </w:rPr>
        <w:t>, the American education system has continued to fixate on the traditional school mode</w:t>
      </w:r>
      <w:r w:rsidRPr="00AA0D15">
        <w:rPr>
          <w:rStyle w:val="StyleUnderline"/>
          <w:sz w:val="16"/>
          <w:u w:val="none"/>
        </w:rPr>
        <w:t xml:space="preserve">l. </w:t>
      </w:r>
      <w:r w:rsidRPr="00AA0D15">
        <w:rPr>
          <w:rStyle w:val="Emphasis"/>
        </w:rPr>
        <w:t>Alternative education programs</w:t>
      </w:r>
      <w:r w:rsidRPr="00AA0D15">
        <w:rPr>
          <w:rStyle w:val="StyleUnderline"/>
        </w:rPr>
        <w:t xml:space="preserve"> offer much promise for </w:t>
      </w:r>
      <w:r w:rsidRPr="00AA0D15">
        <w:rPr>
          <w:rStyle w:val="Emphasis"/>
        </w:rPr>
        <w:t>fostering innovation</w:t>
      </w:r>
      <w:r w:rsidRPr="00AA0D15">
        <w:rPr>
          <w:rStyle w:val="StyleUnderline"/>
          <w:sz w:val="16"/>
          <w:u w:val="none"/>
        </w:rPr>
        <w:t xml:space="preserve"> in education across the country. Online or virtual learning programs, for example, allow a break from the traditional model in which educational opportunity is tied to one’s zip code and enables students to gain access to the best teachers regardless of where they are located. In 2009, </w:t>
      </w:r>
      <w:r w:rsidRPr="00AA0D15">
        <w:rPr>
          <w:rStyle w:val="StyleUnderline"/>
        </w:rPr>
        <w:t xml:space="preserve">the U.S. Department of Education conducted a meta-analysis of online-learning studies and concluded that “students who took all or part of their class online performed </w:t>
      </w:r>
      <w:r w:rsidRPr="00AA0D15">
        <w:t>modestly</w:t>
      </w:r>
      <w:r w:rsidRPr="00AA0D15">
        <w:rPr>
          <w:rStyle w:val="StyleUnderline"/>
        </w:rPr>
        <w:t xml:space="preserve"> better,</w:t>
      </w:r>
      <w:r w:rsidRPr="00AA0D15">
        <w:rPr>
          <w:rStyle w:val="StyleUnderline"/>
          <w:sz w:val="16"/>
          <w:u w:val="none"/>
        </w:rPr>
        <w:t xml:space="preserve"> on average, than those taking the same course through traditional face-to-face instruction.”18 Online-learning options are growing rapidly and present an effective new medium for STEM education. As of 2009, 45 states had some form of onlinelearning program, with more than one million students enrolled in courses online.19 </w:t>
      </w:r>
      <w:r w:rsidRPr="00AA0D15">
        <w:rPr>
          <w:rStyle w:val="StyleUnderline"/>
        </w:rPr>
        <w:t xml:space="preserve">Plugging the Leaky Pipe </w:t>
      </w:r>
      <w:r w:rsidRPr="00AA0D15">
        <w:rPr>
          <w:rStyle w:val="StyleUnderline"/>
          <w:sz w:val="16"/>
          <w:u w:val="none"/>
        </w:rPr>
        <w:t xml:space="preserve">This leaky pipeline is </w:t>
      </w:r>
      <w:r w:rsidRPr="00AA0D15">
        <w:rPr>
          <w:rStyle w:val="StyleUnderline"/>
        </w:rPr>
        <w:t>perpetuated</w:t>
      </w:r>
      <w:r w:rsidRPr="00AA0D15">
        <w:rPr>
          <w:rStyle w:val="StyleUnderline"/>
          <w:sz w:val="16"/>
          <w:u w:val="none"/>
        </w:rPr>
        <w:t xml:space="preserve"> as students, ill-prepared by a faltering educational system, face significant challenges in pursuing STEM education in post-secondary school. While the absolute number of students attaining STEM degrees more than doubled between 1960 and 2000, the number of students attending college increased. The percentage of students obtaining STEM degrees has, thus, held relatively constant around 17 percent for the past several decades. In the 2002–2003 school year, for example, of the approximately 2.5 million degrees awarded, 16.7 percent of bachelor’s degrees, 12.9 percent of master’s degrees, and 34.8 percent of doctoral degrees were in a STEM field. In comparison, roughly equal numbers of bachelor’s degrees were awarded in STEM as were awarded in business, and twice as many business master’s degrees were awarded. Only at the doctoral level do STEM degrees exceed most other fields.20 Despite the low number of STEM degrees awarded, demand for STEM professionals is growing. The Government Accountability Office (GAO) reports that between 1993 and 2004, employment in STEM fields grew by 23 percent, while overall employment in non-STEM fields grew by only 17 percent.21 Furthermore, in 2010, the National Science Foundation reported that “the S&amp;E [science and engineering] workforce has shown sustained growth for over a half a century, and growth is projected to continue in the future.” The same National Science Foundation report also estimated that the average annual growth rate for the science and engineering workforce is 6.2 percent, compared to 1.6 percent for the overall U.S. workforce. While the current economic recession has strained employment opportunities, the need for STEM remains strong and is a means to foster innovation in national security and industry, as well as promote job growth in research and development and related areas. </w:t>
      </w:r>
      <w:r w:rsidRPr="00AA0D15">
        <w:rPr>
          <w:rStyle w:val="StyleUnderline"/>
        </w:rPr>
        <w:t xml:space="preserve">The current educational system, however, continually fails to prepare students for a post-secondary STEM curriculum. </w:t>
      </w:r>
      <w:r w:rsidRPr="00AA0D15">
        <w:rPr>
          <w:rStyle w:val="StyleUnderline"/>
          <w:sz w:val="16"/>
          <w:u w:val="none"/>
        </w:rPr>
        <w:t xml:space="preserve">This means that America needs a real solution to the challenges in STEM education, one that develops and fosters interest in the subjects from an early age and builds a strong base of STEM-educated citizens throughout the United States. In order to achieve this goal, federal and </w:t>
      </w:r>
      <w:r w:rsidRPr="00AA0D15">
        <w:rPr>
          <w:rStyle w:val="StyleUnderline"/>
        </w:rPr>
        <w:t xml:space="preserve">state policymakers should work toward genuine education reform that empowers parents to choose a school that best meets the needs of their children. Data demonstrate that the </w:t>
      </w:r>
      <w:r w:rsidRPr="00AA0D15">
        <w:rPr>
          <w:rStyle w:val="Emphasis"/>
        </w:rPr>
        <w:t>one-size-fits-all federal efforts</w:t>
      </w:r>
      <w:r w:rsidRPr="00AA0D15">
        <w:rPr>
          <w:rStyle w:val="StyleUnderline"/>
        </w:rPr>
        <w:t xml:space="preserve"> to improve STEM education have </w:t>
      </w:r>
      <w:r w:rsidRPr="00AA0D15">
        <w:rPr>
          <w:rStyle w:val="Emphasis"/>
        </w:rPr>
        <w:t xml:space="preserve">simply fallen </w:t>
      </w:r>
      <w:r w:rsidRPr="00AA0D15">
        <w:rPr>
          <w:rStyle w:val="StyleUnderline"/>
        </w:rPr>
        <w:t>short in educating America’s children in science, technology, engineering, and mathematics</w:t>
      </w:r>
      <w:r w:rsidRPr="00AA0D15">
        <w:rPr>
          <w:rStyle w:val="StyleUnderline"/>
          <w:sz w:val="16"/>
          <w:u w:val="none"/>
        </w:rPr>
        <w:t xml:space="preserve">. Educate to Innovate is another broad scheme that will spend taxpayer dollars without getting to the root cause of deficiencies in the K–12 education system. In order to plug the leaky pipeline of STEM education, </w:t>
      </w:r>
      <w:r w:rsidRPr="00AA0D15">
        <w:rPr>
          <w:rStyle w:val="Emphasis"/>
        </w:rPr>
        <w:t xml:space="preserve">states should: </w:t>
      </w:r>
      <w:r w:rsidRPr="00AA0D15">
        <w:rPr>
          <w:rStyle w:val="StyleUnderline"/>
          <w:sz w:val="16"/>
          <w:u w:val="none"/>
        </w:rPr>
        <w:t xml:space="preserve">• </w:t>
      </w:r>
      <w:r w:rsidRPr="00AA0D15">
        <w:rPr>
          <w:rStyle w:val="StyleUnderline"/>
        </w:rPr>
        <w:t>Seek alternative and flexible means to certify new teachers. Too</w:t>
      </w:r>
      <w:r w:rsidRPr="00AA0D15">
        <w:rPr>
          <w:rStyle w:val="StyleUnderline"/>
          <w:sz w:val="16"/>
          <w:u w:val="none"/>
        </w:rPr>
        <w:t xml:space="preserve"> many science and math teachers do not have a degree in the subjects they teach. STEM majors have the potential to serve as high-quality science and math teachers; however, the rigor of such courses of study makes it difficult for these students to concurrently pursue minors or certificates in education. Traditional education degrees or certificate programs have a high cost in both time and money. </w:t>
      </w:r>
      <w:r w:rsidRPr="00AA0D15">
        <w:rPr>
          <w:rStyle w:val="StyleUnderline"/>
        </w:rPr>
        <w:t>Alternative certification programs, however, offer a low-cost, time-efficient means of training greater numbers of quality STEM professionals to enter the teaching field. Organizations such as the American Board for Certification of Teacher Excellence (ABCTE) offer increasing appeal to both potential new teachers and schools seeking to hire these excellent teachers.</w:t>
      </w:r>
      <w:r w:rsidRPr="00AA0D15">
        <w:rPr>
          <w:rStyle w:val="StyleUnderline"/>
          <w:sz w:val="16"/>
          <w:u w:val="none"/>
        </w:rPr>
        <w:t xml:space="preserve"> Last year, ABCTE provided 219 new teachers with certificates, up from 144 in 2008. The cost of this program is a mere $1,995, while a traditional university degree could cost on average $28,080 at a public four-year university, or upwards of $105,092 at a private university.22 Candidates for an ABCTE certificate need only to hold a bachelor’s degree, pass a background check, and pass teaching-knowledge and subject-area exams, with most completing the program in less than a year. ABCTE certification is already accepted as a teaching qualification in Florida, Idaho, Mississippi, Missouri, New Hampshire, Pennsylvania, South Carolina, Utah, and Oklahoma.23 </w:t>
      </w:r>
      <w:r w:rsidRPr="00AA0D15">
        <w:rPr>
          <w:rStyle w:val="StyleUnderline"/>
        </w:rPr>
        <w:t>While alternative teacher-certification skeptics have argued that such programs are not as rigorous, research has shown these concerns to be unfounded</w:t>
      </w:r>
      <w:r w:rsidRPr="00AA0D15">
        <w:rPr>
          <w:rStyle w:val="StyleUnderline"/>
          <w:sz w:val="16"/>
          <w:u w:val="none"/>
        </w:rPr>
        <w:t xml:space="preserve">.24 ABCTE reports that only 40 percent of its candidates are able to complete their rigorous program, highlighting its quality and merits.25 Nevertheless, traditional four-year universities are also stepping up in forming programs to encourage and enable STEM majors to pursue teaching after graduation. The University of Texas at Austin’s UTeach program, for example, offers students the opportunity to obtain a STEM degree and a teaching certificate concurrently.26 The University of Texas is now graduating 70 science and math teachers per year with a 70 percent retention rate compared to the 50 percent national retention rate.27 Following on the UTeach example, 13 other universities, including the University of California at Berkeley, have begun similar programs as part of the National Science and Mathematics Initiative (NSMI).28 </w:t>
      </w:r>
      <w:r w:rsidRPr="00AA0D15">
        <w:rPr>
          <w:rStyle w:val="StyleUnderline"/>
        </w:rPr>
        <w:t>• Encourage greater access to online classes and programs.</w:t>
      </w:r>
      <w:r w:rsidRPr="00AA0D15">
        <w:rPr>
          <w:rStyle w:val="StyleUnderline"/>
          <w:sz w:val="16"/>
          <w:u w:val="none"/>
        </w:rPr>
        <w:t xml:space="preserve"> In recent history, the quality of education available to a student has largely been determined by zip code. Online education programs, however, provide quality STEM education to students regardless of geography. Approximately 1 million students, or 2 percent of U.S. K–12 students, already participate in online education, with 27 states offering statewide virtual schools and 24 states plus the District of Columbia allowing students to attend these schools full-time.29 Across the nation, there is a great variety of online or virtual learning programs. Many offer supplementary education, presenting students the opportunity to take classes not offered at their schools (whether an upper-level Advance Placement (AP) class or basic physics) or offering a hybrid education to enhance in-class instruction. Others offer full-time programs or cyber charter schools where students “attend” all of their classes online. These programs may be either publicly run, under state, school district, or charter authority, or privately run, as the for-profit education industry now accounts for roughly 10 percent of the education market.30 Another added benefit to online education is the ability to customize programs to student needs and allow students to work at their own pace. For STEM education and beyond, virtual learning programs address teacher shortages. Students are able to take a chemistry class from the best instructors online, countering the fact that many school districts have trouble finding qualified STEM teachers. Some online programs even offer virtual chemistry or biology laboratories. • </w:t>
      </w:r>
      <w:r w:rsidRPr="00AA0D15">
        <w:rPr>
          <w:rStyle w:val="StyleUnderline"/>
        </w:rPr>
        <w:t>Link pay to performance. Teachers’ salaries have long been based on seniority and credentials, completely ignoring market influence and teacher efficacy.</w:t>
      </w:r>
      <w:r w:rsidRPr="00AA0D15">
        <w:rPr>
          <w:rStyle w:val="StyleUnderline"/>
          <w:sz w:val="16"/>
          <w:u w:val="none"/>
        </w:rPr>
        <w:t xml:space="preserve"> </w:t>
      </w:r>
      <w:r w:rsidRPr="00AA0D15">
        <w:rPr>
          <w:rStyle w:val="StyleUnderline"/>
        </w:rPr>
        <w:t>To help recruit and maintain qualified teachers, school districts should link pay to performance.</w:t>
      </w:r>
      <w:r w:rsidRPr="00AA0D15">
        <w:rPr>
          <w:rStyle w:val="StyleUnderline"/>
          <w:sz w:val="16"/>
          <w:u w:val="none"/>
        </w:rPr>
        <w:t xml:space="preserve"> For STEM teachers or those with degrees or professional experience in the field, higher salaries are more prevalent in industry than in the teaching profession. Recognizing this market demand, employers may need to offer STEM teachers better compensation. Providing bonuses for those teachers who are successful in recruiting more students to enroll and pass AP courses in the STEM fields could attract and retain high-quality teachers.31 In Florida, a state leader in education reform, the One Florida program offers $50 in sta funding to teachers for each of their students who pass an AP exam, up to $2,000 a year.32 • </w:t>
      </w:r>
      <w:r w:rsidRPr="00AA0D15">
        <w:rPr>
          <w:rStyle w:val="StyleUnderline"/>
        </w:rPr>
        <w:t>Empower parents with school choice</w:t>
      </w:r>
      <w:r w:rsidRPr="00AA0D15">
        <w:rPr>
          <w:rStyle w:val="StyleUnderline"/>
          <w:sz w:val="16"/>
          <w:u w:val="none"/>
        </w:rPr>
        <w:t>. Millions of students across the country are trapped in low-quality, government-assigned public schools. School choice, however, offers parents the opportunity to choose schools for their children that offer better opportunities that meet their children’s needs. Last year, 23 private-school-choice programs in 15 states and the District of Columbia offered varying degrees of school choice options to 190,000 of the nation’s students. These programs not only provide better educational opportunities, but force schools to have greater accountability to students and their families through competition. In addition, 40 states and the District of Columbia permit charter schools, and 46 states have publicschool-choice options.33 In the case of public-school choice, a key component has been the availability of “backpack funding,” or allowing funding to follow a student to a public school of choice. Such mobile funding also offers great potential for the future of online education, such that students could be able to use either a portion of their educational funding for supplemental virtual education or all of their educational funding for full-time programs. A Nation at Risk A STEM-educated workforce is vital to the security and the prosperity of the U.S. as industry and government increasingly demand highly trained STEM professionals to compete in the global market, and look to science and technology to help stay one step ahead of national security threats. The United States must not allow itself to continue to be outcompeted in science, technology, engineering, and mathematics. While the Administration’s Educate to Innovate initiative is intended to raise the U.S. “from the middle to the top of the pack in science and math,” this one-size-fits-all, federal approach fails to remedy the underlying problems of academic performance and does not plug the leaky pipeline in the American education system.</w:t>
      </w:r>
    </w:p>
    <w:p w:rsidR="00C47278" w:rsidRPr="00AA0D15" w:rsidRDefault="00C47278" w:rsidP="00C47278">
      <w:pPr>
        <w:pStyle w:val="Heading4"/>
        <w:rPr>
          <w:rFonts w:cs="Times New Roman"/>
        </w:rPr>
      </w:pPr>
      <w:r w:rsidRPr="00AA0D15">
        <w:rPr>
          <w:rFonts w:cs="Times New Roman"/>
        </w:rPr>
        <w:t>States provide districts with necessary flexibility --- key to STEM success and innovation</w:t>
      </w:r>
    </w:p>
    <w:p w:rsidR="00C47278" w:rsidRPr="00AA0D15" w:rsidRDefault="00C47278" w:rsidP="00C47278">
      <w:r w:rsidRPr="00AA0D15">
        <w:rPr>
          <w:b/>
        </w:rPr>
        <w:t xml:space="preserve">Carmichael 17 --- </w:t>
      </w:r>
      <w:r w:rsidRPr="00AA0D15">
        <w:t>PhD equivalent, EdD Education Leadership, Management and Policy from Seton University. (Courtney, “A State-by-State Policy Analysis of STEM Education for K-12 Public Schools”, http://scholarship.shu.edu/dissertations/2297/)//ET</w:t>
      </w:r>
    </w:p>
    <w:p w:rsidR="00C47278" w:rsidRPr="00AA0D15" w:rsidRDefault="00C47278" w:rsidP="00C47278">
      <w:pPr>
        <w:rPr>
          <w:rStyle w:val="Emphasis"/>
        </w:rPr>
      </w:pPr>
      <w:r w:rsidRPr="00AA0D15">
        <w:t xml:space="preserve">Implications for Practitioners. </w:t>
      </w:r>
      <w:r w:rsidRPr="00AA0D15">
        <w:rPr>
          <w:rStyle w:val="StyleUnderline"/>
        </w:rPr>
        <w:t>As governors, legislators</w:t>
      </w:r>
      <w:r w:rsidRPr="00AA0D15">
        <w:t xml:space="preserve">, universities, and labor leaders </w:t>
      </w:r>
      <w:r w:rsidRPr="00AA0D15">
        <w:rPr>
          <w:rStyle w:val="StyleUnderline"/>
        </w:rPr>
        <w:t>discuss STEM education,</w:t>
      </w:r>
      <w:r w:rsidRPr="00AA0D15">
        <w:t xml:space="preserve"> </w:t>
      </w:r>
      <w:r w:rsidRPr="00AA0D15">
        <w:rPr>
          <w:rStyle w:val="Emphasis"/>
        </w:rPr>
        <w:t>the administrator at the school</w:t>
      </w:r>
      <w:r w:rsidRPr="00AA0D15">
        <w:t xml:space="preserve"> or district </w:t>
      </w:r>
      <w:r w:rsidRPr="00AA0D15">
        <w:rPr>
          <w:rStyle w:val="Emphasis"/>
        </w:rPr>
        <w:t>level</w:t>
      </w:r>
      <w:r w:rsidRPr="00AA0D15">
        <w:t xml:space="preserve"> </w:t>
      </w:r>
      <w:r w:rsidRPr="00AA0D15">
        <w:rPr>
          <w:rStyle w:val="Emphasis"/>
        </w:rPr>
        <w:t>must decide how to proceed with STEM implementation</w:t>
      </w:r>
      <w:r w:rsidRPr="00AA0D15">
        <w:t xml:space="preserve">. </w:t>
      </w:r>
      <w:r w:rsidRPr="00AA0D15">
        <w:rPr>
          <w:rStyle w:val="StyleUnderline"/>
        </w:rPr>
        <w:t xml:space="preserve">The local practitioner must balance the guiding </w:t>
      </w:r>
      <w:r w:rsidRPr="00AA0D15">
        <w:t xml:space="preserve">STATE-BY-STATE STEM EDUCATION POLICY ANALYSIS 88 </w:t>
      </w:r>
      <w:r w:rsidRPr="00AA0D15">
        <w:rPr>
          <w:rStyle w:val="StyleUnderline"/>
        </w:rPr>
        <w:t>statutes, financial responsibilities, and priorities of the community.</w:t>
      </w:r>
      <w:r w:rsidRPr="00AA0D15">
        <w:t xml:space="preserve"> As seen from the research of this study, </w:t>
      </w:r>
      <w:r w:rsidRPr="00AA0D15">
        <w:rPr>
          <w:rStyle w:val="StyleUnderline"/>
        </w:rPr>
        <w:t>most states do not have STEM education statutes</w:t>
      </w:r>
      <w:r w:rsidRPr="00AA0D15">
        <w:t xml:space="preserve"> and regulations (only 42 percent), which leaves neighborhood schools able to make decisions about programs in their buildings. Overall, </w:t>
      </w:r>
      <w:r w:rsidRPr="00AA0D15">
        <w:rPr>
          <w:rStyle w:val="StyleUnderline"/>
        </w:rPr>
        <w:t>curriculum execution must be supported by budgets and funding t</w:t>
      </w:r>
      <w:r w:rsidRPr="00AA0D15">
        <w:t xml:space="preserve">o provide professional development, the creation and collection of classroom resources, hiring personnel, and develop assessments. Curriculum is supported by annual budgets, which in turn are created at the local, state and national level for school funding. </w:t>
      </w:r>
      <w:r w:rsidRPr="00AA0D15">
        <w:rPr>
          <w:rStyle w:val="Emphasis"/>
        </w:rPr>
        <w:t xml:space="preserve">Decisions about curriculum are varied depending on the stakeholders. </w:t>
      </w:r>
      <w:r w:rsidRPr="00AA0D15">
        <w:t xml:space="preserve">For example when looking at implementing the Next Generation Science Standards, which is ultimately related to STEM education, </w:t>
      </w:r>
      <w:r w:rsidRPr="00AA0D15">
        <w:rPr>
          <w:rStyle w:val="StyleUnderline"/>
        </w:rPr>
        <w:t xml:space="preserve">Much of the complexity of science education systems derives from the multiple levels of control—classroom, school, school district, state, and national—across which curriculum, instruction, teacher development, and assessment operate; thus what ultimately happens in a classroom is significantly affected by decision making distributed across the levels and multiple channels of influence. </w:t>
      </w:r>
      <w:r w:rsidRPr="00AA0D15">
        <w:t>(NRC, 2012, 243) These “</w:t>
      </w:r>
      <w:r w:rsidRPr="00AA0D15">
        <w:rPr>
          <w:rStyle w:val="StyleUnderline"/>
        </w:rPr>
        <w:t>multiple channels of influence”</w:t>
      </w:r>
      <w:r w:rsidRPr="00AA0D15">
        <w:t xml:space="preserve"> may also </w:t>
      </w:r>
      <w:r w:rsidRPr="00AA0D15">
        <w:rPr>
          <w:rStyle w:val="StyleUnderline"/>
        </w:rPr>
        <w:t>include other stakeholders like parents,</w:t>
      </w:r>
      <w:r w:rsidRPr="00AA0D15">
        <w:t xml:space="preserve"> businesses, and professional societies </w:t>
      </w:r>
      <w:r w:rsidRPr="00AA0D15">
        <w:rPr>
          <w:rStyle w:val="StyleUnderline"/>
        </w:rPr>
        <w:t>who exert varying levels of sway over curriculum priorities</w:t>
      </w:r>
      <w:r w:rsidRPr="00AA0D15">
        <w:t xml:space="preserve">. </w:t>
      </w:r>
      <w:r w:rsidRPr="00AA0D15">
        <w:rPr>
          <w:rStyle w:val="StyleUnderline"/>
        </w:rPr>
        <w:t>School administrators must balance competing needs to deliver curriculum for the students</w:t>
      </w:r>
      <w:r w:rsidRPr="00AA0D15">
        <w:t xml:space="preserve">. STEM education is only one of the programs possible in schools, and this study has shown that there are four possible models to define STEM education: disciplinary, integrated, disciplinary and integrated, or no clear model at all. An administrator who wants to implement STEM education should be aware of the range of definitions. Looking again at Vasquez, Sneider, and Comer (2013), STEM education was characterized as a four-stage process, and the more integrated STEM education is with multiple disciplines the harder it is to implement. </w:t>
      </w:r>
      <w:r w:rsidRPr="00AA0D15">
        <w:rPr>
          <w:rStyle w:val="StyleUnderline"/>
        </w:rPr>
        <w:t xml:space="preserve">The </w:t>
      </w:r>
      <w:r w:rsidRPr="00AA0D15">
        <w:rPr>
          <w:rStyle w:val="Emphasis"/>
        </w:rPr>
        <w:t xml:space="preserve">states with </w:t>
      </w:r>
      <w:r w:rsidRPr="00AA0D15">
        <w:t xml:space="preserve">STATE-BY-STATE STEM EDUCATION POLICY ANALYSIS 89 </w:t>
      </w:r>
      <w:r w:rsidRPr="00AA0D15">
        <w:rPr>
          <w:rStyle w:val="Emphasis"/>
        </w:rPr>
        <w:t>integration at the policy level discussed</w:t>
      </w:r>
      <w:r w:rsidRPr="00AA0D15">
        <w:rPr>
          <w:rStyle w:val="StyleUnderline"/>
        </w:rPr>
        <w:t xml:space="preserve"> </w:t>
      </w:r>
      <w:r w:rsidRPr="00AA0D15">
        <w:t xml:space="preserve">and used the language of critical thinking, real world application, and problem-based learning. The four-stage definition </w:t>
      </w:r>
      <w:r w:rsidRPr="00AA0D15">
        <w:rPr>
          <w:rStyle w:val="Emphasis"/>
        </w:rPr>
        <w:t xml:space="preserve">provides an outline of STEM education integration and early priorities for implementation for educators. </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States solve uniformity --- national governors association coordinates</w:t>
      </w:r>
    </w:p>
    <w:p w:rsidR="00C47278" w:rsidRPr="00AA0D15" w:rsidRDefault="00C47278" w:rsidP="00C47278">
      <w:pPr>
        <w:tabs>
          <w:tab w:val="left" w:pos="1350"/>
        </w:tabs>
      </w:pPr>
      <w:r w:rsidRPr="00AA0D15">
        <w:rPr>
          <w:b/>
        </w:rPr>
        <w:t xml:space="preserve">Chen 6/10/17 --- </w:t>
      </w:r>
      <w:r w:rsidRPr="00AA0D15">
        <w:t>staff writer at public school review and education researcher.</w:t>
      </w:r>
      <w:r w:rsidRPr="00AA0D15">
        <w:rPr>
          <w:b/>
        </w:rPr>
        <w:t xml:space="preserve"> </w:t>
      </w:r>
      <w:r w:rsidRPr="00AA0D15">
        <w:t>(Grace, “The Rising Popularity of STEM: A Crossroads in Public Education or a Passing Trend?”, https://www.publicschoolreview.com/blog/the-rising-popularity-of-stem-a-crossroads-in-public-education-or-a-passing-trend)//ET</w:t>
      </w:r>
    </w:p>
    <w:p w:rsidR="00C47278" w:rsidRPr="00AA0D15" w:rsidRDefault="00C47278" w:rsidP="00C47278">
      <w:pPr>
        <w:rPr>
          <w:rStyle w:val="StyleUnderline"/>
        </w:rPr>
      </w:pPr>
      <w:r w:rsidRPr="00AA0D15">
        <w:t xml:space="preserve">Defining function and focus of STEM </w:t>
      </w:r>
      <w:r w:rsidRPr="00AA0D15">
        <w:rPr>
          <w:rStyle w:val="StyleUnderline"/>
        </w:rPr>
        <w:t xml:space="preserve">One solution to the problems facing STEM education today is the development of a world standard that would provide schools at all levels the guidance and direction required to produce capable and qualified STEM students. </w:t>
      </w:r>
      <w:r w:rsidRPr="00AA0D15">
        <w:t xml:space="preserve">According to CurrTech, these students should possess the following characteristics: Problem Solvers Innovators Inventors Self-Reliant Logical Thinkers Technologically Literate CurrTech also reports that standards to produce these results actually exist already, through the National Science Education Standards, the National Council of Teachers of Mathematics Standards and the National Education Technology Standards for Students. However, </w:t>
      </w:r>
      <w:r w:rsidRPr="00AA0D15">
        <w:rPr>
          <w:rStyle w:val="StyleUnderline"/>
        </w:rPr>
        <w:t>integration and implementation of these standards will require expertise and resources</w:t>
      </w:r>
      <w:r w:rsidRPr="00AA0D15">
        <w:t>. That is where support from the federal and state governments comes into play. Government Support for STEM Education T</w:t>
      </w:r>
      <w:r w:rsidRPr="00AA0D15">
        <w:rPr>
          <w:rStyle w:val="StyleUnderline"/>
        </w:rPr>
        <w:t>he good news is that government support for STEM education has been growing s</w:t>
      </w:r>
      <w:r w:rsidRPr="00AA0D15">
        <w:t xml:space="preserve">lowly but surely, particularly with the advances made by the federal government since President Obama took office. However, </w:t>
      </w:r>
      <w:r w:rsidRPr="00AA0D15">
        <w:rPr>
          <w:rStyle w:val="StyleUnderline"/>
        </w:rPr>
        <w:t>state governments are also getting into STEM mode, as they band together to bring STEM education into schools across the country. According to a recent report at the National Governor’s Association website, the NGA recently released a guide, “Building a Science, Technology, Engineering and Math Education Agenda</w:t>
      </w:r>
      <w:r w:rsidRPr="00AA0D15">
        <w:rPr>
          <w:rStyle w:val="Emphasis"/>
        </w:rPr>
        <w:t>.” The guide offers an overview of creating STEM education that school districts nationwide can follow.</w:t>
      </w:r>
      <w:r w:rsidRPr="00AA0D15">
        <w:rPr>
          <w:rStyle w:val="StyleUnderline"/>
        </w:rPr>
        <w:t xml:space="preserve"> </w:t>
      </w:r>
      <w:r w:rsidRPr="00AA0D15">
        <w:t>“</w:t>
      </w:r>
      <w:r w:rsidRPr="00AA0D15">
        <w:rPr>
          <w:rStyle w:val="StyleUnderline"/>
        </w:rPr>
        <w:t xml:space="preserve">STEM education is a powerful foundation for individual and societal economic success,” </w:t>
      </w:r>
      <w:r w:rsidRPr="00AA0D15">
        <w:t>Bev Perdue, the governor of North Carolina, stated on the website. “</w:t>
      </w:r>
      <w:r w:rsidRPr="00AA0D15">
        <w:rPr>
          <w:rStyle w:val="StyleUnderline"/>
        </w:rPr>
        <w:t xml:space="preserve">Governors have been working hard to improve education and to ensure the United States does not lag behind.” </w:t>
      </w:r>
      <w:r w:rsidRPr="00AA0D15">
        <w:t xml:space="preserve">Toward that goal, the NGA recommends that </w:t>
      </w:r>
      <w:r w:rsidRPr="00AA0D15">
        <w:rPr>
          <w:rStyle w:val="StyleUnderline"/>
        </w:rPr>
        <w:t>states take the following actions to improve the quality of education within their schools: Adopt rigorous math and science standards and assessment tools to evaluate those standards Recruit and retain more classroom teachers qualified in STEM subjects Provide more rigorous classroom curriculum for STEM students Use informal leaning to expand math and science studies outside the classroom Enhance the quality and support of STEM teachers Establish goals for institutions of higher education to better meet STEM employment needs</w:t>
      </w:r>
    </w:p>
    <w:p w:rsidR="00C47278" w:rsidRPr="00AA0D15" w:rsidRDefault="00C47278" w:rsidP="00C47278">
      <w:pPr>
        <w:rPr>
          <w:rStyle w:val="StyleUnderline"/>
        </w:rPr>
      </w:pPr>
    </w:p>
    <w:p w:rsidR="00C47278" w:rsidRPr="00AA0D15" w:rsidRDefault="00C47278" w:rsidP="00C47278">
      <w:pPr>
        <w:pStyle w:val="Heading4"/>
        <w:rPr>
          <w:rFonts w:cs="Times New Roman"/>
        </w:rPr>
      </w:pPr>
      <w:r w:rsidRPr="00AA0D15">
        <w:rPr>
          <w:rFonts w:cs="Times New Roman"/>
        </w:rPr>
        <w:t>States are key to alter teacher qualification standards --- decreases achievement gap</w:t>
      </w:r>
    </w:p>
    <w:p w:rsidR="00C47278" w:rsidRPr="00AA0D15" w:rsidRDefault="00C47278" w:rsidP="00C47278">
      <w:r w:rsidRPr="00AA0D15">
        <w:rPr>
          <w:b/>
        </w:rPr>
        <w:t xml:space="preserve">Bertram 2015 </w:t>
      </w:r>
      <w:r w:rsidRPr="00AA0D15">
        <w:t>--- Dr. Vince Bertram is the president and CEO of Project Lead The Way, a national nonprofit organization dedicated to STEM curriculum and teacher training.  (Vince Bertram, “States taking the lead on STEM education”, http://www.foxnews.com/opinion/2015/08/12/states-taking-lead-on-stem-education.html)//ET</w:t>
      </w:r>
    </w:p>
    <w:p w:rsidR="00C47278" w:rsidRPr="00AA0D15" w:rsidRDefault="00C47278" w:rsidP="00C47278">
      <w:pPr>
        <w:rPr>
          <w:sz w:val="14"/>
        </w:rPr>
      </w:pPr>
      <w:r w:rsidRPr="00AA0D15">
        <w:rPr>
          <w:sz w:val="14"/>
        </w:rPr>
        <w:t>A</w:t>
      </w:r>
      <w:r w:rsidRPr="00AA0D15">
        <w:rPr>
          <w:rStyle w:val="StyleUnderline"/>
        </w:rPr>
        <w:t xml:space="preserve">merican students’ alarmingly bad performance on domestic and international assessments highlights the need to better educate them in the fields of science, technology, engineering and math (STEM). </w:t>
      </w:r>
      <w:r w:rsidRPr="00AA0D15">
        <w:rPr>
          <w:sz w:val="14"/>
        </w:rPr>
        <w:t xml:space="preserve">Although schools and districts across the country are making tremendous strides in providing opportunities for quality STEM education, </w:t>
      </w:r>
      <w:r w:rsidRPr="00AA0D15">
        <w:rPr>
          <w:rStyle w:val="StyleUnderline"/>
        </w:rPr>
        <w:t xml:space="preserve">outdated </w:t>
      </w:r>
      <w:r w:rsidRPr="00AA0D15">
        <w:rPr>
          <w:rStyle w:val="Emphasis"/>
        </w:rPr>
        <w:t>teacher qualification standards in many states</w:t>
      </w:r>
      <w:r w:rsidRPr="00AA0D15">
        <w:rPr>
          <w:rStyle w:val="StyleUnderline"/>
        </w:rPr>
        <w:t xml:space="preserve"> make it difficult to find teachers who are trained and experienced in these subjects. </w:t>
      </w:r>
      <w:r w:rsidRPr="00AA0D15">
        <w:rPr>
          <w:sz w:val="14"/>
        </w:rPr>
        <w:t xml:space="preserve">Right now, </w:t>
      </w:r>
      <w:r w:rsidRPr="00AA0D15">
        <w:rPr>
          <w:rStyle w:val="StyleUnderline"/>
        </w:rPr>
        <w:t>one-third of math and science teachers in our country’s public schools did not major in math and science in college</w:t>
      </w:r>
      <w:r w:rsidRPr="00AA0D15">
        <w:rPr>
          <w:sz w:val="14"/>
        </w:rPr>
        <w:t xml:space="preserve"> and/or are not certified to teach them. Yet professionals with degrees and work experience in STEM fields often cannot teach K-12 students without a lengthy and costly certification process. In fact, 24 of the 50 states have eligibility restrictions for who may teach STEM courses. </w:t>
      </w:r>
      <w:r w:rsidRPr="00AA0D15">
        <w:rPr>
          <w:rStyle w:val="Emphasis"/>
        </w:rPr>
        <w:t>Many states are starting to take the initiative t</w:t>
      </w:r>
      <w:r w:rsidRPr="00AA0D15">
        <w:rPr>
          <w:rStyle w:val="StyleUnderline"/>
        </w:rPr>
        <w:t xml:space="preserve">o make it easier to get qualified STEM teachers into the classroom. South Carolina’s Work Based Licensure Area Competency Requirements make it easier for STEM experts to teach. A bill under consideration in the Minnesota House of Representatives contains provisions that would allow district and charter schools to recruit community experts as teachers. In Virginia, lawmakers are considering a bill that would lead to the creation of industry certification exams. And in West Virginia, the State Senate has proposed a bill that would allow the superintendent to issue alternative teaching certifications in areas of “critical need.” </w:t>
      </w:r>
      <w:r w:rsidRPr="00AA0D15">
        <w:rPr>
          <w:sz w:val="14"/>
        </w:rPr>
        <w:t xml:space="preserve">The need for experienced teachers is acute. The 2013 scores from the National Assessment of Educational Progress (NAEP) – often called the Nation’s Report Card – revealed that only 26 percent of U.S. 12th graders scored at or above proficient in math. Nearly 40 percent of young people entering the workforce, college and military are unable to perform even basic mathematics. And when compared with their international peers on the 2012 Programme for International Student Assessment (PISA), administered by the Organisation for Economic Co-operation and Development, U.S. 15-year-olds placed 26th in math – behind Liechtenstein, Iceland and the Czech Republic. Our students’ performance in science is equally alarming. The most recent NAEP science assessment of 12th graders revealed a 21 percent proficiency rate and a 40 percent failure rate. On the PISA, American students came in 21st in science – below Estonia, Poland and Ireland. Given that the United States spends more than any other developed nation on K-12 students – over $600 billion a year – these results are tragic. Why does this matter? Because our failure to help students master STEM skills deprives millions of them the opportunity to secure productive, meaningful and well-paying careers. When Forbes magazine highlights the college majors that present graduates with the greatest job prospects and highest earnings, engineering and math fields dominate the list. Engineering concentrations alone make up one-third of the most valuable majors. And even for students who will not pursue an engineering or math-related career field, the skills they develop through participation in STEM programs – such as critical thinking, problem solving, communication and collaboration – are some of the most in-demand skills by employers across all sectors. Moreover, the skills gap – the disconnect between the skills demanded by employers and those which our current workforce possesses – imperils our economy and standing in the world. “Endangering Prosperity,” a 2013 report by Stanford, Harvard and University of Munich researchers, estimated that if U.S. students were simply brought up to the achievement levels of their Canadian counterparts, “The average annual income of every worker in the United States over the next 80 years would be 20 percent higher,” with a total gain of nearly $80 trillion. Of course, </w:t>
      </w:r>
      <w:r w:rsidRPr="00AA0D15">
        <w:rPr>
          <w:rStyle w:val="StyleUnderline"/>
        </w:rPr>
        <w:t xml:space="preserve">there are examples of great success across our nation and places where schools and communities are partnering to support high-quality STEM educational experiences that create great value for students. </w:t>
      </w:r>
      <w:r w:rsidRPr="00AA0D15">
        <w:rPr>
          <w:sz w:val="14"/>
        </w:rPr>
        <w:t xml:space="preserve">But </w:t>
      </w:r>
      <w:r w:rsidRPr="00AA0D15">
        <w:rPr>
          <w:rStyle w:val="StyleUnderline"/>
        </w:rPr>
        <w:t xml:space="preserve">this work could be done on a far greater scale if legislators and state leaders address </w:t>
      </w:r>
      <w:r w:rsidRPr="00AA0D15">
        <w:rPr>
          <w:rStyle w:val="Emphasis"/>
        </w:rPr>
        <w:t>restrictive policy barriers</w:t>
      </w:r>
      <w:r w:rsidRPr="00AA0D15">
        <w:rPr>
          <w:sz w:val="14"/>
        </w:rPr>
        <w:t xml:space="preserve">. </w:t>
      </w:r>
      <w:r w:rsidRPr="00AA0D15">
        <w:rPr>
          <w:rStyle w:val="StyleUnderline"/>
        </w:rPr>
        <w:t>One of these barriers exists in the form of state teacher certification requirements that often prohibit experienced STEM professionals from teaching high school or middle school courses in their areas of expertise without having to take additional, often unrelated, coursework. Thanks to leadership from South Carolina, Minnesota, Virginia and West Virginia on examining teacher qualification requirements, the trend is heading in the right direction. By updating antiquated policies, state lawmakers</w:t>
      </w:r>
      <w:r w:rsidRPr="00AA0D15">
        <w:rPr>
          <w:sz w:val="14"/>
        </w:rPr>
        <w:t xml:space="preserve"> and leaders </w:t>
      </w:r>
      <w:r w:rsidRPr="00AA0D15">
        <w:rPr>
          <w:rStyle w:val="StyleUnderline"/>
        </w:rPr>
        <w:t>can make STEM education more accessible to students,</w:t>
      </w:r>
      <w:r w:rsidRPr="00AA0D15">
        <w:rPr>
          <w:sz w:val="14"/>
        </w:rPr>
        <w:t xml:space="preserve"> and as a result, </w:t>
      </w:r>
      <w:r w:rsidRPr="00AA0D15">
        <w:rPr>
          <w:rStyle w:val="StyleUnderline"/>
        </w:rPr>
        <w:t>make significant progress in reducing the skills gap</w:t>
      </w:r>
      <w:r w:rsidRPr="00AA0D15">
        <w:rPr>
          <w:sz w:val="14"/>
        </w:rPr>
        <w:t xml:space="preserve"> and better preparing America’s students for the global economy. We cannot wait another year and sacrifice another generation of students.</w:t>
      </w:r>
    </w:p>
    <w:p w:rsidR="00C47278" w:rsidRPr="00AA0D15" w:rsidRDefault="00C47278" w:rsidP="00C47278">
      <w:pPr>
        <w:pStyle w:val="Heading4"/>
        <w:rPr>
          <w:rFonts w:cs="Times New Roman"/>
        </w:rPr>
      </w:pPr>
      <w:r w:rsidRPr="00AA0D15">
        <w:rPr>
          <w:rFonts w:cs="Times New Roman"/>
        </w:rPr>
        <w:t xml:space="preserve">States are key --- have most authority for funding and regulation of STEM </w:t>
      </w:r>
    </w:p>
    <w:p w:rsidR="00C47278" w:rsidRPr="00AA0D15" w:rsidRDefault="00C47278" w:rsidP="00C47278">
      <w:r w:rsidRPr="00AA0D15">
        <w:rPr>
          <w:b/>
        </w:rPr>
        <w:t xml:space="preserve">Machi et al. 2009 --- </w:t>
      </w:r>
      <w:r w:rsidRPr="00AA0D15">
        <w:t>independent researcher drafter report. Along with t. Jena Baker McNeill is Policy Analyst for Homeland Security in the Douglas and Sarah Allison Center for Foreign Policy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at Heritage. (Ethel Machi, “Improving U.S. Competitiveness “, http://files.eric.ed.gov/fulltext/ED505842.pdf)//ET</w:t>
      </w:r>
    </w:p>
    <w:p w:rsidR="00C47278" w:rsidRPr="00AA0D15" w:rsidRDefault="00C47278" w:rsidP="00C47278">
      <w:r w:rsidRPr="00AA0D15">
        <w:t xml:space="preserve">In order for the United States to be globally competitive, innovative, and prepared for new economic and security challenges, </w:t>
      </w:r>
      <w:r w:rsidRPr="00AA0D15">
        <w:rPr>
          <w:rStyle w:val="StyleUnderline"/>
        </w:rPr>
        <w:t xml:space="preserve">the U.S. must have a competitive and innovative educational environment that encourages entrepreneurship and excellence in STEM subjects. Doing so will require federal and state policymakers, </w:t>
      </w:r>
      <w:r w:rsidRPr="00AA0D15">
        <w:t xml:space="preserve">as well as the private sector, to </w:t>
      </w:r>
      <w:r w:rsidRPr="00AA0D15">
        <w:rPr>
          <w:rStyle w:val="StyleUnderline"/>
        </w:rPr>
        <w:t xml:space="preserve">take the following steps: </w:t>
      </w:r>
      <w:r w:rsidRPr="00AA0D15">
        <w:t xml:space="preserve">• </w:t>
      </w:r>
      <w:r w:rsidRPr="00AA0D15">
        <w:rPr>
          <w:rStyle w:val="StyleUnderline"/>
        </w:rPr>
        <w:t>Strengthen the quality of the elementary and secondary teacher workforce</w:t>
      </w:r>
      <w:r w:rsidRPr="00AA0D15">
        <w:t xml:space="preserve">, particularly in STEM subjects. Encourage industry and the national security community to get involved in the classroom through innovative partnerships with educators and schools. Schools need the financial flexibility to provide differential pay and performance bonuses for excellent teaching. • </w:t>
      </w:r>
      <w:r w:rsidRPr="00AA0D15">
        <w:rPr>
          <w:rStyle w:val="StyleUnderline"/>
        </w:rPr>
        <w:t>Reform the traditional public school system to encourage greater innovation and superior instruction. Legislation and old habits need to change so that funding can be allocated to where it has the biggest impact</w:t>
      </w:r>
      <w:r w:rsidRPr="00AA0D15">
        <w:t xml:space="preserve">. School choice, charter schools, online classes, and online learning communities hold promise for encouraging innovation and better learning opportunities for American students and should be funded. • </w:t>
      </w:r>
      <w:r w:rsidRPr="00AA0D15">
        <w:rPr>
          <w:rStyle w:val="StyleUnderline"/>
        </w:rPr>
        <w:t xml:space="preserve">Implement aggressive reforms to change the governance of the traditional public school system. Given that </w:t>
      </w:r>
      <w:r w:rsidRPr="00AA0D15">
        <w:rPr>
          <w:rStyle w:val="Emphasis"/>
        </w:rPr>
        <w:t>states have the greatest authority for funding and regulating public education</w:t>
      </w:r>
      <w:r w:rsidRPr="00AA0D15">
        <w:t xml:space="preserve">, </w:t>
      </w:r>
      <w:r w:rsidRPr="00AA0D15">
        <w:rPr>
          <w:rStyle w:val="Emphasis"/>
        </w:rPr>
        <w:t>state leaders are in the best position to implement aggressive reforms</w:t>
      </w:r>
      <w:r w:rsidRPr="00AA0D15">
        <w:t xml:space="preserve"> </w:t>
      </w:r>
      <w:r w:rsidRPr="00AA0D15">
        <w:rPr>
          <w:rStyle w:val="StyleUnderline"/>
        </w:rPr>
        <w:t>to change the governance structure of the traditional public school system.</w:t>
      </w:r>
      <w:r w:rsidRPr="00AA0D15">
        <w:t xml:space="preserve"> </w:t>
      </w:r>
      <w:r w:rsidRPr="00AA0D15">
        <w:rPr>
          <w:rStyle w:val="StyleUnderline"/>
        </w:rPr>
        <w:t xml:space="preserve">Experience has shown that </w:t>
      </w:r>
      <w:r w:rsidRPr="00AA0D15">
        <w:rPr>
          <w:rStyle w:val="Emphasis"/>
        </w:rPr>
        <w:t>aggressive state-level reforms</w:t>
      </w:r>
      <w:r w:rsidRPr="00AA0D15">
        <w:rPr>
          <w:rStyle w:val="StyleUnderline"/>
        </w:rPr>
        <w:t xml:space="preserve"> can spark improvement in students’ learning. </w:t>
      </w:r>
      <w:r w:rsidRPr="00AA0D15">
        <w:t>• Resolve the H-1B visa shortage. To ameliorate the effects of the current STEM crisis, the cap on H-1B visas should be raised from the current level of 65,000 to its pre-9/11 level of 195,000 visas a year. Eventually, the number of H-1B visas granted should be flexible and correlate to the needs of the marketplace of the time. To enhance cultural relations and to regain the U.S.’s position as a leader in STEM, visa-eligible foreign students with American degrees should be allowed to stay in the U.S. and work for the duration of their visa</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Federal solvency deficits</w:t>
      </w:r>
    </w:p>
    <w:p w:rsidR="00C47278" w:rsidRPr="00AA0D15" w:rsidRDefault="00C47278" w:rsidP="00C47278">
      <w:pPr>
        <w:pStyle w:val="Heading4"/>
        <w:rPr>
          <w:rFonts w:cs="Times New Roman"/>
        </w:rPr>
      </w:pPr>
      <w:r w:rsidRPr="00AA0D15">
        <w:rPr>
          <w:rFonts w:cs="Times New Roman"/>
        </w:rPr>
        <w:t>Federal government efforts alone fail</w:t>
      </w:r>
    </w:p>
    <w:p w:rsidR="00C47278" w:rsidRPr="00AA0D15" w:rsidRDefault="00C47278" w:rsidP="00C47278">
      <w:r w:rsidRPr="00AA0D15">
        <w:rPr>
          <w:b/>
        </w:rPr>
        <w:t xml:space="preserve">Machi et al. 2009 --- </w:t>
      </w:r>
      <w:r w:rsidRPr="00AA0D15">
        <w:t>independent researcher drafter report. Along with t. Jena Baker McNeill is Policy Analyst for Homeland Security in the Douglas and Sarah Allison Center for Foreign Policy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at Heritage. (Ethel Machi, “Improving U.S. Competitiveness “, http://files.eric.ed.gov/fulltext/ED505842.pdf)//ET</w:t>
      </w:r>
    </w:p>
    <w:p w:rsidR="00C47278" w:rsidRPr="00AA0D15" w:rsidRDefault="00C47278" w:rsidP="00C47278">
      <w:r w:rsidRPr="00AA0D15">
        <w:rPr>
          <w:rStyle w:val="StyleUnderline"/>
        </w:rPr>
        <w:t xml:space="preserve">The Federal Government Cannot Solve the STEM Crisis Alone. </w:t>
      </w:r>
      <w:r w:rsidRPr="00AA0D15">
        <w:rPr>
          <w:rStyle w:val="Emphasis"/>
        </w:rPr>
        <w:t>Decades of engagement</w:t>
      </w:r>
      <w:r w:rsidRPr="00AA0D15">
        <w:rPr>
          <w:rStyle w:val="StyleUnderline"/>
        </w:rPr>
        <w:t xml:space="preserve"> show that the federal government is incapable of adequately resolving crises in education</w:t>
      </w:r>
      <w:r w:rsidRPr="00AA0D15">
        <w:t xml:space="preserve">. </w:t>
      </w:r>
      <w:r w:rsidRPr="00AA0D15">
        <w:rPr>
          <w:rStyle w:val="StyleUnderline"/>
        </w:rPr>
        <w:t xml:space="preserve">Federal money is quickly thrown at the problem and </w:t>
      </w:r>
      <w:r w:rsidRPr="00AA0D15">
        <w:rPr>
          <w:rStyle w:val="Emphasis"/>
        </w:rPr>
        <w:t>there is often little or no accountability for how it is spent</w:t>
      </w:r>
      <w:r w:rsidRPr="00AA0D15">
        <w:rPr>
          <w:rStyle w:val="StyleUnderline"/>
        </w:rPr>
        <w:t>.</w:t>
      </w:r>
      <w:r w:rsidRPr="00AA0D15">
        <w:t xml:space="preserve"> </w:t>
      </w:r>
      <w:r w:rsidRPr="00AA0D15">
        <w:rPr>
          <w:rStyle w:val="StyleUnderline"/>
        </w:rPr>
        <w:t>New programs and spending are often more symbolic than substantive</w:t>
      </w:r>
      <w:r w:rsidRPr="00AA0D15">
        <w:t xml:space="preserve">. </w:t>
      </w:r>
      <w:r w:rsidRPr="00AA0D15">
        <w:rPr>
          <w:rStyle w:val="StyleUnderline"/>
        </w:rPr>
        <w:t>The resulting “solution</w:t>
      </w:r>
      <w:r w:rsidRPr="00AA0D15">
        <w:t xml:space="preserve">” is not something that benefits the country, but </w:t>
      </w:r>
      <w:r w:rsidRPr="00AA0D15">
        <w:rPr>
          <w:rStyle w:val="StyleUnderline"/>
        </w:rPr>
        <w:t>fits the desires of the most effective lobbyists. America needs a real solution to today’s STEM crisis. There are no shortcuts to solving the problem</w:t>
      </w:r>
      <w:r w:rsidRPr="00AA0D15">
        <w:t xml:space="preserve">. Solving the STEM-education crisis will require making significant changes in the elementary and secondary education system to improve learning opportunities for all children from kindergarten through high school in order to prepare more students to succeed in STEM coursework. </w:t>
      </w:r>
    </w:p>
    <w:p w:rsidR="00C47278" w:rsidRPr="00AA0D15" w:rsidRDefault="00C47278" w:rsidP="00C47278">
      <w:pPr>
        <w:pStyle w:val="Heading4"/>
        <w:rPr>
          <w:rFonts w:cs="Times New Roman"/>
        </w:rPr>
      </w:pPr>
      <w:r w:rsidRPr="00AA0D15">
        <w:rPr>
          <w:rFonts w:cs="Times New Roman"/>
        </w:rPr>
        <w:t>The fed’s not uniform --- conflicting definitions of STEM deck aff solvency</w:t>
      </w:r>
    </w:p>
    <w:p w:rsidR="00C47278" w:rsidRPr="00AA0D15" w:rsidRDefault="00C47278" w:rsidP="00C47278">
      <w:r w:rsidRPr="00AA0D15">
        <w:rPr>
          <w:b/>
        </w:rPr>
        <w:t xml:space="preserve">Carmichael 17 --- </w:t>
      </w:r>
      <w:r w:rsidRPr="00AA0D15">
        <w:t>PhD equivalent, EdD Education Leadership, Management and Policy from Seton University. (Courtney, “A State-by-State Policy Analysis of STEM Education for K-12 Public Schools”, http://scholarship.shu.edu/dissertations/2297/)//ET</w:t>
      </w:r>
    </w:p>
    <w:p w:rsidR="00C47278" w:rsidRPr="00AA0D15" w:rsidRDefault="00C47278" w:rsidP="00C47278">
      <w:r w:rsidRPr="00AA0D15">
        <w:rPr>
          <w:rStyle w:val="Emphasis"/>
        </w:rPr>
        <w:t>Educators and policy makers should understand what the goal of the STEM education should be for the students.</w:t>
      </w:r>
      <w:r w:rsidRPr="00AA0D15">
        <w:t xml:space="preserve"> </w:t>
      </w:r>
      <w:r w:rsidRPr="00AA0D15">
        <w:rPr>
          <w:rStyle w:val="StyleUnderline"/>
        </w:rPr>
        <w:t xml:space="preserve">Yet as an economic consideration, STEM field(s) can be difficult to define. </w:t>
      </w:r>
      <w:r w:rsidRPr="00AA0D15">
        <w:rPr>
          <w:rStyle w:val="Emphasis"/>
        </w:rPr>
        <w:t xml:space="preserve">Federal agencies have differing definitions to what constitutes the STEM workforce. </w:t>
      </w:r>
      <w:r w:rsidRPr="00AA0D15">
        <w:t xml:space="preserve">The Bureau of Labor Statistics and the </w:t>
      </w:r>
      <w:r w:rsidRPr="00AA0D15">
        <w:rPr>
          <w:rStyle w:val="StyleUnderline"/>
        </w:rPr>
        <w:t>Department of Labor</w:t>
      </w:r>
      <w:r w:rsidRPr="00AA0D15">
        <w:t xml:space="preserve"> use criteria similar but different enough to </w:t>
      </w:r>
      <w:r w:rsidRPr="00AA0D15">
        <w:rPr>
          <w:rStyle w:val="StyleUnderline"/>
        </w:rPr>
        <w:t>vary the STEM classifications</w:t>
      </w:r>
      <w:r w:rsidRPr="00AA0D15">
        <w:t xml:space="preserve">. Depending on the definition, the economic impact varies in both amount of people and companies involved in STEM as well output. </w:t>
      </w:r>
      <w:r w:rsidRPr="00AA0D15">
        <w:rPr>
          <w:rStyle w:val="Emphasis"/>
        </w:rPr>
        <w:t xml:space="preserve">The lack of coherent definition is an admitted problem </w:t>
      </w:r>
      <w:r w:rsidRPr="00AA0D15">
        <w:t>as the Standard Occupation Classification Policy Committee (SOCPC) has been looking into defining STEM occupations for the Bureau of Labor Statistics’ (BLS) release of SOC for 2018. Depending on the classification type, job estimates range from 5.9 million to 26 million with average salaries ranging from $50,000 to $96,000 (Oleson, Hora, &amp; Benbow, 2014)</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Federal government STEM efforts are disjointed and fail</w:t>
      </w:r>
    </w:p>
    <w:p w:rsidR="00C47278" w:rsidRPr="00AA0D15" w:rsidRDefault="00C47278" w:rsidP="00C47278">
      <w:r w:rsidRPr="00AA0D15">
        <w:rPr>
          <w:b/>
        </w:rPr>
        <w:t xml:space="preserve">NSTC 13 --- </w:t>
      </w:r>
      <w:r w:rsidRPr="00AA0D15">
        <w:t>National Science and Technology Council, in the Executive Office of the President. (“FEDERAL SCIENCE, TECHNOLOGY, ENGINEER ING, A ND M ATHEM AT ICS (STEM) EDUCATION 5-YEAR STR ATEGIC PLAN”, https://www.whitehouse.gov/sites/whitehouse.gov/files/ostp/Federal_STEM_Strategic_Plan.pdf)//ET</w:t>
      </w:r>
    </w:p>
    <w:p w:rsidR="00C47278" w:rsidRPr="00AA0D15" w:rsidRDefault="00C47278" w:rsidP="00C47278">
      <w:r w:rsidRPr="00AA0D15">
        <w:t xml:space="preserve">This </w:t>
      </w:r>
      <w:r w:rsidRPr="00AA0D15">
        <w:rPr>
          <w:rStyle w:val="StyleUnderline"/>
        </w:rPr>
        <w:t>diversity of missions and approaches has over time led to an uncoordinated Federal investment in STEM education and STEM programs have proliferated to the point</w:t>
      </w:r>
      <w:r w:rsidRPr="00AA0D15">
        <w:t xml:space="preserve"> where in FY 2012, </w:t>
      </w:r>
      <w:r w:rsidRPr="00AA0D15">
        <w:rPr>
          <w:rStyle w:val="StyleUnderline"/>
        </w:rPr>
        <w:t>there were 226 programs across 13 different agencies</w:t>
      </w:r>
      <w:r w:rsidRPr="00AA0D15">
        <w:t xml:space="preserve"> described in Appendix A</w:t>
      </w:r>
      <w:r w:rsidRPr="00AA0D15">
        <w:rPr>
          <w:rStyle w:val="StyleUnderline"/>
        </w:rPr>
        <w:t xml:space="preserve">. This distributed approach to making critical investments in STEM education has made it </w:t>
      </w:r>
      <w:r w:rsidRPr="00AA0D15">
        <w:rPr>
          <w:rStyle w:val="Emphasis"/>
        </w:rPr>
        <w:t>difficult to ensure that Federal efforts are coherent</w:t>
      </w:r>
      <w:r w:rsidRPr="00AA0D15">
        <w:rPr>
          <w:rStyle w:val="StyleUnderline"/>
        </w:rPr>
        <w:t>, strategic, and leveraged for greatest impact</w:t>
      </w:r>
      <w:r w:rsidRPr="00AA0D15">
        <w:t xml:space="preserve">. At the same time, the activities supported by the agencies have important functions and with coordination the combined efforts can unquestionably be greater. </w:t>
      </w:r>
    </w:p>
    <w:p w:rsidR="00C47278" w:rsidRPr="00AA0D15" w:rsidRDefault="00C47278" w:rsidP="00C47278">
      <w:pPr>
        <w:pStyle w:val="Heading4"/>
        <w:rPr>
          <w:rFonts w:cs="Times New Roman"/>
        </w:rPr>
      </w:pPr>
      <w:r w:rsidRPr="00AA0D15">
        <w:rPr>
          <w:rFonts w:cs="Times New Roman"/>
        </w:rPr>
        <w:t>Empirically, federal support backfires</w:t>
      </w:r>
    </w:p>
    <w:p w:rsidR="00C47278" w:rsidRPr="00AA0D15" w:rsidRDefault="00C47278" w:rsidP="00C47278">
      <w:r w:rsidRPr="00AA0D15">
        <w:rPr>
          <w:b/>
        </w:rPr>
        <w:t>EWC 12</w:t>
      </w:r>
      <w:r w:rsidRPr="00AA0D15">
        <w:t xml:space="preserve"> – EWC is the Education and Workforce Committee ("New Report Finds Significant Overlap in Federal STEM Education Programs," 1-24-2012, Education &amp; The Workforce, https://edworkforce.house.gov/news/documentsingle.aspx?DocumentID=276133)//tbrooks</w:t>
      </w:r>
    </w:p>
    <w:p w:rsidR="00C47278" w:rsidRPr="00CB4C8B" w:rsidRDefault="00C47278" w:rsidP="00C47278">
      <w:r w:rsidRPr="00CB4C8B">
        <w:t xml:space="preserve">Today, </w:t>
      </w:r>
      <w:r w:rsidRPr="00CB4C8B">
        <w:rPr>
          <w:sz w:val="22"/>
          <w:u w:val="single"/>
        </w:rPr>
        <w:t xml:space="preserve">the Government Accountability Office (GAO) </w:t>
      </w:r>
      <w:hyperlink r:id="rId107" w:history="1">
        <w:r w:rsidRPr="00CB4C8B">
          <w:rPr>
            <w:rStyle w:val="Hyperlink"/>
            <w:sz w:val="22"/>
            <w:u w:val="single"/>
          </w:rPr>
          <w:t xml:space="preserve">released a report </w:t>
        </w:r>
      </w:hyperlink>
      <w:r w:rsidRPr="00CB4C8B">
        <w:rPr>
          <w:sz w:val="22"/>
          <w:u w:val="single"/>
        </w:rPr>
        <w:t>on the scope and efficacy of</w:t>
      </w:r>
      <w:r w:rsidRPr="00CB4C8B">
        <w:t xml:space="preserve"> science, technology, engineering, and mathematics (</w:t>
      </w:r>
      <w:r w:rsidRPr="00CB4C8B">
        <w:rPr>
          <w:sz w:val="22"/>
          <w:u w:val="single"/>
        </w:rPr>
        <w:t>STEM) education programs.</w:t>
      </w:r>
      <w:r w:rsidRPr="00CB4C8B">
        <w:t xml:space="preserve"> </w:t>
      </w:r>
      <w:r w:rsidRPr="00CB4C8B">
        <w:rPr>
          <w:sz w:val="22"/>
          <w:u w:val="single"/>
        </w:rPr>
        <w:t xml:space="preserve">The report, </w:t>
      </w:r>
      <w:hyperlink r:id="rId108" w:history="1">
        <w:r w:rsidRPr="00CB4C8B">
          <w:rPr>
            <w:rStyle w:val="Hyperlink"/>
            <w:sz w:val="22"/>
            <w:u w:val="single"/>
          </w:rPr>
          <w:t xml:space="preserve">requested </w:t>
        </w:r>
        <w:r w:rsidRPr="00CB4C8B">
          <w:rPr>
            <w:rStyle w:val="Hyperlink"/>
          </w:rPr>
          <w:t xml:space="preserve">last January </w:t>
        </w:r>
      </w:hyperlink>
      <w:r w:rsidRPr="00CB4C8B">
        <w:rPr>
          <w:sz w:val="22"/>
          <w:u w:val="single"/>
        </w:rPr>
        <w:t>by</w:t>
      </w:r>
      <w:r w:rsidRPr="00CB4C8B">
        <w:t xml:space="preserve"> House Education and the Workforce Committee Chairman John Kline (R-MN) and </w:t>
      </w:r>
      <w:r w:rsidRPr="00CB4C8B">
        <w:rPr>
          <w:sz w:val="22"/>
          <w:u w:val="single"/>
        </w:rPr>
        <w:t>Subcommittee on Early Childhood, Elementary, and Secondary Education Chairman Duncan Hunter</w:t>
      </w:r>
      <w:r w:rsidRPr="00CB4C8B">
        <w:t xml:space="preserve"> (R-CA), </w:t>
      </w:r>
      <w:r w:rsidRPr="00CB4C8B">
        <w:rPr>
          <w:sz w:val="22"/>
          <w:u w:val="single"/>
        </w:rPr>
        <w:t>reveals more than 200 separate STEM programs operated across a bakers’ dozen of federal agencies.</w:t>
      </w:r>
      <w:r w:rsidRPr="00CB4C8B">
        <w:t xml:space="preserve"> “In recent years, </w:t>
      </w:r>
      <w:r w:rsidRPr="00CB4C8B">
        <w:rPr>
          <w:sz w:val="22"/>
          <w:u w:val="single"/>
        </w:rPr>
        <w:t>the federal government has dedicated significant resources to developing STEM programs, yet taxpayers have seen little evidence that these programs are</w:t>
      </w:r>
      <w:r w:rsidRPr="00CB4C8B">
        <w:t xml:space="preserve"> actually </w:t>
      </w:r>
      <w:r w:rsidRPr="00CB4C8B">
        <w:rPr>
          <w:sz w:val="22"/>
          <w:u w:val="single"/>
        </w:rPr>
        <w:t>working</w:t>
      </w:r>
      <w:r w:rsidRPr="00CB4C8B">
        <w:t xml:space="preserve">. According to the GAO, </w:t>
      </w:r>
      <w:r w:rsidRPr="00CB4C8B">
        <w:rPr>
          <w:sz w:val="22"/>
          <w:u w:val="single"/>
        </w:rPr>
        <w:t>only</w:t>
      </w:r>
      <w:r w:rsidRPr="00CB4C8B">
        <w:t xml:space="preserve"> about </w:t>
      </w:r>
      <w:r w:rsidRPr="00CB4C8B">
        <w:rPr>
          <w:sz w:val="22"/>
          <w:u w:val="single"/>
        </w:rPr>
        <w:t>a quarter of the 209 federal STEM programs have been evaluated for efficacy since 2005, and</w:t>
      </w:r>
      <w:r w:rsidRPr="00CB4C8B">
        <w:t xml:space="preserve"> nearly </w:t>
      </w:r>
      <w:r w:rsidRPr="00CB4C8B">
        <w:rPr>
          <w:sz w:val="22"/>
          <w:u w:val="single"/>
        </w:rPr>
        <w:t>90 percent overlap with at least one other program</w:t>
      </w:r>
      <w:r w:rsidRPr="00CB4C8B">
        <w:t xml:space="preserve">” said Chairman Kline. “Investing in science, technology, engineering, and mathematics is a worthwhile endeavor – but </w:t>
      </w:r>
      <w:r w:rsidRPr="00CB4C8B">
        <w:rPr>
          <w:sz w:val="22"/>
          <w:u w:val="single"/>
        </w:rPr>
        <w:t>pumping billions of dollars into programs that may be duplicative</w:t>
      </w:r>
      <w:r w:rsidRPr="00CB4C8B">
        <w:t xml:space="preserve"> or unproductive </w:t>
      </w:r>
      <w:r w:rsidRPr="00CB4C8B">
        <w:rPr>
          <w:sz w:val="22"/>
          <w:u w:val="single"/>
        </w:rPr>
        <w:t>is</w:t>
      </w:r>
      <w:r w:rsidRPr="00CB4C8B">
        <w:t xml:space="preserve"> just plain </w:t>
      </w:r>
      <w:r w:rsidRPr="00CB4C8B">
        <w:rPr>
          <w:sz w:val="22"/>
          <w:u w:val="single"/>
        </w:rPr>
        <w:t>foolish</w:t>
      </w:r>
      <w:r w:rsidRPr="00CB4C8B">
        <w:t xml:space="preserve">. Instead of adding programs paid for with taxpayers’ hard-earned money, we need to promote more efficient government by weeding out waste and investing wisely.” Rep. Hunter said, “In order to keep our nation competitive, we need to make sure workers have skills and training to enter high-demand fields like science and engineering. However, </w:t>
      </w:r>
      <w:r w:rsidRPr="00CB4C8B">
        <w:rPr>
          <w:sz w:val="22"/>
          <w:u w:val="single"/>
        </w:rPr>
        <w:t>federal STEM programs cost taxpayers</w:t>
      </w:r>
      <w:r w:rsidRPr="00CB4C8B">
        <w:t xml:space="preserve"> approximately </w:t>
      </w:r>
      <w:r w:rsidRPr="00CB4C8B">
        <w:rPr>
          <w:sz w:val="22"/>
          <w:u w:val="single"/>
        </w:rPr>
        <w:t>$3 billion each year, and today’s GAO report raises serious questions about whether this money is being put to good use.</w:t>
      </w:r>
      <w:r w:rsidRPr="00CB4C8B">
        <w:t xml:space="preserve"> At a time when the United States continues to struggle with record debt and high unemployment, we must take a closer look at STEM program effectiveness to ensure our investment is helping our workforce thrive.” Highlights from the report include: </w:t>
      </w:r>
      <w:r w:rsidRPr="00CB4C8B">
        <w:rPr>
          <w:sz w:val="22"/>
          <w:u w:val="single"/>
        </w:rPr>
        <w:t>In</w:t>
      </w:r>
      <w:r w:rsidRPr="00CB4C8B">
        <w:t xml:space="preserve"> fiscal year </w:t>
      </w:r>
      <w:r w:rsidRPr="00CB4C8B">
        <w:rPr>
          <w:sz w:val="22"/>
          <w:u w:val="single"/>
        </w:rPr>
        <w:t>2010, 13 federal agencies invested over $3 billion in 209 programs designed to increase knowledge of STEM fields and attainment of STEM degrees.</w:t>
      </w:r>
      <w:r w:rsidRPr="00CB4C8B">
        <w:t xml:space="preserve"> The number of programs within agencies ranged from 3 to 46, with the Departments of Health and Human Services and Energy and the National Science Foundation administering more than half of these programs. </w:t>
      </w:r>
      <w:r w:rsidRPr="00CB4C8B">
        <w:rPr>
          <w:sz w:val="22"/>
          <w:u w:val="single"/>
        </w:rPr>
        <w:t>Almost a third of the programs had obligations of $1 million or less, while some had obligations of over $100 million. Eighty-three percent of the programs GAO identified overlapped</w:t>
      </w:r>
      <w:r w:rsidRPr="00CB4C8B">
        <w:t xml:space="preserve"> to some degree </w:t>
      </w:r>
      <w:r w:rsidRPr="00CB4C8B">
        <w:rPr>
          <w:sz w:val="22"/>
          <w:u w:val="single"/>
        </w:rPr>
        <w:t>with at least 1 other program in that they offered similar services to similar target groups in similar STEM fields to achieve similar objectives. Agencies’ limited use of performance measures and evaluations may hamper their ability to assess the effectiveness of their individual programs as well as the overall STEM education effort</w:t>
      </w:r>
      <w:r w:rsidRPr="00CB4C8B">
        <w:t xml:space="preserve">. Specifically, program officials varied in their ability to provide reliable output measures—for example, the number of students, teachers, or institutions directly served by their program. </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AT theory [50 state advocate]</w:t>
      </w:r>
    </w:p>
    <w:p w:rsidR="00C47278" w:rsidRPr="00AA0D15" w:rsidRDefault="00C47278" w:rsidP="00C47278">
      <w:r w:rsidRPr="00AA0D15">
        <w:rPr>
          <w:b/>
          <w:bCs/>
        </w:rPr>
        <w:t>*potentially helpful answering theory</w:t>
      </w:r>
      <w:r w:rsidRPr="00AA0D15">
        <w:t>*</w:t>
      </w:r>
    </w:p>
    <w:p w:rsidR="00C47278" w:rsidRPr="00AA0D15" w:rsidRDefault="00C47278" w:rsidP="00C47278">
      <w:pPr>
        <w:pStyle w:val="Heading4"/>
        <w:rPr>
          <w:rFonts w:cs="Times New Roman"/>
        </w:rPr>
      </w:pPr>
      <w:r w:rsidRPr="00AA0D15">
        <w:rPr>
          <w:rFonts w:cs="Times New Roman"/>
        </w:rPr>
        <w:t>All 50 States should adopt new STEM standards --- empirically more feasible and flexible</w:t>
      </w:r>
    </w:p>
    <w:p w:rsidR="00C47278" w:rsidRPr="00AA0D15" w:rsidRDefault="00C47278" w:rsidP="00C47278">
      <w:r w:rsidRPr="002439A5">
        <w:rPr>
          <w:rStyle w:val="Style13ptBold"/>
        </w:rPr>
        <w:t>Scientific American 12</w:t>
      </w:r>
      <w:r w:rsidRPr="00AA0D15">
        <w:rPr>
          <w:b/>
        </w:rPr>
        <w:t xml:space="preserve"> </w:t>
      </w:r>
      <w:r w:rsidRPr="00AA0D15">
        <w:t xml:space="preserve">--- science magazine. (August, “U.S. Should Adopt Higher Standards for Science Education: </w:t>
      </w:r>
      <w:r w:rsidRPr="00AA0D15">
        <w:rPr>
          <w:b/>
          <w:u w:val="single"/>
        </w:rPr>
        <w:t>Teachers, scientists and policymakers have drafted ambitious new education standards. All 50 states should adopt them</w:t>
      </w:r>
      <w:r w:rsidRPr="00AA0D15">
        <w:rPr>
          <w:u w:val="single"/>
        </w:rPr>
        <w:t xml:space="preserve">”, </w:t>
      </w:r>
      <w:r w:rsidRPr="00AA0D15">
        <w:t>https://www.scientificamerican.com/article/us-should-adopt-higher-science-education-standards/)//ET</w:t>
      </w:r>
    </w:p>
    <w:p w:rsidR="00C47278" w:rsidRPr="002439A5" w:rsidRDefault="00C47278" w:rsidP="00C47278">
      <w:pPr>
        <w:rPr>
          <w:sz w:val="22"/>
          <w:u w:val="single"/>
        </w:rPr>
      </w:pPr>
      <w:r w:rsidRPr="002439A5">
        <w:t xml:space="preserve">Americans have grown accustomed to bad news about student performance in math and science. On a 2009 study administered by the Organization for Economic Co-operation and Development, 15-year-olds in the U.S. placed 23rd in science and 31st in math out of 65 countries. On last year's Nation's Report Card assessments, only one third of eighth graders qualified as proficient in math or science. Those general statistics tell only a piece of the story, however. </w:t>
      </w:r>
      <w:r w:rsidRPr="002439A5">
        <w:rPr>
          <w:sz w:val="22"/>
          <w:u w:val="single"/>
        </w:rPr>
        <w:t>There are pockets of excellence across the U.S. where student achievement is world-beating.</w:t>
      </w:r>
      <w:r w:rsidRPr="002439A5">
        <w:t xml:space="preserve"> </w:t>
      </w:r>
      <w:r w:rsidRPr="002439A5">
        <w:rPr>
          <w:sz w:val="22"/>
          <w:u w:val="single"/>
        </w:rPr>
        <w:t>Massachusetts eighth graders outscored their peers from every global region included</w:t>
      </w:r>
      <w:r w:rsidRPr="002439A5">
        <w:t xml:space="preserve">, except Singapore and Taiwan, on an international science assessment in 2007. </w:t>
      </w:r>
      <w:r w:rsidRPr="002439A5">
        <w:rPr>
          <w:sz w:val="22"/>
          <w:u w:val="single"/>
        </w:rPr>
        <w:t xml:space="preserve">Eighth graders from Minnesota, the only other U.S. state tested, did almost as well. </w:t>
      </w:r>
      <w:r w:rsidRPr="002439A5">
        <w:t xml:space="preserve">What do Massachusetts and Minnesota have in common? </w:t>
      </w:r>
      <w:r w:rsidRPr="002439A5">
        <w:rPr>
          <w:sz w:val="22"/>
          <w:u w:val="single"/>
        </w:rPr>
        <w:t xml:space="preserve">They each have </w:t>
      </w:r>
      <w:r w:rsidRPr="002439A5">
        <w:rPr>
          <w:b/>
          <w:sz w:val="22"/>
          <w:u w:val="single"/>
        </w:rPr>
        <w:t>science standards that set a high bar</w:t>
      </w:r>
      <w:r w:rsidRPr="002439A5">
        <w:rPr>
          <w:sz w:val="22"/>
          <w:u w:val="single"/>
        </w:rPr>
        <w:t xml:space="preserve"> for what students are expected to learn at each grade level. Such standards form the scaffolding on which educators write curricula and teachers plan lessons, and many </w:t>
      </w:r>
      <w:r w:rsidRPr="002439A5">
        <w:rPr>
          <w:b/>
          <w:sz w:val="22"/>
          <w:u w:val="single"/>
        </w:rPr>
        <w:t>experts</w:t>
      </w:r>
      <w:r w:rsidRPr="002439A5">
        <w:rPr>
          <w:sz w:val="22"/>
          <w:u w:val="single"/>
        </w:rPr>
        <w:t xml:space="preserve"> believe them to be closely linked with student achievement. </w:t>
      </w:r>
      <w:r w:rsidRPr="002439A5">
        <w:t xml:space="preserve">Unfortunately, the quality of most state science standards is “mediocre to awful,” in the words of one recent report from the Thomas B. Fordham Institute, an education think tank in Washington, D.C. Several states present evolution as unsettled science—“according to many scientists, biological evolution occurs through natural selection,” say New York State's standards. Wishy-washiness is also creeping into the way schools teach climate change, as some parents pressure teachers to “balance” the conclusions of the majority of scientists against the claims of a tiny but vocal clan of skeptics. We can't have a scientifically literate populace if schools are going to tap-dance around such fundamentals. Now a </w:t>
      </w:r>
      <w:r w:rsidRPr="002439A5">
        <w:rPr>
          <w:sz w:val="22"/>
          <w:u w:val="single"/>
        </w:rPr>
        <w:t>group of 26 states has collaborated with several organizations on ambitious new standards</w:t>
      </w:r>
      <w:r w:rsidRPr="002439A5">
        <w:t xml:space="preserve">, known as the Next Generation Science Standards, that </w:t>
      </w:r>
      <w:r w:rsidRPr="002439A5">
        <w:rPr>
          <w:b/>
          <w:sz w:val="22"/>
          <w:u w:val="single"/>
        </w:rPr>
        <w:t>all 50 states</w:t>
      </w:r>
      <w:r w:rsidRPr="002439A5">
        <w:t xml:space="preserve">, plus the District of Columbia, </w:t>
      </w:r>
      <w:r w:rsidRPr="002439A5">
        <w:rPr>
          <w:sz w:val="22"/>
          <w:u w:val="single"/>
        </w:rPr>
        <w:t>will be able to adopt starting early next year</w:t>
      </w:r>
      <w:r w:rsidRPr="002439A5">
        <w:t xml:space="preserve">. The first draft, released in May, explicitly included evolution and climate change. A second draft will be available for comment this fall. The standards are based on recommendations from the National Research Council and were funded in part by the Carnegie Corporation of New York. In addition to tackling shortcomings such as those mentioned above, they put new emphasis on engineering, which is crucial to our country's economic competitiveness, and stress the process of science as much as the content. </w:t>
      </w:r>
      <w:r w:rsidRPr="002439A5">
        <w:rPr>
          <w:sz w:val="22"/>
          <w:u w:val="single"/>
        </w:rPr>
        <w:t xml:space="preserve">Any system of education standards has potential downsides. Mandate too much, and kids will grow bored or overwhelmed and teachers will lose autonomy. </w:t>
      </w:r>
      <w:r w:rsidRPr="002439A5">
        <w:rPr>
          <w:b/>
          <w:sz w:val="22"/>
          <w:u w:val="single"/>
        </w:rPr>
        <w:t xml:space="preserve">But these new standards have already won over important potential critics. </w:t>
      </w:r>
      <w:r w:rsidRPr="002439A5">
        <w:t xml:space="preserve">Carolyn Wallace, a science education researcher at Indiana State University and a former high school science teacher who believes </w:t>
      </w:r>
      <w:r w:rsidRPr="002439A5">
        <w:rPr>
          <w:b/>
          <w:sz w:val="22"/>
          <w:u w:val="single"/>
        </w:rPr>
        <w:t>many standards systems are too “authoritarian</w:t>
      </w:r>
      <w:r w:rsidRPr="002439A5">
        <w:t xml:space="preserve">,” says the </w:t>
      </w:r>
      <w:r w:rsidRPr="002439A5">
        <w:rPr>
          <w:sz w:val="22"/>
          <w:u w:val="single"/>
        </w:rPr>
        <w:t xml:space="preserve">Next Generation standards leave room for teachers to be more </w:t>
      </w:r>
      <w:r w:rsidRPr="002439A5">
        <w:rPr>
          <w:b/>
          <w:sz w:val="22"/>
          <w:u w:val="single"/>
        </w:rPr>
        <w:t>creative</w:t>
      </w:r>
      <w:r w:rsidRPr="002439A5">
        <w:t xml:space="preserve"> in how they present material to kids. She does worry that the standards impose more than can reasonably be taught in one school year. Hers is a serious concern that the standards developers should address. </w:t>
      </w:r>
      <w:r w:rsidRPr="002439A5">
        <w:rPr>
          <w:sz w:val="22"/>
          <w:u w:val="single"/>
        </w:rPr>
        <w:t>There is little doubt that these standards will require more classroom time to be devoted to science</w:t>
      </w:r>
      <w:r w:rsidRPr="002439A5">
        <w:t xml:space="preserve">—and that is good. Harold Pratt, a former president of the National Science Teachers Association, says that in elementary school, </w:t>
      </w:r>
      <w:r w:rsidRPr="002439A5">
        <w:rPr>
          <w:sz w:val="22"/>
          <w:u w:val="single"/>
        </w:rPr>
        <w:t>science has often been squeezed out entirely by the reading and math requirements of the No Child Left Behind law.</w:t>
      </w:r>
      <w:r w:rsidRPr="002439A5">
        <w:t xml:space="preserve"> Many states currently require only two years of science, and California governor Jerry Brown recently proposed cutting that to just one. Accommodating the Next Generation standards would probably require three. Although these science standards are too new for politicians to have weighed in on them, the general movement toward common standards has bipartisan support. In a contentious election year, the idea that our kids deserve a world-class science education should be one issue we can all agree on.</w:t>
      </w:r>
    </w:p>
    <w:p w:rsidR="00C47278" w:rsidRPr="00AA0D15" w:rsidRDefault="00C47278" w:rsidP="00C47278">
      <w:pPr>
        <w:pStyle w:val="Heading3"/>
        <w:rPr>
          <w:rFonts w:cs="Times New Roman"/>
        </w:rPr>
      </w:pPr>
      <w:r w:rsidRPr="00AA0D15">
        <w:rPr>
          <w:rFonts w:cs="Times New Roman"/>
        </w:rPr>
        <w:t>AT Trump deficit</w:t>
      </w:r>
    </w:p>
    <w:p w:rsidR="00C47278" w:rsidRPr="00AA0D15" w:rsidRDefault="00C47278" w:rsidP="00C47278">
      <w:pPr>
        <w:pStyle w:val="Heading4"/>
        <w:rPr>
          <w:rFonts w:cs="Times New Roman"/>
        </w:rPr>
      </w:pPr>
      <w:r w:rsidRPr="00AA0D15">
        <w:rPr>
          <w:rFonts w:cs="Times New Roman"/>
        </w:rPr>
        <w:t>Despite uncertainty, Trump policies may support STEM and lacks prez powers to be devastating</w:t>
      </w:r>
    </w:p>
    <w:p w:rsidR="00C47278" w:rsidRPr="00AA0D15" w:rsidRDefault="00C47278" w:rsidP="00C47278">
      <w:r w:rsidRPr="002439A5">
        <w:rPr>
          <w:rStyle w:val="Style13ptBold"/>
        </w:rPr>
        <w:t>Their author Powell 16</w:t>
      </w:r>
      <w:r w:rsidRPr="00AA0D15">
        <w:rPr>
          <w:b/>
        </w:rPr>
        <w:t xml:space="preserve"> --- </w:t>
      </w:r>
      <w:r w:rsidRPr="00AA0D15">
        <w:t>Devin Powell is a freelance science journalist. His work has been published by the New York Times, the Washington Post, Nature, National Geographic</w:t>
      </w:r>
      <w:r w:rsidR="002439A5">
        <w:rPr>
          <w:b/>
        </w:rPr>
        <w:t xml:space="preserve"> </w:t>
      </w:r>
      <w:r w:rsidRPr="00AA0D15">
        <w:t xml:space="preserve">(12/5/16, “Trump's First 100 Days: Science Education and Schools”, </w:t>
      </w:r>
      <w:hyperlink r:id="rId109" w:history="1">
        <w:r w:rsidRPr="00AA0D15">
          <w:rPr>
            <w:rStyle w:val="Hyperlink"/>
          </w:rPr>
          <w:t>https://www.scientificamerican.com/article/trumps-first-100-days-science-education-and-schools/)//ET</w:t>
        </w:r>
      </w:hyperlink>
    </w:p>
    <w:p w:rsidR="00C47278" w:rsidRPr="00AA0D15" w:rsidRDefault="00C47278" w:rsidP="00C47278">
      <w:pPr>
        <w:rPr>
          <w:rStyle w:val="Emphasis"/>
        </w:rPr>
      </w:pPr>
      <w:r w:rsidRPr="00AA0D15">
        <w:t xml:space="preserve">But </w:t>
      </w:r>
      <w:r w:rsidRPr="00AA0D15">
        <w:rPr>
          <w:rStyle w:val="StyleUnderline"/>
        </w:rPr>
        <w:t>there are limits to presidential power. Trump said in</w:t>
      </w:r>
      <w:r w:rsidRPr="00AA0D15">
        <w:t xml:space="preserve"> an </w:t>
      </w:r>
      <w:r w:rsidRPr="00AA0D15">
        <w:rPr>
          <w:rStyle w:val="StyleUnderline"/>
        </w:rPr>
        <w:t>interview</w:t>
      </w:r>
      <w:r w:rsidRPr="00AA0D15">
        <w:t xml:space="preserve"> in 2015 that </w:t>
      </w:r>
      <w:r w:rsidRPr="00AA0D15">
        <w:rPr>
          <w:rStyle w:val="StyleUnderline"/>
        </w:rPr>
        <w:t>he might “cut” the U.S. Department of Education</w:t>
      </w:r>
      <w:r w:rsidRPr="00AA0D15">
        <w:t xml:space="preserve">. </w:t>
      </w:r>
      <w:r w:rsidRPr="00AA0D15">
        <w:rPr>
          <w:rStyle w:val="Emphasis"/>
        </w:rPr>
        <w:t>Such a move would require Congress</w:t>
      </w:r>
      <w:r w:rsidRPr="00AA0D15">
        <w:t xml:space="preserve">, and that body has consistently increased funding to the department since Pres. Jimmy Carter elevated it to cabinet-level status in 1979. </w:t>
      </w:r>
      <w:r w:rsidRPr="00AA0D15">
        <w:rPr>
          <w:rStyle w:val="StyleUnderline"/>
        </w:rPr>
        <w:t xml:space="preserve">The </w:t>
      </w:r>
      <w:r w:rsidRPr="00AA0D15">
        <w:rPr>
          <w:rStyle w:val="Emphasis"/>
        </w:rPr>
        <w:t>new administration will also have no official say over what is taught in the classroom.</w:t>
      </w:r>
      <w:r w:rsidRPr="00AA0D15">
        <w:rPr>
          <w:rStyle w:val="StyleUnderline"/>
        </w:rPr>
        <w:t xml:space="preserve"> </w:t>
      </w:r>
      <w:r w:rsidRPr="00AA0D15">
        <w:t xml:space="preserve">Consider Trump’s oft-repeated pledge to “end” the Common Core, a set of standards for math and English developed by state leaders (not by the federal government, as is often believed). </w:t>
      </w:r>
      <w:r w:rsidRPr="00AA0D15">
        <w:rPr>
          <w:rStyle w:val="StyleUnderline"/>
        </w:rPr>
        <w:t>The U.S. Constitution does not grant the president—nor Congress—the ability to set education standards</w:t>
      </w:r>
      <w:r w:rsidRPr="00AA0D15">
        <w:rPr>
          <w:rStyle w:val="Emphasis"/>
        </w:rPr>
        <w:t>. Each state makes its own decision. Recent legislation</w:t>
      </w:r>
      <w:r w:rsidRPr="00AA0D15">
        <w:t xml:space="preserve">, the Every Student Succeeds Act (ESSA), </w:t>
      </w:r>
      <w:r w:rsidRPr="00AA0D15">
        <w:rPr>
          <w:rStyle w:val="Emphasis"/>
        </w:rPr>
        <w:t>further restricts the federal government from even trying to influence a state’s decision</w:t>
      </w:r>
      <w:r w:rsidRPr="00AA0D15">
        <w:t xml:space="preserve">—as Obama did with his $4.35-billion Race to the Top Fund, which favored Common Core states when awarding federal grants. ESSA shields state adoption of the Next Generation Science Standards from federal meddling; released in 2013 by a coalition of states and scientific organizations, these research-based standards have so far been adopted by 17 states. If the Trump administration has any influence on curricula, it could well be via the antiscience rhetoric of its inner circle. Pence has publicly supported the teaching of creationism. Myron Ebell, head of transitioning the U.S. Environmental Protection Agency and director of the Center of Energy and Environment at the Competitive Enterprise Institute, is a vocal climate change skeptic. So is Trump, who tweeted in 2012 “the concept of climate change was created by and for the Chinese.” (The Chinese have corrected him.) Science education advocates warn the legitimization of such nonscientific views at the highest levels of government could trickle down to local policies. Education boards in several states, such as Louisiana and Texas, have already been battling over how evolution and climate change should be taught, as have state legislatures considering bills that would allow teachers to treat these subjects as controversial. Nearly all of this legislation has emerged in states that were won by Trump. “We see 10 to 12 of the bills every year, and their intent is clearly to give teachers cover to teach nonscience in science classrooms,” says Ann Reid, executive director of the National Center for Science Education (NCSE). “None have passed recently, but there’s a danger that the people introducing these bills and school boards trying to change standards will be emboldened.” According to Reid, NCSE surveys suggest that many teachers avoid teaching evolution and climate change, concerned that parents will complain. She predicts community pressure around these issues will only increase. Just as White House rhetoric could influence what is taught in classrooms, silence on STEM or other education issues like diversity could also have an impact, 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“These kinds of initiatives motivate the educational community,” Brown says. “If messages like that are not coming from the top, I wonder whether there will be a shift in priorities.” Even Trump’s views on seemingly unrelated issues could affect STEM education. He has called for restrictions on H-1B visas, which allow companies in the U.S. to hire temporary workers from abroad for specialized positions that are hard to fill. But revenue from these visas, amounting to $1 billion, is the sole source of funding for a technical skills training program for domestic workers run by the U.S. Department of Labor as well as a STEM scholarship program for students that is administered by the National Science Foundation. </w:t>
      </w:r>
      <w:r w:rsidRPr="00AA0D15">
        <w:rPr>
          <w:rStyle w:val="StyleUnderline"/>
        </w:rPr>
        <w:t>Amidst the uncertainty,</w:t>
      </w:r>
      <w:r w:rsidRPr="00AA0D15">
        <w:t xml:space="preserve"> </w:t>
      </w:r>
      <w:r w:rsidRPr="00AA0D15">
        <w:rPr>
          <w:rStyle w:val="StyleUnderline"/>
        </w:rPr>
        <w:t xml:space="preserve">some remain hopeful that </w:t>
      </w:r>
      <w:r w:rsidRPr="00AA0D15">
        <w:rPr>
          <w:rStyle w:val="Emphasis"/>
        </w:rPr>
        <w:t>the federal government will continue its support STEM education.</w:t>
      </w:r>
      <w:r w:rsidRPr="00AA0D15">
        <w:t xml:space="preserve"> </w:t>
      </w:r>
      <w:r w:rsidRPr="00AA0D15">
        <w:rPr>
          <w:rStyle w:val="StyleUnderline"/>
        </w:rPr>
        <w:t xml:space="preserve">Trump has said he will cap student loans, an issue popular with Democrats. And </w:t>
      </w:r>
      <w:r w:rsidRPr="00AA0D15">
        <w:rPr>
          <w:rStyle w:val="Emphasis"/>
        </w:rPr>
        <w:t>his plan</w:t>
      </w:r>
      <w:r w:rsidRPr="00AA0D15">
        <w:rPr>
          <w:rStyle w:val="StyleUnderline"/>
        </w:rPr>
        <w:t xml:space="preserve"> for his first 100 days in office pledges </w:t>
      </w:r>
      <w:r w:rsidRPr="00AA0D15">
        <w:rPr>
          <w:rStyle w:val="Emphasis"/>
        </w:rPr>
        <w:t xml:space="preserve">support for vocational and technical schools. </w:t>
      </w:r>
      <w:r w:rsidRPr="00AA0D15">
        <w:rPr>
          <w:rStyle w:val="StyleUnderline"/>
        </w:rPr>
        <w:t>“This could be an area of overlap between Trump and Obama,”</w:t>
      </w:r>
      <w:r w:rsidRPr="00AA0D15">
        <w:t xml:space="preserve"> says Jon Miller, director of the International Center for the Advancement of Scientific Literacy at the University of Michigan. “They both embrace community colleges.” Hoping to influence policy, a group of </w:t>
      </w:r>
      <w:r w:rsidRPr="00AA0D15">
        <w:rPr>
          <w:rStyle w:val="StyleUnderline"/>
        </w:rPr>
        <w:t>organizations representing science teachers has reached out to the new administration</w:t>
      </w:r>
      <w:r w:rsidRPr="00AA0D15">
        <w:t xml:space="preserve">. “We have been in contact with the transition team,” says David Evans, executive director of the National Science Teachers Association. “We have laid out a paper </w:t>
      </w:r>
      <w:r w:rsidRPr="00AA0D15">
        <w:rPr>
          <w:rStyle w:val="Emphasis"/>
        </w:rPr>
        <w:t>highlighting the importance of STEM education for the workforce priorities they have.”</w:t>
      </w:r>
    </w:p>
    <w:p w:rsidR="00C47278" w:rsidRPr="00AA0D15" w:rsidRDefault="00C47278" w:rsidP="00C47278">
      <w:pPr>
        <w:pStyle w:val="Heading3"/>
        <w:rPr>
          <w:rFonts w:cs="Times New Roman"/>
        </w:rPr>
      </w:pPr>
      <w:r w:rsidRPr="00AA0D15">
        <w:rPr>
          <w:rFonts w:cs="Times New Roman"/>
        </w:rPr>
        <w:t>AT implementation deficit</w:t>
      </w:r>
    </w:p>
    <w:p w:rsidR="00C47278" w:rsidRPr="00AA0D15" w:rsidRDefault="00C47278" w:rsidP="00C47278">
      <w:pPr>
        <w:pStyle w:val="Heading4"/>
        <w:rPr>
          <w:rFonts w:cs="Times New Roman"/>
        </w:rPr>
      </w:pPr>
      <w:r w:rsidRPr="00AA0D15">
        <w:rPr>
          <w:rFonts w:cs="Times New Roman"/>
        </w:rPr>
        <w:t>No deficits apply, states can simply increase funding and hire career experts to remedy current shortages</w:t>
      </w:r>
    </w:p>
    <w:p w:rsidR="00C47278" w:rsidRPr="00AA0D15" w:rsidRDefault="00C47278" w:rsidP="00C47278">
      <w:r w:rsidRPr="00AA0D15">
        <w:rPr>
          <w:b/>
        </w:rPr>
        <w:t xml:space="preserve">NSF 13 --- </w:t>
      </w:r>
      <w:r w:rsidRPr="00AA0D15">
        <w:t>National Science Foundation Successful STEM Education initiative.</w:t>
      </w:r>
      <w:r w:rsidRPr="00AA0D15">
        <w:rPr>
          <w:b/>
        </w:rPr>
        <w:t xml:space="preserve"> </w:t>
      </w:r>
      <w:r w:rsidRPr="00AA0D15">
        <w:t>(‘Engineering: Emphasizing the “E” in STEM Education’, 6-23-13, http://www.successfulstemeducation.org/resources/engineering-emphasizing-%E2%80%9Ce%E2%80%9D-stem-education)//ET</w:t>
      </w:r>
    </w:p>
    <w:p w:rsidR="00C47278" w:rsidRPr="00AA0D15" w:rsidRDefault="00C47278" w:rsidP="00C47278">
      <w:pPr>
        <w:rPr>
          <w:rStyle w:val="Emphasis"/>
        </w:rPr>
      </w:pPr>
      <w:r w:rsidRPr="00AA0D15">
        <w:t xml:space="preserve">THE CHALLENGES OF IMPLEMENTATION For students in states that adopt the NGSS or their own engineering standards, </w:t>
      </w:r>
      <w:r w:rsidRPr="00AA0D15">
        <w:rPr>
          <w:rStyle w:val="StyleUnderline"/>
        </w:rPr>
        <w:t>big changes will be coming</w:t>
      </w:r>
      <w:r w:rsidRPr="00AA0D15">
        <w:t xml:space="preserve">. Currently, science is often not taught at the K–3 level, and many students don’t take chemistry, physics, and earth science classes in high school. Engineering is taught least of all. While the details of implementation are far from decided, engineering would be taught more often at every grade level, beginning in kindergarten and through 12th grade. While some are puzzled by this approach, others see it as the most natural thing in the world. Fortenberry says it is particularly important in the youngest grades. “The youngest students are natural engineers. They want to build things, they want to put things together… and knock them down.” The </w:t>
      </w:r>
      <w:r w:rsidRPr="00AA0D15">
        <w:rPr>
          <w:rStyle w:val="StyleUnderline"/>
        </w:rPr>
        <w:t>National Academy of Engineering has observed that most schools will be starting from scratch in terms of identifying curricula</w:t>
      </w:r>
      <w:r w:rsidRPr="00AA0D15">
        <w:t xml:space="preserve"> and assessments, and in preparing teachers. Fortunately, many rich curricula already exist that teachers will be able to draw upon for lessons, Sneider says. </w:t>
      </w:r>
      <w:r w:rsidRPr="00AA0D15">
        <w:rPr>
          <w:rStyle w:val="StyleUnderline"/>
        </w:rPr>
        <w:t>From the ever-popular bridge-building activity to biomimicry</w:t>
      </w:r>
      <w:r w:rsidRPr="00AA0D15">
        <w:t>—in which high school students may build a functioning model of a hand—</w:t>
      </w:r>
      <w:r w:rsidRPr="00AA0D15">
        <w:rPr>
          <w:rStyle w:val="StyleUnderline"/>
        </w:rPr>
        <w:t>ideas abound</w:t>
      </w:r>
      <w:r w:rsidRPr="00AA0D15">
        <w:t xml:space="preserve">. However, </w:t>
      </w:r>
      <w:r w:rsidRPr="00AA0D15">
        <w:rPr>
          <w:rStyle w:val="StyleUnderline"/>
        </w:rPr>
        <w:t>there is work to be done to align many of these activities and curricula to engineering concepts and practices in standards</w:t>
      </w:r>
      <w:r w:rsidRPr="00AA0D15">
        <w:t xml:space="preserve">, and to ensure that they portray engineering in ways likely to be meaningful to students from a broad range of ethnic and cultural backgrounds. There is also the big question of when—or even whether—there will be common NGSS assessments, as there will be for the Common Core State Standards forMathematics and English Language Arts. </w:t>
      </w:r>
      <w:r w:rsidRPr="00AA0D15">
        <w:rPr>
          <w:rStyle w:val="Emphasis"/>
        </w:rPr>
        <w:t>There is currently no funding from the federal government</w:t>
      </w:r>
      <w:r w:rsidRPr="00AA0D15">
        <w:t xml:space="preserve">, as there was with the Common Core. But </w:t>
      </w:r>
      <w:r w:rsidRPr="00AA0D15">
        <w:rPr>
          <w:rStyle w:val="StyleUnderline"/>
        </w:rPr>
        <w:t>the National Research Council, which developed the framework for the science standards, is now working on a report to guide the development of assessments that could be used by states that decide to adopt the NGSS.</w:t>
      </w:r>
      <w:r w:rsidRPr="00AA0D15">
        <w:rPr>
          <w:rStyle w:val="Emphasis"/>
        </w:rPr>
        <w:t xml:space="preserve"> Hiring engineering education specialists will be crucial</w:t>
      </w:r>
      <w:r w:rsidRPr="00AA0D15">
        <w:rPr>
          <w:rStyle w:val="StyleUnderline"/>
        </w:rPr>
        <w:t xml:space="preserve"> to implementing new curricula, especially at the high school level</w:t>
      </w:r>
      <w:r w:rsidRPr="00AA0D15">
        <w:t>, Fortenberry says. This means that pre-service certification requirements must be developed, he adds. A few universities offer engineering education programs, but not nearly enough. In addition, many teachers, especially in elementary and middle schools, will need exposure to the most basic engineering concepts before they can start learning what to teach and how to teach it. “It’s been an immense challenge thus far in terms of pre-service preparation in math and science, and now we have to do that in engineering in terms of knowledge, and—frankly—in terms of fear,” Fortenberry says. “</w:t>
      </w:r>
      <w:r w:rsidRPr="00AA0D15">
        <w:rPr>
          <w:rStyle w:val="StyleUnderline"/>
        </w:rPr>
        <w:t>We’ve got to demystify and build a comfort with engineering. We need to promote greater understanding of who engineers are and what they do</w:t>
      </w:r>
      <w:r w:rsidRPr="00AA0D15">
        <w:t xml:space="preserve">.” However, the National Academy of Engineering has reported that </w:t>
      </w:r>
      <w:r w:rsidRPr="00AA0D15">
        <w:rPr>
          <w:rStyle w:val="Emphasis"/>
        </w:rPr>
        <w:t>professional development</w:t>
      </w:r>
      <w:r w:rsidRPr="00AA0D15">
        <w:rPr>
          <w:rStyle w:val="StyleUnderline"/>
        </w:rPr>
        <w:t xml:space="preserve"> opportunities for engineering are “few and far between</w:t>
      </w:r>
      <w:r w:rsidRPr="00AA0D15">
        <w:t xml:space="preserve">.”9 </w:t>
      </w:r>
      <w:r w:rsidRPr="00AA0D15">
        <w:rPr>
          <w:rStyle w:val="Emphasis"/>
        </w:rPr>
        <w:t xml:space="preserve">Most last less than one week and lack ongoing support following a formal program. </w:t>
      </w:r>
      <w:r w:rsidRPr="00AA0D15">
        <w:t xml:space="preserve">Plus, </w:t>
      </w:r>
      <w:r w:rsidRPr="00AA0D15">
        <w:rPr>
          <w:rStyle w:val="StyleUnderline"/>
        </w:rPr>
        <w:t xml:space="preserve">underlying everything is </w:t>
      </w:r>
      <w:r w:rsidRPr="00AA0D15">
        <w:t xml:space="preserve">the time crunch because of pressure to improve basic literacy and math skills as required in the Common Core, along with the </w:t>
      </w:r>
      <w:r w:rsidRPr="00AA0D15">
        <w:rPr>
          <w:rStyle w:val="Emphasis"/>
        </w:rPr>
        <w:t xml:space="preserve">financial strain on state departments of education </w:t>
      </w:r>
      <w:r w:rsidRPr="00AA0D15">
        <w:rPr>
          <w:rStyle w:val="StyleUnderline"/>
        </w:rPr>
        <w:t>and local schools to pay for all of the changes.</w:t>
      </w:r>
    </w:p>
    <w:p w:rsidR="00C47278" w:rsidRPr="00AA0D15" w:rsidRDefault="00C47278" w:rsidP="00C47278">
      <w:pPr>
        <w:pStyle w:val="Heading3"/>
        <w:rPr>
          <w:rFonts w:cs="Times New Roman"/>
        </w:rPr>
      </w:pPr>
      <w:r w:rsidRPr="00AA0D15">
        <w:rPr>
          <w:rFonts w:cs="Times New Roman"/>
        </w:rPr>
        <w:t>AT expertise/resources deficit</w:t>
      </w:r>
    </w:p>
    <w:p w:rsidR="00C47278" w:rsidRPr="00AA0D15" w:rsidRDefault="00C47278" w:rsidP="00C47278">
      <w:pPr>
        <w:pStyle w:val="Heading4"/>
        <w:rPr>
          <w:rFonts w:cs="Times New Roman"/>
        </w:rPr>
      </w:pPr>
      <w:r w:rsidRPr="00AA0D15">
        <w:rPr>
          <w:rFonts w:cs="Times New Roman"/>
        </w:rPr>
        <w:t>States facilitate effective public-private partnerships that solve best education</w:t>
      </w:r>
    </w:p>
    <w:p w:rsidR="00C47278" w:rsidRPr="00AA0D15" w:rsidRDefault="00C47278" w:rsidP="00C47278">
      <w:r w:rsidRPr="002439A5">
        <w:rPr>
          <w:rStyle w:val="Style13ptBold"/>
        </w:rPr>
        <w:t>Becker 16</w:t>
      </w:r>
      <w:r w:rsidRPr="00AA0D15">
        <w:rPr>
          <w:b/>
        </w:rPr>
        <w:t xml:space="preserve"> </w:t>
      </w:r>
      <w:r w:rsidRPr="00AA0D15">
        <w:t>--- MA in public policy candidate at Oregon State University. (Gretchen M. Becker, Dec 2, 2016, “Sustaining Oregon’s Cross-Sector Partnerships in STEM Education”, https://ir.library.oregonstate.edu/xmlui/bitstream/handle/1957/60006/Becker_MPP_Essay.pdf?sequence=1)//ET</w:t>
      </w:r>
    </w:p>
    <w:p w:rsidR="00C47278" w:rsidRPr="00AA0D15" w:rsidRDefault="00C47278" w:rsidP="00C47278">
      <w:r w:rsidRPr="00AA0D15">
        <w:t xml:space="preserve">In recent years, </w:t>
      </w:r>
      <w:r w:rsidRPr="00AA0D15">
        <w:rPr>
          <w:rStyle w:val="Emphasis"/>
        </w:rPr>
        <w:t>state governments</w:t>
      </w:r>
      <w:r w:rsidRPr="00AA0D15">
        <w:t xml:space="preserve"> </w:t>
      </w:r>
      <w:r w:rsidRPr="00AA0D15">
        <w:rPr>
          <w:rStyle w:val="StyleUnderline"/>
        </w:rPr>
        <w:t>in the U.S. have promoted improvements to science, technology, engineering, and mathematics (STEM) education as a means to stimulate future economic growth and increase economic mobility</w:t>
      </w:r>
      <w:r w:rsidRPr="00AA0D15">
        <w:t xml:space="preserve"> into careers with higher earnings. </w:t>
      </w:r>
      <w:r w:rsidRPr="00AA0D15">
        <w:rPr>
          <w:rStyle w:val="StyleUnderline"/>
        </w:rPr>
        <w:t xml:space="preserve">Oregon’s STEM Initiative includes the creation and development of strategic public-private partnerships which aim to </w:t>
      </w:r>
      <w:r w:rsidRPr="00AA0D15">
        <w:rPr>
          <w:rStyle w:val="Emphasis"/>
        </w:rPr>
        <w:t>anticipate</w:t>
      </w:r>
      <w:r w:rsidRPr="00AA0D15">
        <w:rPr>
          <w:rStyle w:val="StyleUnderline"/>
        </w:rPr>
        <w:t xml:space="preserve"> </w:t>
      </w:r>
      <w:r w:rsidRPr="00AA0D15">
        <w:rPr>
          <w:rStyle w:val="Emphasis"/>
        </w:rPr>
        <w:t>regional</w:t>
      </w:r>
      <w:r w:rsidRPr="00AA0D15">
        <w:rPr>
          <w:rStyle w:val="StyleUnderline"/>
        </w:rPr>
        <w:t xml:space="preserve"> STEM education </w:t>
      </w:r>
      <w:r w:rsidRPr="00AA0D15">
        <w:rPr>
          <w:rStyle w:val="Emphasis"/>
        </w:rPr>
        <w:t>needs</w:t>
      </w:r>
      <w:r w:rsidRPr="00AA0D15">
        <w:t xml:space="preserve">, </w:t>
      </w:r>
      <w:r w:rsidRPr="00AA0D15">
        <w:rPr>
          <w:rStyle w:val="StyleUnderline"/>
        </w:rPr>
        <w:t xml:space="preserve">promote </w:t>
      </w:r>
      <w:r w:rsidRPr="00AA0D15">
        <w:rPr>
          <w:rStyle w:val="Emphasis"/>
        </w:rPr>
        <w:t>best-practices for reaching underserved populations</w:t>
      </w:r>
      <w:r w:rsidRPr="00AA0D15">
        <w:rPr>
          <w:rStyle w:val="StyleUnderline"/>
        </w:rPr>
        <w:t>, and</w:t>
      </w:r>
      <w:r w:rsidRPr="00AA0D15">
        <w:t xml:space="preserve"> </w:t>
      </w:r>
      <w:r w:rsidRPr="00AA0D15">
        <w:rPr>
          <w:rStyle w:val="Emphasis"/>
        </w:rPr>
        <w:t>build</w:t>
      </w:r>
      <w:r w:rsidRPr="00AA0D15">
        <w:t xml:space="preserve"> </w:t>
      </w:r>
      <w:r w:rsidRPr="00AA0D15">
        <w:rPr>
          <w:rStyle w:val="StyleUnderline"/>
        </w:rPr>
        <w:t>local STEM learning</w:t>
      </w:r>
      <w:r w:rsidRPr="00AA0D15">
        <w:t xml:space="preserve"> </w:t>
      </w:r>
      <w:r w:rsidRPr="00AA0D15">
        <w:rPr>
          <w:rStyle w:val="Emphasis"/>
        </w:rPr>
        <w:t>ecosystems</w:t>
      </w:r>
      <w:r w:rsidRPr="00AA0D15">
        <w:t xml:space="preserve"> to </w:t>
      </w:r>
      <w:r w:rsidRPr="00AA0D15">
        <w:rPr>
          <w:rStyle w:val="StyleUnderline"/>
        </w:rPr>
        <w:t>achieve “collective impact.”</w:t>
      </w:r>
      <w:r w:rsidRPr="00AA0D15">
        <w:t xml:space="preserve"> Essential to the Initiative’s success is demo</w:t>
      </w:r>
      <w:r w:rsidRPr="00AA0D15">
        <w:rPr>
          <w:rStyle w:val="StyleUnderline"/>
        </w:rPr>
        <w:t xml:space="preserve">nstrating that these partnerships are effective cross-sector collaborations with the capacity to develop mutually-beneficial relationships and consolidate programmatic goals. </w:t>
      </w:r>
      <w:r w:rsidRPr="00AA0D15">
        <w:t>Using an illustrative case study of the South Metro-Salem STEM Partnership, I find that affiliated organizations share in its vision and benefit from partnership through increased access to cross-sector knowledge and increased organizational capacity. However, an institutional environment of shared beliefs only results in the realization of those benefits when each organization has its expectations for participation met and when resources are available for continued partnership work, which has implications for Oregon’s STEM Initiative.</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 xml:space="preserve">States can facilitate same career experience and resource training </w:t>
      </w:r>
    </w:p>
    <w:p w:rsidR="00C47278" w:rsidRPr="00AA0D15" w:rsidRDefault="00C47278" w:rsidP="00C47278">
      <w:r w:rsidRPr="002439A5">
        <w:rPr>
          <w:rStyle w:val="Style13ptBold"/>
        </w:rPr>
        <w:t>Thomasian 2011</w:t>
      </w:r>
      <w:r w:rsidRPr="00AA0D15">
        <w:rPr>
          <w:b/>
        </w:rPr>
        <w:t xml:space="preserve"> --- </w:t>
      </w:r>
      <w:r w:rsidRPr="00AA0D15">
        <w:t>lack Point Policy Solutions, LLC for National Governors Association. (“Building a Science, Technology, Engineering, and Math Education agenda”, https://www.nga.org/files/live/sites/NGA/files/pdf/1112STEMGUIDE.PDF)//ET</w:t>
      </w:r>
    </w:p>
    <w:p w:rsidR="00C47278" w:rsidRPr="00AA0D15" w:rsidRDefault="00C47278" w:rsidP="00C47278">
      <w:pPr>
        <w:rPr>
          <w:rStyle w:val="Emphasis"/>
          <w:b w:val="0"/>
          <w:sz w:val="16"/>
          <w:u w:val="none"/>
        </w:rPr>
      </w:pPr>
      <w:r w:rsidRPr="00AA0D15">
        <w:rPr>
          <w:rStyle w:val="StyleUnderline"/>
        </w:rPr>
        <w:t xml:space="preserve">Use Informal Learning to Expand Math and Science Beyond the Classroom </w:t>
      </w:r>
      <w:r w:rsidRPr="00AA0D15">
        <w:t xml:space="preserve">It is important to help students understand the connections of math and science to life and career opportunities. Part of </w:t>
      </w:r>
      <w:r w:rsidRPr="00AA0D15">
        <w:rPr>
          <w:rStyle w:val="StyleUnderline"/>
        </w:rPr>
        <w:t>this can be addressed by expanding classroom teaching strategies with hands-on math and science activities</w:t>
      </w:r>
      <w:r w:rsidRPr="00AA0D15">
        <w:t xml:space="preserve">. This is the approach taken at </w:t>
      </w:r>
      <w:r w:rsidRPr="00AA0D15">
        <w:rPr>
          <w:rStyle w:val="StyleUnderline"/>
        </w:rPr>
        <w:t>STEM schools</w:t>
      </w:r>
      <w:r w:rsidRPr="00AA0D15">
        <w:t xml:space="preserve"> and early college programs, </w:t>
      </w:r>
      <w:r w:rsidRPr="00AA0D15">
        <w:rPr>
          <w:rStyle w:val="StyleUnderline"/>
        </w:rPr>
        <w:t>which focus on real-world problem solving in the classroom and through collaborative projects</w:t>
      </w:r>
      <w:r w:rsidRPr="00AA0D15">
        <w:t xml:space="preserve">. </w:t>
      </w:r>
      <w:r w:rsidRPr="00AA0D15">
        <w:rPr>
          <w:rStyle w:val="StyleUnderline"/>
        </w:rPr>
        <w:t xml:space="preserve">These programs also let students participate in projects outside the classroom where they can observe how STEM professionals address issues in fields such as biology, architecture, and physics. </w:t>
      </w:r>
      <w:r w:rsidRPr="00AA0D15">
        <w:t xml:space="preserve">Also important are organized educational opportunities outside the classroom, which include after-school programs, activities at museums and science centers, and virtual learning experiences. Evidence shows that these designed yet informal settings can and do promote science learning.42 For example, the 21st Century Community Learning Centers program is a federally funded initiative </w:t>
      </w:r>
      <w:r w:rsidRPr="00AA0D15">
        <w:rPr>
          <w:rStyle w:val="Emphasis"/>
          <w:b w:val="0"/>
          <w:sz w:val="16"/>
          <w:u w:val="none"/>
        </w:rPr>
        <w:t xml:space="preserve">that provides academic enrichment opportunities during non-school hours for children, particularly students who attend high-poverty and low-performing schools. Some </w:t>
      </w:r>
      <w:r w:rsidRPr="00AA0D15">
        <w:rPr>
          <w:rStyle w:val="Emphasis"/>
        </w:rPr>
        <w:t>states</w:t>
      </w:r>
      <w:r w:rsidRPr="00AA0D15">
        <w:rPr>
          <w:rStyle w:val="Emphasis"/>
          <w:b w:val="0"/>
          <w:sz w:val="16"/>
          <w:u w:val="none"/>
        </w:rPr>
        <w:t xml:space="preserve"> </w:t>
      </w:r>
      <w:r w:rsidRPr="00AA0D15">
        <w:rPr>
          <w:rStyle w:val="StyleUnderline"/>
        </w:rPr>
        <w:t xml:space="preserve">have leveraged these funds to </w:t>
      </w:r>
      <w:r w:rsidRPr="00AA0D15">
        <w:rPr>
          <w:rStyle w:val="Emphasis"/>
        </w:rPr>
        <w:t>further STEM learning goals</w:t>
      </w:r>
      <w:r w:rsidRPr="00AA0D15">
        <w:rPr>
          <w:rStyle w:val="StyleUnderline"/>
        </w:rPr>
        <w:t>.</w:t>
      </w:r>
      <w:r w:rsidRPr="00AA0D15">
        <w:rPr>
          <w:rStyle w:val="Emphasis"/>
          <w:b w:val="0"/>
          <w:sz w:val="16"/>
          <w:u w:val="none"/>
        </w:rPr>
        <w:t xml:space="preserve"> For example, the </w:t>
      </w:r>
      <w:r w:rsidRPr="00AA0D15">
        <w:rPr>
          <w:rStyle w:val="Emphasis"/>
        </w:rPr>
        <w:t>California Department of Education</w:t>
      </w:r>
      <w:r w:rsidRPr="00AA0D15">
        <w:rPr>
          <w:rStyle w:val="StyleUnderline"/>
        </w:rPr>
        <w:t xml:space="preserve">, in partnership with corporations and private foundations, is undertaking a major project to connect after-school program providers with STEM learning opportunities at nine regional support centers. The goal of the project is to </w:t>
      </w:r>
      <w:r w:rsidRPr="00AA0D15">
        <w:rPr>
          <w:rStyle w:val="Emphasis"/>
        </w:rPr>
        <w:t xml:space="preserve">reach 1 million youth with high-quality STEM programs annually through after-school programs.43 </w:t>
      </w:r>
      <w:r w:rsidRPr="00AA0D15">
        <w:rPr>
          <w:rStyle w:val="StyleUnderline"/>
        </w:rPr>
        <w:t>Museums and science centers also offer programs, resources, and classes that help students and teachers expand their knowledge and skills. For example, in Illinois, Chicago’s Museum of Science and Industry offers courses for teachers to increase their knowledge of science, improve teaching skills, and demonstrate how to use museum programs and exhibits to enhance science curricula.</w:t>
      </w:r>
      <w:r w:rsidRPr="00AA0D15">
        <w:rPr>
          <w:rStyle w:val="Emphasis"/>
          <w:b w:val="0"/>
          <w:sz w:val="16"/>
          <w:u w:val="none"/>
        </w:rPr>
        <w:t xml:space="preserve">44 Similarly, the </w:t>
      </w:r>
      <w:r w:rsidRPr="00AA0D15">
        <w:rPr>
          <w:rStyle w:val="StyleUnderline"/>
        </w:rPr>
        <w:t>Exploratorium in San Francisco serves both children and adults</w:t>
      </w:r>
      <w:r w:rsidRPr="00AA0D15">
        <w:rPr>
          <w:rStyle w:val="Emphasis"/>
          <w:b w:val="0"/>
          <w:sz w:val="16"/>
          <w:u w:val="none"/>
        </w:rPr>
        <w:t>, offering hundreds of self-guided exhibits, a website with more than 25,000 pages of content, film screenings, and day camps for kids and family science investigations. These exhibits and expertise are shared with museums worldwide.45</w:t>
      </w:r>
    </w:p>
    <w:p w:rsidR="00C47278" w:rsidRPr="00AA0D15" w:rsidRDefault="00C47278" w:rsidP="00C47278">
      <w:pPr>
        <w:rPr>
          <w:rStyle w:val="Emphasis"/>
          <w:b w:val="0"/>
          <w:sz w:val="16"/>
          <w:u w:val="none"/>
        </w:rPr>
      </w:pPr>
    </w:p>
    <w:p w:rsidR="00C47278" w:rsidRPr="00AA0D15" w:rsidRDefault="00C47278" w:rsidP="00C47278">
      <w:pPr>
        <w:pStyle w:val="Heading4"/>
        <w:rPr>
          <w:rFonts w:cs="Times New Roman"/>
        </w:rPr>
      </w:pPr>
      <w:r w:rsidRPr="00AA0D15">
        <w:rPr>
          <w:rFonts w:cs="Times New Roman"/>
        </w:rPr>
        <w:t>Federal expertise is in STEM higher education, States are superior in K-12</w:t>
      </w:r>
    </w:p>
    <w:p w:rsidR="00C47278" w:rsidRPr="00AA0D15" w:rsidRDefault="00C47278" w:rsidP="00C47278">
      <w:r w:rsidRPr="002439A5">
        <w:rPr>
          <w:rStyle w:val="Style13ptBold"/>
        </w:rPr>
        <w:t>NRC 10</w:t>
      </w:r>
      <w:r w:rsidRPr="00AA0D15">
        <w:t xml:space="preserve"> --- National Research Council. (“NOAA's Education Program: Review and Critique (2010)”, National Academies Press. https://www.nap.edu/read/12867/chapter/4)//ET</w:t>
      </w:r>
    </w:p>
    <w:p w:rsidR="00C47278" w:rsidRPr="002439A5" w:rsidRDefault="00C47278" w:rsidP="002439A5">
      <w:r w:rsidRPr="002439A5">
        <w:t xml:space="preserve">The federal contribution to STEM higher education comes from its support of the university research that students engage in or by directly funding students themselves, through fellowships or scholarships. In 2005, the combined federal contribution to research at universities was nearly $16 billion, of which $9 billion was from the U.S. Department of Health and Human Services (National Science Foundation, 2005). NSF is the next largest contributor to research at universities and colleges; its annual budget represents 21 percent of the total federal budget for basic research conducted at America’s colleges and universities. The U.S. Department of Commerce, the U.S. Department of Energy, the U.S. Department of Defense, and NASA, all fund extramural research programs that support STEM education as well, in smaller amounts. By awarding funding to research aligned with their mission, they catalyze training and instruction in certain areas, thereby indirectly influencing the curriculum that students experience. For example, the Educational Partnership Program invests in areas of increasing interest to NOAA and helps develop institutional capacity in those areas, including contributing to the creation of new degree programs. Like the federal government, states also contribute to STEM education through scholarships and fellowships to students in STEM disciplines and support for STEM research in which students participate. However, state governments play a much smaller role in higher education than in K-12 education. States do not credential STEM professors at colleges or univer-sities, define education standards, or implement any testing of university or college students. States do provide partial funding for their public institutions, although the amount varies considerably. </w:t>
      </w:r>
      <w:r w:rsidRPr="002439A5">
        <w:rPr>
          <w:rStyle w:val="StyleUnderline"/>
        </w:rPr>
        <w:t>States are the primary funders of state, junior, and some four-year teacher colleges; private institutions receive a much smaller proportion of their funding from the state. For institutions to which they provide a significant amount of funding, states can exercise fiscal oversight, influence admissions policies, and influence the curriculum in the broadest terms.</w:t>
      </w:r>
      <w:r w:rsidRPr="002439A5">
        <w:t xml:space="preserve"> In fiscal year (FY) 2008, state and local funding for public and independent higher education totaled $89.2 billion (State Higher Education Executive Officers, 2008). States exert very little influence on private institutions of higher education.</w:t>
      </w:r>
    </w:p>
    <w:p w:rsidR="00C47278" w:rsidRPr="00AA0D15" w:rsidRDefault="00C47278" w:rsidP="00C47278">
      <w:pPr>
        <w:pStyle w:val="Heading3"/>
        <w:rPr>
          <w:rFonts w:cs="Times New Roman"/>
        </w:rPr>
      </w:pPr>
      <w:r w:rsidRPr="00AA0D15">
        <w:rPr>
          <w:rFonts w:cs="Times New Roman"/>
        </w:rPr>
        <w:t>AT curriculum deficit</w:t>
      </w:r>
    </w:p>
    <w:p w:rsidR="00C47278" w:rsidRPr="00AA0D15" w:rsidRDefault="00C47278" w:rsidP="00C47278">
      <w:pPr>
        <w:pStyle w:val="Heading4"/>
        <w:rPr>
          <w:rFonts w:cs="Times New Roman"/>
        </w:rPr>
      </w:pPr>
      <w:r w:rsidRPr="00AA0D15">
        <w:rPr>
          <w:rFonts w:cs="Times New Roman"/>
        </w:rPr>
        <w:t xml:space="preserve">States ensure effective curricular changes </w:t>
      </w:r>
    </w:p>
    <w:p w:rsidR="00C47278" w:rsidRPr="00AA0D15" w:rsidRDefault="00C47278" w:rsidP="00C47278">
      <w:r w:rsidRPr="002439A5">
        <w:rPr>
          <w:rStyle w:val="Style13ptBold"/>
        </w:rPr>
        <w:t>Atkinson 2017</w:t>
      </w:r>
      <w:r w:rsidRPr="00AA0D15">
        <w:t xml:space="preserve"> --- June St. Clair Atkinson is the state superintendent of the public schools for North Carolina. (“Building the Road to STEM Together”, http://www.csg.org/pubs/capitolideas/2015_sept_oct/buidling_the_road.aspx)//ET</w:t>
      </w:r>
    </w:p>
    <w:p w:rsidR="00C47278" w:rsidRPr="00AA0D15" w:rsidRDefault="00C47278" w:rsidP="00C47278">
      <w:r w:rsidRPr="00AA0D15">
        <w:t xml:space="preserve">The fifth-grade students at Central Elementary excitedly explain that they attend a science, technology, engineering and mathematics—or STEM—school, where all subject matter is taught through the lens of engineering design principles, even English, language arts and reading! The students learn design principles that provide a structure and framework for developing projects, evoking creativity and applying criteria for classwork. The </w:t>
      </w:r>
      <w:r w:rsidRPr="00AA0D15">
        <w:rPr>
          <w:rStyle w:val="StyleUnderline"/>
        </w:rPr>
        <w:t>students use technology tools as appropriate to do their work collaboratively or individually</w:t>
      </w:r>
      <w:r w:rsidRPr="00AA0D15">
        <w:t xml:space="preserve">. In each classroom, it is difficult to tease out where math instruction ends and science instruction begins. These subject matters are integrated while teachers guide, help and ask questions to assist student learning. Central Elementary is an example of one of many </w:t>
      </w:r>
      <w:r w:rsidRPr="00AA0D15">
        <w:rPr>
          <w:rStyle w:val="StyleUnderline"/>
        </w:rPr>
        <w:t>schools across North Carolina and the nation changing the way instruction is delivered.</w:t>
      </w:r>
      <w:r w:rsidRPr="00AA0D15">
        <w:t xml:space="preserve"> In large and small school districts, </w:t>
      </w:r>
      <w:r w:rsidRPr="00AA0D15">
        <w:rPr>
          <w:rStyle w:val="StyleUnderline"/>
        </w:rPr>
        <w:t>schools are approaching learning with a renewed energy, new approaches and meaningful project work to help prepare students for living and STEM careers.</w:t>
      </w:r>
      <w:r w:rsidRPr="00AA0D15">
        <w:t xml:space="preserve"> </w:t>
      </w:r>
      <w:r w:rsidRPr="00AA0D15">
        <w:rPr>
          <w:rStyle w:val="Emphasis"/>
        </w:rPr>
        <w:t>The shift requires strong leadership from each sector of education</w:t>
      </w:r>
      <w:r w:rsidRPr="00AA0D15">
        <w:t xml:space="preserve">—teachers, principals, local superintendents </w:t>
      </w:r>
      <w:r w:rsidRPr="00AA0D15">
        <w:rPr>
          <w:rStyle w:val="Emphasis"/>
        </w:rPr>
        <w:t>and state departments of education.</w:t>
      </w:r>
      <w:r w:rsidRPr="00AA0D15">
        <w:t xml:space="preserve"> Preparing our students for more options upon high school graduation requires that leaders ensure structures are in place for a vibrant learning community of teachers and principals. Time must be carved out of the school year for teachers to work together, share ideas, visit other schools and classes, and read about effective practices in other schools. A leader must create an environment where teachers and principals feel free to share both successes and failures with each other and administrators. Technology is an important component to ensuring that the learning organization functions effectively. Skyping with another school, using available online modules and creating online wikis are some tools that can be used to support a learning organization. The old saying, “A picture is worth a thousand words,” holds true when it comes to opportunities for teachers and principals to visit other schools doing similar work. Experiencing the excitement and engagement of students and teachers in another school is contagious and can pay significant dividends in accelerating progress in someone else’s school. Knowing about mistakes or challenges also helps with progress. </w:t>
      </w:r>
      <w:r w:rsidRPr="00AA0D15">
        <w:rPr>
          <w:rStyle w:val="StyleUnderline"/>
        </w:rPr>
        <w:t>School or district education leaders must be vigilant in seeking out business partners and speaking to community groups about the importance of a STEM initiative.</w:t>
      </w:r>
      <w:r w:rsidRPr="00AA0D15">
        <w:t xml:space="preserve"> A leader must always have a plan that details ways in which community leaders and businesses can get involved. The work of selling a STEM initiative is never done, and it is up to the leader to ensure that there are always conversations within and outside the school about the initiative. </w:t>
      </w:r>
      <w:r w:rsidRPr="00AA0D15">
        <w:rPr>
          <w:rStyle w:val="StyleUnderline"/>
        </w:rPr>
        <w:t>State</w:t>
      </w:r>
      <w:r w:rsidRPr="00AA0D15">
        <w:t xml:space="preserve"> and local </w:t>
      </w:r>
      <w:r w:rsidRPr="00AA0D15">
        <w:rPr>
          <w:rStyle w:val="StyleUnderline"/>
        </w:rPr>
        <w:t xml:space="preserve">leaders must find ways to recognize and value the work of schools to undertake change and to be on a pathway of change. </w:t>
      </w:r>
      <w:r w:rsidRPr="00AA0D15">
        <w:t xml:space="preserve">The </w:t>
      </w:r>
      <w:r w:rsidRPr="00AA0D15">
        <w:rPr>
          <w:rStyle w:val="StyleUnderline"/>
        </w:rPr>
        <w:t xml:space="preserve">North Carolina State Board of Education has chosen a recognition program consisting of a rubric of attributes. Schools are recognized for </w:t>
      </w:r>
      <w:r w:rsidRPr="00AA0D15">
        <w:rPr>
          <w:rStyle w:val="Emphasis"/>
        </w:rPr>
        <w:t>integrated STEM curriculum that is aligned with state, national, international and industry standards</w:t>
      </w:r>
      <w:r w:rsidRPr="00AA0D15">
        <w:t xml:space="preserve">; </w:t>
      </w:r>
      <w:r w:rsidRPr="00AA0D15">
        <w:rPr>
          <w:rStyle w:val="StyleUnderline"/>
        </w:rPr>
        <w:t xml:space="preserve">ongoing community and industry engagement; and </w:t>
      </w:r>
      <w:r w:rsidRPr="00AA0D15">
        <w:rPr>
          <w:rStyle w:val="Emphasis"/>
        </w:rPr>
        <w:t>connections with postsecondary education</w:t>
      </w:r>
      <w:r w:rsidRPr="00AA0D15">
        <w:t xml:space="preserve">. Schools rank themselves in each area as early, developing, prepared or modeled. To show achievement, </w:t>
      </w:r>
      <w:r w:rsidRPr="00AA0D15">
        <w:rPr>
          <w:rStyle w:val="StyleUnderline"/>
        </w:rPr>
        <w:t>schools at the high-school level have specific targets to meet</w:t>
      </w:r>
      <w:r w:rsidRPr="00AA0D15">
        <w:t>, including a 90 percent graduation rate in a STEM school or program; 90 percent of students at a composite score of 17 or above on the ACT; and 90 percent of career technology education, or CTE, concentrators qualifying for a silver certificate or above on WorkKeys.</w:t>
      </w:r>
    </w:p>
    <w:p w:rsidR="00C47278" w:rsidRPr="00AA0D15" w:rsidRDefault="00C47278" w:rsidP="00C47278">
      <w:pPr>
        <w:pStyle w:val="Heading3"/>
        <w:rPr>
          <w:rFonts w:cs="Times New Roman"/>
        </w:rPr>
      </w:pPr>
      <w:r w:rsidRPr="00AA0D15">
        <w:rPr>
          <w:rFonts w:cs="Times New Roman"/>
        </w:rPr>
        <w:t>AT flexibility deficit</w:t>
      </w:r>
    </w:p>
    <w:p w:rsidR="00C47278" w:rsidRPr="00AA0D15" w:rsidRDefault="00C47278" w:rsidP="00C47278">
      <w:pPr>
        <w:pStyle w:val="Heading4"/>
        <w:rPr>
          <w:rFonts w:cs="Times New Roman"/>
        </w:rPr>
      </w:pPr>
      <w:r w:rsidRPr="00AA0D15">
        <w:rPr>
          <w:rFonts w:cs="Times New Roman"/>
        </w:rPr>
        <w:t>Job standards are already uniform</w:t>
      </w:r>
    </w:p>
    <w:p w:rsidR="00C47278" w:rsidRPr="00AA0D15" w:rsidRDefault="00C47278" w:rsidP="00C47278">
      <w:r w:rsidRPr="002439A5">
        <w:rPr>
          <w:rStyle w:val="Style13ptBold"/>
        </w:rPr>
        <w:t>The Atlantic 13</w:t>
      </w:r>
      <w:r w:rsidRPr="00AA0D15">
        <w:rPr>
          <w:b/>
        </w:rPr>
        <w:t xml:space="preserve"> </w:t>
      </w:r>
      <w:r w:rsidRPr="00AA0D15">
        <w:t>– a News outlet</w:t>
      </w:r>
      <w:r w:rsidRPr="00AA0D15">
        <w:rPr>
          <w:b/>
        </w:rPr>
        <w:t xml:space="preserve"> </w:t>
      </w:r>
      <w:r w:rsidRPr="00AA0D15">
        <w:t>(“A New National Education Imperative”, 10-9-13, The Atlantic, http://www.theatlantic.com/sponsored/chevron-stem/new-national-education-imperative/29/)//ET</w:t>
      </w:r>
    </w:p>
    <w:p w:rsidR="00C47278" w:rsidRPr="00AA0D15" w:rsidRDefault="00C47278" w:rsidP="00C47278">
      <w:r w:rsidRPr="00AA0D15">
        <w:t xml:space="preserve">With such a wide application of these technical skills, the </w:t>
      </w:r>
      <w:r w:rsidRPr="00AA0D15">
        <w:rPr>
          <w:rStyle w:val="StyleUnderline"/>
        </w:rPr>
        <w:t>nationwide job market for STEM skills provides fertile terrain for job applicants of all backgrounds</w:t>
      </w:r>
      <w:r w:rsidRPr="00AA0D15">
        <w:t xml:space="preserve">. </w:t>
      </w:r>
      <w:r w:rsidRPr="00AA0D15">
        <w:rPr>
          <w:rStyle w:val="StyleUnderline"/>
        </w:rPr>
        <w:t xml:space="preserve">The skills necessary to take advantage of these available jobs are standardized </w:t>
      </w:r>
      <w:r w:rsidRPr="00AA0D15">
        <w:rPr>
          <w:rStyle w:val="Emphasis"/>
        </w:rPr>
        <w:t>across the country, and “do not differ from state to state,”</w:t>
      </w:r>
      <w:r w:rsidRPr="00AA0D15">
        <w:t xml:space="preserve"> according to Michael Cohen, President of Achieve – an independent, bipartisan, non-profit organization that advises states on a variety of academic matters.</w:t>
      </w:r>
    </w:p>
    <w:p w:rsidR="00C47278" w:rsidRPr="00AA0D15" w:rsidRDefault="00C47278" w:rsidP="00C47278"/>
    <w:p w:rsidR="00C47278" w:rsidRPr="00AA0D15" w:rsidRDefault="00C47278" w:rsidP="00C47278"/>
    <w:p w:rsidR="00C47278" w:rsidRPr="00AA0D15" w:rsidRDefault="00C47278" w:rsidP="00C47278">
      <w:pPr>
        <w:pStyle w:val="Heading2"/>
        <w:rPr>
          <w:rFonts w:cs="Times New Roman"/>
        </w:rPr>
      </w:pPr>
      <w:r w:rsidRPr="00AA0D15">
        <w:rPr>
          <w:rFonts w:cs="Times New Roman"/>
        </w:rPr>
        <w:t>NATIVES</w:t>
      </w:r>
    </w:p>
    <w:p w:rsidR="00C47278" w:rsidRPr="00AA0D15" w:rsidRDefault="00C47278" w:rsidP="00C47278">
      <w:pPr>
        <w:pStyle w:val="Heading3"/>
        <w:rPr>
          <w:rFonts w:cs="Times New Roman"/>
        </w:rPr>
      </w:pPr>
      <w:r w:rsidRPr="00AA0D15">
        <w:rPr>
          <w:rFonts w:cs="Times New Roman"/>
        </w:rPr>
        <w:t>1nc solvency</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States are key to reform and comparatively more significant actors in native education policy</w:t>
      </w:r>
    </w:p>
    <w:p w:rsidR="00C47278" w:rsidRPr="002439A5" w:rsidRDefault="00C47278" w:rsidP="002439A5">
      <w:r w:rsidRPr="002439A5">
        <w:rPr>
          <w:rStyle w:val="Style13ptBold"/>
        </w:rPr>
        <w:t>Meza 2015</w:t>
      </w:r>
      <w:r w:rsidRPr="002439A5">
        <w:t xml:space="preserve"> --- Legal and Policy Director at the Utah Diné Bikéyah, a nonprofit working on indigenous community support. (Nizhone Meza, 3-1-2015, “Indian Education: Maintaining Tribal Sovereignty Through Native American Culture and Language Preservation,” Brigham Young University Education and Law Journal, Issue 1, Article 12. http://digitalcommons.law.byu.edu/cgi/viewcontent.cgi?article=1365&amp;context=elj)//ET</w:t>
      </w:r>
    </w:p>
    <w:p w:rsidR="00C47278" w:rsidRPr="00AA0D15" w:rsidRDefault="00C47278" w:rsidP="00C47278">
      <w:pPr>
        <w:rPr>
          <w:rStyle w:val="StyleUnderline"/>
          <w:b/>
          <w:sz w:val="14"/>
        </w:rPr>
      </w:pPr>
      <w:r w:rsidRPr="00AA0D15">
        <w:t xml:space="preserve">IV. CURRENT STATE OF INDIAN EDUCATION Native American students continue to perform at a much lower rate than the general population.41 It is estimated that 81 percent of Indian students read below grade level.42 In 2005, it was estimated that only 50.6 percent of Native American students graduated from high school.43 Furthermore, American Indians and Alaska Native students have significantly lower than average scores “on both the math and verbal portions of the Scholastic Aptitude Test (SAT)” and are the least likely ethnic group to attend college.44 </w:t>
      </w:r>
      <w:r w:rsidRPr="00AA0D15">
        <w:rPr>
          <w:rStyle w:val="Emphasis"/>
        </w:rPr>
        <w:t>American Indian Education policy can no longer be limited to the federal level.</w:t>
      </w:r>
      <w:r w:rsidRPr="00AA0D15">
        <w:t xml:space="preserve"> The 2010 Census revealed that about 70 percent of the American Indian and Alaska Native population now live in metropolitan areas.45 About </w:t>
      </w:r>
      <w:r w:rsidRPr="00AA0D15">
        <w:rPr>
          <w:rStyle w:val="StyleUnderline"/>
        </w:rPr>
        <w:t>90 percent of all American Indian and Alaska Native students attend regular public schools</w:t>
      </w:r>
      <w:r w:rsidRPr="00AA0D15">
        <w:t xml:space="preserve"> with </w:t>
      </w:r>
      <w:r w:rsidRPr="00AA0D15">
        <w:rPr>
          <w:rStyle w:val="StyleUnderline"/>
        </w:rPr>
        <w:t xml:space="preserve">only 7 percent attending schools administered by the United States Bureau of Indian Affairs. </w:t>
      </w:r>
      <w:r w:rsidRPr="00AA0D15">
        <w:t>As a result,</w:t>
      </w:r>
      <w:r w:rsidRPr="00AA0D15">
        <w:rPr>
          <w:rStyle w:val="StyleUnderline"/>
          <w:sz w:val="14"/>
        </w:rPr>
        <w:t xml:space="preserve"> </w:t>
      </w:r>
      <w:r w:rsidRPr="00AA0D15">
        <w:rPr>
          <w:rStyle w:val="Emphasis"/>
        </w:rPr>
        <w:t xml:space="preserve">state education policy impacts the education of Native American and Alaska Native students more than federal policy. </w:t>
      </w:r>
      <w:r w:rsidRPr="00AA0D15">
        <w:rPr>
          <w:rStyle w:val="StyleUnderline"/>
        </w:rPr>
        <w:t xml:space="preserve">The </w:t>
      </w:r>
      <w:r w:rsidRPr="00AA0D15">
        <w:rPr>
          <w:rStyle w:val="Emphasis"/>
        </w:rPr>
        <w:t>influence</w:t>
      </w:r>
      <w:r w:rsidRPr="00AA0D15">
        <w:rPr>
          <w:rStyle w:val="StyleUnderline"/>
        </w:rPr>
        <w:t xml:space="preserve"> of United States Indian Education policy on the independent sovereign states </w:t>
      </w:r>
      <w:r w:rsidRPr="00AA0D15">
        <w:rPr>
          <w:rStyle w:val="Emphasis"/>
        </w:rPr>
        <w:t>is limited and dependent on each individual state</w:t>
      </w:r>
      <w:r w:rsidRPr="00AA0D15">
        <w:rPr>
          <w:rStyle w:val="StyleUnderline"/>
        </w:rPr>
        <w:t xml:space="preserve"> and its state school board’s understanding of federal</w:t>
      </w:r>
      <w:r w:rsidRPr="00AA0D15">
        <w:rPr>
          <w:rStyle w:val="Emphasis"/>
        </w:rPr>
        <w:t xml:space="preserve"> </w:t>
      </w:r>
      <w:r w:rsidRPr="00AA0D15">
        <w:rPr>
          <w:rStyle w:val="StyleUnderline"/>
        </w:rPr>
        <w:t>funds that are intended to benefit the American Indian and Alaska Native student. As</w:t>
      </w:r>
      <w:r w:rsidRPr="00AA0D15">
        <w:rPr>
          <w:rStyle w:val="StyleUnderline"/>
          <w:sz w:val="14"/>
        </w:rPr>
        <w:t xml:space="preserve"> </w:t>
      </w:r>
      <w:r w:rsidRPr="00AA0D15">
        <w:rPr>
          <w:szCs w:val="14"/>
        </w:rPr>
        <w:t>a result</w:t>
      </w:r>
      <w:r w:rsidRPr="00AA0D15">
        <w:rPr>
          <w:rStyle w:val="StyleUnderline"/>
          <w:sz w:val="14"/>
        </w:rPr>
        <w:t xml:space="preserve">, </w:t>
      </w:r>
      <w:r w:rsidRPr="00AA0D15">
        <w:rPr>
          <w:rStyle w:val="StyleUnderline"/>
        </w:rPr>
        <w:t xml:space="preserve">there are sporadic effects on Indian education. </w:t>
      </w:r>
      <w:r w:rsidRPr="00AA0D15">
        <w:rPr>
          <w:sz w:val="14"/>
          <w:szCs w:val="14"/>
        </w:rPr>
        <w:t>Tribal sovereignty is indirectly being affected by the education of the future generation. There are an estimated 209 indigenous languages still spoken in America with 562 recognized sovereign tribal nations in the United States.47 A recent survey48 by the National Indian Education Study (NIES) showed that a higher percentage of students at Bureau of Indian Education (BIE) schools reported having more knowledge of their American Indian/Alaska Native history than in low-density public schools.49 Children are the tribes’ most vital resource to tribal sovereignty, but without student success in education and the foundational knowledge of culture and language, tribal governments may be left ill prepared. V. THE FUTURE OF INDIAN EDUCATION The future of Indian Education remains unknown. However,</w:t>
      </w:r>
      <w:r w:rsidRPr="00AA0D15">
        <w:rPr>
          <w:rStyle w:val="StyleUnderline"/>
          <w:sz w:val="14"/>
        </w:rPr>
        <w:t xml:space="preserve"> </w:t>
      </w:r>
      <w:r w:rsidRPr="00AA0D15">
        <w:rPr>
          <w:rStyle w:val="StyleUnderline"/>
        </w:rPr>
        <w:t>the preservation of culture and language is beginning to be</w:t>
      </w:r>
      <w:r w:rsidRPr="00AA0D15">
        <w:rPr>
          <w:rStyle w:val="StyleUnderline"/>
          <w:sz w:val="14"/>
        </w:rPr>
        <w:t xml:space="preserve"> </w:t>
      </w:r>
      <w:r w:rsidRPr="00AA0D15">
        <w:rPr>
          <w:rStyle w:val="StyleUnderline"/>
        </w:rPr>
        <w:t>recognized</w:t>
      </w:r>
      <w:r w:rsidRPr="00AA0D15">
        <w:rPr>
          <w:rStyle w:val="StyleUnderline"/>
          <w:sz w:val="14"/>
        </w:rPr>
        <w:t xml:space="preserve"> </w:t>
      </w:r>
      <w:r w:rsidRPr="00AA0D15">
        <w:t>federally and</w:t>
      </w:r>
      <w:r w:rsidRPr="00AA0D15">
        <w:rPr>
          <w:rStyle w:val="StyleUnderline"/>
          <w:sz w:val="14"/>
        </w:rPr>
        <w:t xml:space="preserve"> </w:t>
      </w:r>
      <w:r w:rsidRPr="00AA0D15">
        <w:rPr>
          <w:rStyle w:val="StyleUnderline"/>
        </w:rPr>
        <w:t>by a few states</w:t>
      </w:r>
      <w:r w:rsidRPr="00AA0D15">
        <w:rPr>
          <w:rStyle w:val="StyleUnderline"/>
          <w:sz w:val="14"/>
        </w:rPr>
        <w:t xml:space="preserve"> </w:t>
      </w:r>
      <w:r w:rsidRPr="00AA0D15">
        <w:rPr>
          <w:szCs w:val="14"/>
        </w:rPr>
        <w:t>as an indirect means to improve the state of Indian Education. Proposed federal legislation includes financial support for preserving American Indian cultures and languages. State support varies between individual states as well as discrepancies of program implementation among individual school districts within the same state. When all major players influencing the education of Native American students work together</w:t>
      </w:r>
      <w:r w:rsidRPr="00AA0D15">
        <w:t xml:space="preserve">, </w:t>
      </w:r>
      <w:r w:rsidRPr="00AA0D15">
        <w:rPr>
          <w:rStyle w:val="Emphasis"/>
        </w:rPr>
        <w:t xml:space="preserve">the state of Indian education has the potential to make a dramatic turn. </w:t>
      </w:r>
      <w:r w:rsidRPr="00AA0D15">
        <w:rPr>
          <w:rStyle w:val="StyleUnderline"/>
          <w:sz w:val="14"/>
          <w:szCs w:val="14"/>
        </w:rPr>
        <w:t>A</w:t>
      </w:r>
      <w:r w:rsidRPr="00AA0D15">
        <w:rPr>
          <w:sz w:val="14"/>
          <w:szCs w:val="14"/>
        </w:rPr>
        <w:t>. Continued Support for Culture and Language Preservation 1. H.R. 5 – Student Success Act The recently proposed Student Success Act contains many provisions that indirectly preserve tribal sovereignty by restoring traditional culture and language to Indian Education. The bill would revise the current Title VII Indian Education program and consolidate federal funds designated for special populations.50 The Student Success Act would add activities that could be supported by grants such as Native American language immersion programs and Native American language restoration programs.51 However, the pending Student Success Act has garnered mixed reactions. While the House passed the bill with amendments, H.R. 5 only has a 20 percent chance of passing the Senate.52 As of the date of this publication, the bill remains in Senate Committee.53 2. BUILD Act The Building upon Unique Indian Learning and Development Act (BUILD) would expand programs for Native American schools to encourage learning in the children’s Native language and culture and would direct the Comptroller General to conduct research on culture and language to identify the factors that improve education and health outcomes.54 B. Encourage State Support of Culture and Language Preservation With the growing urban population of Native American students subject to state regulations and local school boards, the responsibility for Indian Education no longer lies solely with the federal government.55 States and local entities carry a responsibility for the education of Native American students.56 In Meyers v. Board of Education, a U.S. District Court concluded “that each of the governmental entities involved . . . has an obligation to see that the [Native American students] receive appropriate educational opportunities.”57 Arguably, this includes providing educational opportunities that meet the unique needs of Native American students including aspects of traditional culture and language. 1. Cultural Awareness a. General curriculum. The general curriculum should include the historical perspective of the American Indians.58 Success stories of prominent American Indian figures should be acknowledged and celebrated. American Indian students should be able to stand tall and be proud of their culture, language and heritage. All students should know that American Indians are not historical artifacts or just figures of the past but are contributing members of society today. b. Implementation of Title VII programs. Title VII Indian Education programs should be implemented in all public schools serving Native American students. Such programs build a student’s cultural foundation and connections to the tribe, thereby preserving the tribe’s most vital resource and ultimately, tribal sovereignty. Public school districts are not required to have Title VII Indian Education programs because such programs run on federal grants. However, such programs can have a profound impact in the lives of students that not only contribute to student educational success but preserve a student’s connection to his culture and his tribe. An example of this impact comes from the small community of Spanish Fork, Utah. The high school graduation rate for Native American students in the district was only 37 percent in 1998.59 It was noted that students were unsure of society and because “their cultural influence was no longer part of the classroom, Native American students felt out of place.”60 The high school’s American Indian student graduation rate has tripled since the implementation of the Title VII Indian Education program by the district.61 Traditional songs and dances helped students remember where they came from as they discovered who they were.62 The graduation rate climbed to 92 percent within four years and has not dropped below 80 percent since then.63 Students were able to transcend expectations by making connections from their heritage to the lessons in their textbooks.64 2. Language Preservation</w:t>
      </w:r>
      <w:r w:rsidRPr="00AA0D15">
        <w:rPr>
          <w:rStyle w:val="StyleUnderline"/>
          <w:sz w:val="14"/>
        </w:rPr>
        <w:t xml:space="preserve"> </w:t>
      </w:r>
      <w:r w:rsidRPr="00AA0D15">
        <w:rPr>
          <w:rStyle w:val="StyleUnderline"/>
        </w:rPr>
        <w:t>There are a few states that have recognized the importance of the tribal sovereigns within their borders and have enacted legislation that supports cultural and language preservation. One impressive example of state legislation concerning the preservation of Native American culture is Montana’s Indian Education for All.</w:t>
      </w:r>
      <w:r w:rsidRPr="00AA0D15">
        <w:t>65 “The Indian Education for All is Montana’s constitutionally required program</w:t>
      </w:r>
      <w:r w:rsidRPr="00AA0D15">
        <w:rPr>
          <w:rStyle w:val="StyleUnderline"/>
          <w:sz w:val="14"/>
        </w:rPr>
        <w:t xml:space="preserve"> </w:t>
      </w:r>
      <w:r w:rsidRPr="00AA0D15">
        <w:rPr>
          <w:rStyle w:val="StyleUnderline"/>
        </w:rPr>
        <w:t>that teaches Native American culture in classes throughout the public school system.”</w:t>
      </w:r>
      <w:r w:rsidRPr="00AA0D15">
        <w:rPr>
          <w:sz w:val="14"/>
          <w:szCs w:val="14"/>
        </w:rPr>
        <w:t>66 Additionally, in 2013, a bill that preserves Montana’s several Native American languages was approved in the Senate and headed to the House. It was noted that for some tribes in Montana, there were “only a few remaining speakers of their native tongues.”67 The bill and funding for this pilot program was approved and taken from the Indian Education for All budget with a hope that future funding would be from the general state treasury.68 The pilot program provides funding for the tribes to “develop writings, audio-visual programs, story-telling, language classes and other languagepreservation steps . . . .”69 One lawmaker who participated in an Indian language class said, “It was amazing for me to learn about how the happiness and health of the people within [an Indian tribe were] directly correlated to the tribe knowing their history and their language.”70 The foreign language requirement for many schools is an opportunity for students to learn a different language. For the Native American student, it could be an opportunity to connect to the past and cultural roots of who they are. Connecting to the past helps propel individuals into the future with a vision of who they can become. Building students’ self-confidence and self-esteem would result by allowing Native languages to meet the foreign language requirement</w:t>
      </w:r>
      <w:r w:rsidRPr="00AA0D15">
        <w:rPr>
          <w:rStyle w:val="StyleUnderline"/>
          <w:sz w:val="14"/>
          <w:szCs w:val="14"/>
        </w:rPr>
        <w:t>.</w:t>
      </w:r>
      <w:r w:rsidRPr="00AA0D15">
        <w:rPr>
          <w:rStyle w:val="StyleUnderline"/>
          <w:sz w:val="14"/>
        </w:rPr>
        <w:t xml:space="preserve"> </w:t>
      </w:r>
      <w:r w:rsidRPr="00AA0D15">
        <w:rPr>
          <w:rStyle w:val="StyleUnderline"/>
        </w:rPr>
        <w:t>North Carolina recently passed a bill that allows the Cherokee language to satisfy its state-mandated high school foreign language requirements</w:t>
      </w:r>
      <w:r w:rsidRPr="00AA0D15">
        <w:rPr>
          <w:rStyle w:val="StyleUnderline"/>
          <w:sz w:val="14"/>
        </w:rPr>
        <w:t xml:space="preserve">.71 </w:t>
      </w:r>
      <w:r w:rsidRPr="00AA0D15">
        <w:rPr>
          <w:szCs w:val="14"/>
        </w:rPr>
        <w:t>The mere fact that Native Languages are important enough to count as a graduation requirement builds the view of the importance of the Native culture and therefore builds the individual student’s identity</w:t>
      </w:r>
      <w:r w:rsidRPr="00AA0D15">
        <w:rPr>
          <w:rStyle w:val="StyleUnderline"/>
          <w:sz w:val="14"/>
        </w:rPr>
        <w:t xml:space="preserve">. </w:t>
      </w:r>
      <w:r w:rsidRPr="00AA0D15">
        <w:rPr>
          <w:rStyle w:val="StyleUnderline"/>
        </w:rPr>
        <w:t xml:space="preserve">Many more </w:t>
      </w:r>
      <w:r w:rsidRPr="00AA0D15">
        <w:rPr>
          <w:rStyle w:val="Emphasis"/>
        </w:rPr>
        <w:t xml:space="preserve">states should </w:t>
      </w:r>
      <w:r w:rsidRPr="00AA0D15">
        <w:rPr>
          <w:rStyle w:val="StyleUnderline"/>
        </w:rPr>
        <w:t>seriously consider following North Carolina’s example</w:t>
      </w:r>
      <w:r w:rsidRPr="00AA0D15">
        <w:rPr>
          <w:rStyle w:val="StyleUnderline"/>
          <w:sz w:val="14"/>
        </w:rPr>
        <w:t xml:space="preserve"> </w:t>
      </w:r>
      <w:r w:rsidRPr="00AA0D15">
        <w:rPr>
          <w:rStyle w:val="StyleUnderline"/>
          <w:b/>
          <w:sz w:val="14"/>
        </w:rPr>
        <w:t xml:space="preserve">by allowing Native languages to meet the foreign language requirement for high school graduation. </w:t>
      </w:r>
    </w:p>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States are better and have authority over native education --- federal government control empirically fails</w:t>
      </w:r>
    </w:p>
    <w:p w:rsidR="00C47278" w:rsidRPr="00AA0D15" w:rsidRDefault="00C47278" w:rsidP="00C47278">
      <w:pPr>
        <w:rPr>
          <w:rStyle w:val="Style13ptBold"/>
          <w:b w:val="0"/>
        </w:rPr>
      </w:pPr>
      <w:r w:rsidRPr="00AA0D15">
        <w:rPr>
          <w:rStyle w:val="Style13ptBold"/>
        </w:rPr>
        <w:t xml:space="preserve">McCoy </w:t>
      </w:r>
      <w:r w:rsidR="002439A5">
        <w:rPr>
          <w:rStyle w:val="Style13ptBold"/>
        </w:rPr>
        <w:t>2k</w:t>
      </w:r>
      <w:r w:rsidRPr="00AA0D15">
        <w:rPr>
          <w:rStyle w:val="Style13ptBold"/>
        </w:rPr>
        <w:t xml:space="preserve"> --- </w:t>
      </w:r>
      <w:r w:rsidRPr="00AA0D15">
        <w:rPr>
          <w:rStyle w:val="Style13ptBold"/>
          <w:b w:val="0"/>
        </w:rPr>
        <w:t xml:space="preserve">Staff Attorney at Native American Rights Fund. (“INDIAN EDUCATION LEGAL SUPPORT PROJECT”, </w:t>
      </w:r>
      <w:hyperlink r:id="rId110" w:history="1">
        <w:r w:rsidRPr="00AA0D15">
          <w:rPr>
            <w:rStyle w:val="Style13ptBold"/>
            <w:b w:val="0"/>
          </w:rPr>
          <w:t>http://www.narf.org/wordpress/wp-content/uploads/2015/01/purple.pdf)//E</w:t>
        </w:r>
      </w:hyperlink>
      <w:r w:rsidRPr="00AA0D15">
        <w:rPr>
          <w:rStyle w:val="Style13ptBold"/>
          <w:b w:val="0"/>
        </w:rPr>
        <w:t>T</w:t>
      </w:r>
    </w:p>
    <w:p w:rsidR="00C47278" w:rsidRPr="00AA0D15" w:rsidRDefault="00C47278" w:rsidP="00C47278">
      <w:pPr>
        <w:rPr>
          <w:rStyle w:val="Emphasis"/>
        </w:rPr>
      </w:pPr>
      <w:r w:rsidRPr="00AA0D15">
        <w:rPr>
          <w:sz w:val="14"/>
        </w:rPr>
        <w:t xml:space="preserve">3. </w:t>
      </w:r>
      <w:r w:rsidRPr="00AA0D15">
        <w:rPr>
          <w:rStyle w:val="StyleUnderline"/>
        </w:rPr>
        <w:t>The Transfer to State Control</w:t>
      </w:r>
      <w:r w:rsidRPr="00AA0D15">
        <w:rPr>
          <w:sz w:val="14"/>
        </w:rPr>
        <w:t xml:space="preserve"> As early as 1917, </w:t>
      </w:r>
      <w:r w:rsidRPr="00AA0D15">
        <w:rPr>
          <w:rStyle w:val="StyleUnderline"/>
        </w:rPr>
        <w:t xml:space="preserve">the Commissioner of Indian Affairs was of the view that </w:t>
      </w:r>
      <w:r w:rsidRPr="00AA0D15">
        <w:rPr>
          <w:rStyle w:val="Emphasis"/>
        </w:rPr>
        <w:t>state public schools</w:t>
      </w:r>
      <w:r w:rsidRPr="00AA0D15">
        <w:rPr>
          <w:rStyle w:val="StyleUnderline"/>
        </w:rPr>
        <w:t xml:space="preserve">, not the federal government, should meet most of the Indians’ educational needs. </w:t>
      </w:r>
      <w:r w:rsidRPr="00AA0D15">
        <w:rPr>
          <w:sz w:val="14"/>
        </w:rPr>
        <w:t>This</w:t>
      </w:r>
      <w:r w:rsidRPr="00AA0D15">
        <w:rPr>
          <w:rStyle w:val="StyleUnderline"/>
        </w:rPr>
        <w:t xml:space="preserve"> </w:t>
      </w:r>
      <w:r w:rsidRPr="00AA0D15">
        <w:rPr>
          <w:sz w:val="14"/>
        </w:rPr>
        <w:t>view was driven largely by economic and assimilationist goals</w:t>
      </w:r>
      <w:r w:rsidRPr="00AA0D15">
        <w:rPr>
          <w:rStyle w:val="Emphasis"/>
        </w:rPr>
        <w:t xml:space="preserve">. Federal law and policy began to reduce the federal role in Indian education. </w:t>
      </w:r>
      <w:r w:rsidRPr="00AA0D15">
        <w:rPr>
          <w:rStyle w:val="StyleUnderline"/>
        </w:rPr>
        <w:t>Then, in 1928, the federal Indian school system was among the aspects of federal Indian policy that were harshly criticized in the widely received “The Problem of Indian Administration”</w:t>
      </w:r>
      <w:r w:rsidRPr="00AA0D15">
        <w:rPr>
          <w:sz w:val="14"/>
        </w:rPr>
        <w:t xml:space="preserve"> (also known as “The Meriam Report”). And justifiably so, for </w:t>
      </w:r>
      <w:r w:rsidRPr="00AA0D15">
        <w:rPr>
          <w:rStyle w:val="Emphasis"/>
        </w:rPr>
        <w:t xml:space="preserve">the conditions at the many of the </w:t>
      </w:r>
      <w:r w:rsidRPr="00AA0D15">
        <w:rPr>
          <w:rStyle w:val="StyleUnderline"/>
        </w:rPr>
        <w:t>schools – especially the off-reservation boarding schools –</w:t>
      </w:r>
      <w:r w:rsidRPr="00AA0D15">
        <w:rPr>
          <w:sz w:val="14"/>
        </w:rPr>
        <w:t xml:space="preserve"> </w:t>
      </w:r>
      <w:r w:rsidRPr="00AA0D15">
        <w:rPr>
          <w:rStyle w:val="Emphasis"/>
        </w:rPr>
        <w:t xml:space="preserve">were physically and emotionally damaging to Indian students. </w:t>
      </w:r>
      <w:r w:rsidRPr="00AA0D15">
        <w:rPr>
          <w:sz w:val="14"/>
        </w:rPr>
        <w:t>-22- This prompted the transfer of the primary responsibility for the formal education of American Indians from the federal government to the states. “</w:t>
      </w:r>
      <w:r w:rsidRPr="00AA0D15">
        <w:rPr>
          <w:rStyle w:val="StyleUnderline"/>
        </w:rPr>
        <w:t>Integrating American Indian children into the public school system became the BIA’s educational policy</w:t>
      </w:r>
      <w:r w:rsidRPr="00AA0D15">
        <w:rPr>
          <w:sz w:val="14"/>
        </w:rPr>
        <w:t xml:space="preserve"> from the 1930's (sic) to the 1970's (sic).” Raymond Cross, American Indian Education: The Terror of History and the Nation’s Debt to the Indian People, 21 U.Ark. Little Rock L. Rev. 941, 960 (1999). Many of the federal boarding and day schools were closed; other school properties were conveyed to the states. In exchange for educating Indians, the states insisted on federal funding. The Johnson O’Malley Act of 1934, 25 U.S.C. §§ 452-458e authorized the Secretary of the Interior to contract with states for, among other things, the education of Indians. The Impact Aid Law of 1950, Pub. L. No. 81-874, authorized federal payments to public school that serve children residing on Indian trust lands that are exempt from state property taxation. </w:t>
      </w:r>
      <w:r w:rsidRPr="00AA0D15">
        <w:rPr>
          <w:rStyle w:val="StyleUnderline"/>
        </w:rPr>
        <w:t xml:space="preserve">With the exception of some remaining federal Indian schools, the </w:t>
      </w:r>
      <w:r w:rsidRPr="00AA0D15">
        <w:rPr>
          <w:rStyle w:val="Emphasis"/>
        </w:rPr>
        <w:t xml:space="preserve">federal role </w:t>
      </w:r>
      <w:r w:rsidRPr="00AA0D15">
        <w:rPr>
          <w:rStyle w:val="StyleUnderline"/>
        </w:rPr>
        <w:t xml:space="preserve">in Indian education became </w:t>
      </w:r>
      <w:r w:rsidRPr="00AA0D15">
        <w:rPr>
          <w:rStyle w:val="Emphasis"/>
        </w:rPr>
        <w:t>primarily financial. Control of education standards, policies, and teaching methods for American Indians was vested in the states.</w:t>
      </w:r>
    </w:p>
    <w:p w:rsidR="00C47278" w:rsidRPr="00AA0D15" w:rsidRDefault="00C47278" w:rsidP="00C47278">
      <w:pPr>
        <w:pStyle w:val="Heading4"/>
        <w:rPr>
          <w:rFonts w:cs="Times New Roman"/>
        </w:rPr>
      </w:pPr>
      <w:r w:rsidRPr="00AA0D15">
        <w:rPr>
          <w:rFonts w:cs="Times New Roman"/>
        </w:rPr>
        <w:t>State’s key to native policy --- facilitates tailored approaches</w:t>
      </w:r>
    </w:p>
    <w:p w:rsidR="00C47278" w:rsidRPr="00AA0D15" w:rsidRDefault="00C47278" w:rsidP="00C47278">
      <w:pPr>
        <w:rPr>
          <w:rStyle w:val="Style13ptBold"/>
          <w:b w:val="0"/>
        </w:rPr>
      </w:pPr>
      <w:r w:rsidRPr="00AA0D15">
        <w:rPr>
          <w:rStyle w:val="Style13ptBold"/>
        </w:rPr>
        <w:t xml:space="preserve">Rose 2017 </w:t>
      </w:r>
      <w:r w:rsidRPr="00AA0D15">
        <w:rPr>
          <w:rStyle w:val="Style13ptBold"/>
          <w:b w:val="0"/>
        </w:rPr>
        <w:t>--- Executive Director of the National Indian Education Association.   (Ahniwake, Jan 31, “Giving Native Communities a Seat at the Education Policy Table”, https://tntp.org/blog/post/giving-native-communities-a-seat-at-the-education-policy-table)//ET</w:t>
      </w:r>
    </w:p>
    <w:p w:rsidR="00C47278" w:rsidRPr="00AA0D15" w:rsidRDefault="00C47278" w:rsidP="00C47278">
      <w:r w:rsidRPr="00AA0D15">
        <w:t xml:space="preserve">The third piece </w:t>
      </w:r>
      <w:r w:rsidRPr="00AA0D15">
        <w:rPr>
          <w:rStyle w:val="StyleUnderline"/>
        </w:rPr>
        <w:t>we're really excited about is the opportunity for tribes to run their own Indian Education programs in schools that serve their students</w:t>
      </w:r>
      <w:r w:rsidRPr="00AA0D15">
        <w:t xml:space="preserve">. To do this, </w:t>
      </w:r>
      <w:r w:rsidRPr="00AA0D15">
        <w:rPr>
          <w:rStyle w:val="Emphasis"/>
        </w:rPr>
        <w:t xml:space="preserve">a tribe and the state and district must enter into a cooperative agreement. </w:t>
      </w:r>
      <w:r w:rsidRPr="00AA0D15">
        <w:rPr>
          <w:rStyle w:val="StyleUnderline"/>
        </w:rPr>
        <w:t xml:space="preserve">These agreements establish strong partnerships, ensuring that all parties are working together to meeting the academic and cultural needs of students. </w:t>
      </w:r>
      <w:r w:rsidRPr="00AA0D15">
        <w:t xml:space="preserve">Do you have some </w:t>
      </w:r>
      <w:r w:rsidRPr="00AA0D15">
        <w:rPr>
          <w:rStyle w:val="StyleUnderline"/>
        </w:rPr>
        <w:t>examples of states</w:t>
      </w:r>
      <w:r w:rsidRPr="00AA0D15">
        <w:t xml:space="preserve"> or school districts </w:t>
      </w:r>
      <w:r w:rsidRPr="00AA0D15">
        <w:rPr>
          <w:rStyle w:val="StyleUnderline"/>
        </w:rPr>
        <w:t>that are proactively engaging</w:t>
      </w:r>
      <w:r w:rsidRPr="00AA0D15">
        <w:t xml:space="preserve"> their </w:t>
      </w:r>
      <w:r w:rsidRPr="00AA0D15">
        <w:rPr>
          <w:rStyle w:val="StyleUnderline"/>
        </w:rPr>
        <w:t>Native communities</w:t>
      </w:r>
      <w:r w:rsidRPr="00AA0D15">
        <w:t xml:space="preserve">? Some bright spots? Absolutely, </w:t>
      </w:r>
      <w:r w:rsidRPr="00AA0D15">
        <w:rPr>
          <w:rStyle w:val="StyleUnderline"/>
        </w:rPr>
        <w:t>there are a lot of bright spots.</w:t>
      </w:r>
      <w:r w:rsidRPr="00AA0D15">
        <w:t xml:space="preserve"> </w:t>
      </w:r>
      <w:r w:rsidRPr="00AA0D15">
        <w:rPr>
          <w:rStyle w:val="StyleUnderline"/>
        </w:rPr>
        <w:t xml:space="preserve">Just as tribal nations are unique, </w:t>
      </w:r>
      <w:r w:rsidRPr="00AA0D15">
        <w:rPr>
          <w:rStyle w:val="Emphasis"/>
        </w:rPr>
        <w:t xml:space="preserve">state approaches to working with their tribes are unique. You're going to have to tailor the outreach based on the community and tribe. </w:t>
      </w:r>
      <w:r w:rsidRPr="00AA0D15">
        <w:rPr>
          <w:rStyle w:val="StyleUnderline"/>
        </w:rPr>
        <w:t>Washington state</w:t>
      </w:r>
      <w:r w:rsidRPr="00AA0D15">
        <w:t xml:space="preserve">, for example, </w:t>
      </w:r>
      <w:r w:rsidRPr="00AA0D15">
        <w:rPr>
          <w:rStyle w:val="StyleUnderline"/>
        </w:rPr>
        <w:t>is at the forefront of thinking about how tribes can become actively engaged partners.</w:t>
      </w:r>
      <w:r w:rsidRPr="00AA0D15">
        <w:t xml:space="preserve"> I mentioned that ESSA gives tribes the opportunity to run programs of their own. Washington did excellent work thinking about how tribes can start these programs. The </w:t>
      </w:r>
      <w:r w:rsidRPr="00AA0D15">
        <w:rPr>
          <w:rStyle w:val="Emphasis"/>
        </w:rPr>
        <w:t>Governor meets annually</w:t>
      </w:r>
      <w:r w:rsidRPr="00AA0D15">
        <w:t xml:space="preserve"> </w:t>
      </w:r>
      <w:r w:rsidRPr="00AA0D15">
        <w:rPr>
          <w:rStyle w:val="StyleUnderline"/>
        </w:rPr>
        <w:t>with tribal leaders, and education is one of the top issues that they discuss</w:t>
      </w:r>
      <w:r w:rsidRPr="00AA0D15">
        <w:t xml:space="preserve">. Additionally, </w:t>
      </w:r>
      <w:r w:rsidRPr="00AA0D15">
        <w:rPr>
          <w:rStyle w:val="StyleUnderline"/>
        </w:rPr>
        <w:t>the state Indian Education Director regularly meets with tribal leaders, and goes on visits around the state to make sure schools are running in the way that the tribes would like them to</w:t>
      </w:r>
      <w:r w:rsidRPr="00AA0D15">
        <w:t xml:space="preserve">, so it's a two-way relationship. Another example of engagement is </w:t>
      </w:r>
      <w:r w:rsidRPr="00AA0D15">
        <w:rPr>
          <w:rStyle w:val="StyleUnderline"/>
        </w:rPr>
        <w:t>New Mexico,</w:t>
      </w:r>
      <w:r w:rsidRPr="00AA0D15">
        <w:t xml:space="preserve"> where </w:t>
      </w:r>
      <w:r w:rsidRPr="00AA0D15">
        <w:rPr>
          <w:rStyle w:val="StyleUnderline"/>
        </w:rPr>
        <w:t>tribes have been driven to establish a trusting relationship with public school leadership</w:t>
      </w:r>
      <w:r w:rsidRPr="00AA0D15">
        <w:t xml:space="preserve"> before </w:t>
      </w:r>
      <w:r w:rsidRPr="00AA0D15">
        <w:rPr>
          <w:rStyle w:val="StyleUnderline"/>
        </w:rPr>
        <w:t>engaging with the state leadership.</w:t>
      </w:r>
      <w:r w:rsidRPr="00AA0D15">
        <w:t xml:space="preserve"> Jemez Pueblo tribal education leadership entered into a collaborative relationship with the public and Bureau of Indian Education schools located on Jemez Pueblo land. The education collaborative jointly planned professional development calendars to align with each other. </w:t>
      </w:r>
      <w:r w:rsidRPr="00AA0D15">
        <w:rPr>
          <w:rStyle w:val="StyleUnderline"/>
        </w:rPr>
        <w:t>Collaborative meetings are held for all staff and leadership to come together,</w:t>
      </w:r>
      <w:r w:rsidRPr="00AA0D15">
        <w:t xml:space="preserve"> share successes, discuss challenges, and learn from one another. I also want to acknowledge the </w:t>
      </w:r>
      <w:r w:rsidRPr="00AA0D15">
        <w:rPr>
          <w:rStyle w:val="StyleUnderline"/>
        </w:rPr>
        <w:t>hard work that's taking place in South Dakota</w:t>
      </w:r>
      <w:r w:rsidRPr="00AA0D15">
        <w:t xml:space="preserve">. For the first time ever, </w:t>
      </w:r>
      <w:r w:rsidRPr="00AA0D15">
        <w:rPr>
          <w:rStyle w:val="StyleUnderline"/>
        </w:rPr>
        <w:t>they developed a state Indian education advisory committee</w:t>
      </w:r>
      <w:r w:rsidRPr="00AA0D15">
        <w:t xml:space="preserve">. </w:t>
      </w:r>
      <w:r w:rsidRPr="00AA0D15">
        <w:rPr>
          <w:rStyle w:val="StyleUnderline"/>
        </w:rPr>
        <w:t xml:space="preserve">You now have tribal leaders that are speaking to the state superintendent and notifying them about the needs in their schools. </w:t>
      </w:r>
      <w:r w:rsidRPr="00AA0D15">
        <w:t>Each state is on a different trajectory, but what NIEA is trying to do is identify best practices, and find out the right ways to replicate and adapt these practices to different communities.</w:t>
      </w:r>
    </w:p>
    <w:p w:rsidR="00C47278" w:rsidRPr="00AA0D15" w:rsidRDefault="00C47278" w:rsidP="00C47278">
      <w:pPr>
        <w:pStyle w:val="Heading4"/>
        <w:rPr>
          <w:rFonts w:cs="Times New Roman"/>
          <w:u w:val="single"/>
        </w:rPr>
      </w:pPr>
      <w:r w:rsidRPr="00AA0D15">
        <w:rPr>
          <w:rFonts w:cs="Times New Roman"/>
        </w:rPr>
        <w:t xml:space="preserve">Even the federal government suggests </w:t>
      </w:r>
      <w:r w:rsidRPr="00AA0D15">
        <w:rPr>
          <w:rFonts w:cs="Times New Roman"/>
          <w:u w:val="single"/>
        </w:rPr>
        <w:t>states take the lead</w:t>
      </w:r>
    </w:p>
    <w:p w:rsidR="00C47278" w:rsidRPr="00AA0D15" w:rsidRDefault="00C47278" w:rsidP="00C47278">
      <w:pPr>
        <w:rPr>
          <w:rStyle w:val="Style13ptBold"/>
          <w:b w:val="0"/>
        </w:rPr>
      </w:pPr>
      <w:r w:rsidRPr="00AA0D15">
        <w:rPr>
          <w:rStyle w:val="Style13ptBold"/>
        </w:rPr>
        <w:t xml:space="preserve">McCoy 2000 </w:t>
      </w:r>
      <w:r w:rsidRPr="00AA0D15">
        <w:rPr>
          <w:rStyle w:val="Style13ptBold"/>
          <w:b w:val="0"/>
        </w:rPr>
        <w:t xml:space="preserve">--- Staff Attorney at Native American Rights Fund. (“INDIAN EDUCATION LEGAL SUPPORT PROJECT”, </w:t>
      </w:r>
      <w:hyperlink r:id="rId111" w:history="1">
        <w:r w:rsidRPr="00AA0D15">
          <w:rPr>
            <w:rStyle w:val="Style13ptBold"/>
            <w:b w:val="0"/>
          </w:rPr>
          <w:t>http://www.narf.org/wordpress/wp-content/uploads/2015/01/purple.pdf)//E</w:t>
        </w:r>
      </w:hyperlink>
      <w:r w:rsidRPr="00AA0D15">
        <w:rPr>
          <w:rStyle w:val="Style13ptBold"/>
          <w:b w:val="0"/>
        </w:rPr>
        <w:t>T</w:t>
      </w:r>
    </w:p>
    <w:p w:rsidR="00C47278" w:rsidRPr="00AA0D15" w:rsidRDefault="00C47278" w:rsidP="00C47278">
      <w:r w:rsidRPr="00AA0D15">
        <w:t xml:space="preserve">The Need is Evident but </w:t>
      </w:r>
      <w:r w:rsidRPr="00AA0D15">
        <w:rPr>
          <w:rStyle w:val="StyleUnderline"/>
        </w:rPr>
        <w:t>Affirmative Steps Must Be Taken Indian tribes are sovereign governments just as their state and federal counterparts</w:t>
      </w:r>
      <w:r w:rsidRPr="00AA0D15">
        <w:t xml:space="preserve">. Many federal reports and </w:t>
      </w:r>
      <w:r w:rsidRPr="00AA0D15">
        <w:rPr>
          <w:rStyle w:val="StyleUnderline"/>
        </w:rPr>
        <w:t>some</w:t>
      </w:r>
      <w:r w:rsidRPr="00AA0D15">
        <w:t xml:space="preserve"> federal and </w:t>
      </w:r>
      <w:r w:rsidRPr="00AA0D15">
        <w:rPr>
          <w:rStyle w:val="StyleUnderline"/>
        </w:rPr>
        <w:t>state laws have focused on Indian education problems. Some reports and laws have pointed out the need to increase the role of tribal governments to address the problems</w:t>
      </w:r>
      <w:r w:rsidRPr="00AA0D15">
        <w:t xml:space="preserve">. But </w:t>
      </w:r>
      <w:r w:rsidRPr="00AA0D15">
        <w:rPr>
          <w:rStyle w:val="StyleUnderline"/>
        </w:rPr>
        <w:t>instead of requiring active tribal government involvement</w:t>
      </w:r>
      <w:r w:rsidRPr="00AA0D15">
        <w:t xml:space="preserve">, </w:t>
      </w:r>
      <w:r w:rsidRPr="00AA0D15">
        <w:rPr>
          <w:rStyle w:val="StyleUnderline"/>
        </w:rPr>
        <w:t>most federal and state education programs</w:t>
      </w:r>
      <w:r w:rsidRPr="00AA0D15">
        <w:t xml:space="preserve"> and processes </w:t>
      </w:r>
      <w:r w:rsidRPr="00AA0D15">
        <w:rPr>
          <w:rStyle w:val="StyleUnderline"/>
        </w:rPr>
        <w:t>circumvent tribal governments and maintain non-Indian federal and state government control over the intent, goals, approaches, funding, staffing, and curriculum for Indian education</w:t>
      </w:r>
      <w:r w:rsidRPr="00AA0D15">
        <w:t xml:space="preserve">. And there are no effective programs to establish tribal education codes or operate tribal education departments. The three sovereign governments in this country have a major stake in Indian education. Common sense dictates that tribal governments have the most at stake because it involves their children, their most precious resource, and their future for perpetuating tribes. Some progress has been made because of Indian education programs, Indian parent committees, Indian school boards, and tribally-controlled colleges. Some progress has been made through a measured amount of tribal control and input under laws that include the Indian Education Act of 1988, the Indian Self-Determination and Education Assistance Act of 1975, the Elementary and Secondary Education Act of 1965, and the Impact Aid Laws of 1950. Conclusion </w:t>
      </w:r>
      <w:r w:rsidRPr="00AA0D15">
        <w:rPr>
          <w:rStyle w:val="StyleUnderline"/>
        </w:rPr>
        <w:t>More direct tribal control of Indian education is needed</w:t>
      </w:r>
      <w:r w:rsidRPr="00AA0D15">
        <w:t xml:space="preserve">, and more direct control is the next logical step for many tribes. </w:t>
      </w:r>
      <w:r w:rsidRPr="00AA0D15">
        <w:rPr>
          <w:rStyle w:val="Emphasis"/>
        </w:rPr>
        <w:t>Federal</w:t>
      </w:r>
      <w:r w:rsidRPr="00AA0D15">
        <w:rPr>
          <w:rStyle w:val="StyleUnderline"/>
        </w:rPr>
        <w:t xml:space="preserve"> reports and </w:t>
      </w:r>
      <w:r w:rsidRPr="00AA0D15">
        <w:rPr>
          <w:rStyle w:val="Emphasis"/>
        </w:rPr>
        <w:t>recommendations call for partnerships between tribes and state schools,</w:t>
      </w:r>
      <w:r w:rsidRPr="00AA0D15">
        <w:t xml:space="preserve"> </w:t>
      </w:r>
      <w:r w:rsidRPr="00AA0D15">
        <w:rPr>
          <w:rStyle w:val="Emphasis"/>
        </w:rPr>
        <w:t>tribal approval of state education plans,</w:t>
      </w:r>
      <w:r w:rsidRPr="00AA0D15">
        <w:rPr>
          <w:rStyle w:val="StyleUnderline"/>
        </w:rPr>
        <w:t xml:space="preserve"> and tribal education codes, plans, and standards. Tribal control of education is a fact of life in a small number of tribes and more tribal communities want to assume this control</w:t>
      </w:r>
      <w:r w:rsidRPr="00AA0D15">
        <w:t xml:space="preserve">. But tribes have been denied this opportunity and responsibility and have been "out of the loop" for decision-making and accountability. </w:t>
      </w:r>
      <w:r w:rsidRPr="00AA0D15">
        <w:rPr>
          <w:rStyle w:val="StyleUnderline"/>
        </w:rPr>
        <w:t>For Indian education to succeed</w:t>
      </w:r>
      <w:r w:rsidRPr="00AA0D15">
        <w:t xml:space="preserve">, federal and </w:t>
      </w:r>
      <w:r w:rsidRPr="00AA0D15">
        <w:rPr>
          <w:rStyle w:val="Emphasis"/>
        </w:rPr>
        <w:t>state governments</w:t>
      </w:r>
      <w:r w:rsidRPr="00AA0D15">
        <w:rPr>
          <w:rStyle w:val="StyleUnderline"/>
        </w:rPr>
        <w:t xml:space="preserve"> must allow tribes the opportunity to regain control and make decisions, be accountable, and help shape their children's future and their own future as tribes.</w:t>
      </w:r>
      <w:r w:rsidRPr="00AA0D15">
        <w:t xml:space="preserve"> NARF intends to ensure that tribes gain the legal control over education that they deserve as sovereign governments and that they must have for Indian education success.</w:t>
      </w:r>
    </w:p>
    <w:p w:rsidR="00C47278" w:rsidRPr="00AA0D15" w:rsidRDefault="00C47278" w:rsidP="00C47278">
      <w:pPr>
        <w:pStyle w:val="Heading4"/>
        <w:rPr>
          <w:rFonts w:cs="Times New Roman"/>
        </w:rPr>
      </w:pPr>
      <w:r w:rsidRPr="00AA0D15">
        <w:rPr>
          <w:rFonts w:cs="Times New Roman"/>
        </w:rPr>
        <w:t>States solve lack of teacher diversity --- that’s key</w:t>
      </w:r>
    </w:p>
    <w:p w:rsidR="00C47278" w:rsidRPr="00AA0D15" w:rsidRDefault="00C47278" w:rsidP="00C47278">
      <w:pPr>
        <w:rPr>
          <w:rStyle w:val="Style13ptBold"/>
        </w:rPr>
      </w:pPr>
      <w:r w:rsidRPr="00AA0D15">
        <w:rPr>
          <w:rStyle w:val="Style13ptBold"/>
        </w:rPr>
        <w:t xml:space="preserve">Jin et al. 2 </w:t>
      </w:r>
      <w:r w:rsidRPr="00AA0D15">
        <w:rPr>
          <w:rStyle w:val="Style13ptBold"/>
          <w:b w:val="0"/>
        </w:rPr>
        <w:t>--- Les Jin, Mary Frances Berry, Cruz Reynoso, Jennifer C. Braceras, Christopher Edley, Elsie Meeks, Abigail Thernstrom, Victoria Wilson are all members of the Alaska Advisory Committee to the U.S. Commission on Civil Rights. (“Racism’s Frontier: The Untold Story of Discrimination and Division in Alaska”, http://www.usccr.gov/pubs/sac/ak0402/ak02.pdf)//ET</w:t>
      </w:r>
      <w:r w:rsidRPr="00AA0D15">
        <w:rPr>
          <w:rStyle w:val="Style13ptBold"/>
        </w:rPr>
        <w:t xml:space="preserve"> </w:t>
      </w:r>
    </w:p>
    <w:p w:rsidR="00C47278" w:rsidRPr="00AA0D15" w:rsidRDefault="00C47278" w:rsidP="00C47278">
      <w:pPr>
        <w:rPr>
          <w:sz w:val="10"/>
        </w:rPr>
      </w:pPr>
      <w:r w:rsidRPr="00AA0D15">
        <w:rPr>
          <w:rStyle w:val="StyleUnderline"/>
        </w:rPr>
        <w:t xml:space="preserve">Lack of Teacher Diversity and Cultural Integration </w:t>
      </w:r>
      <w:r w:rsidRPr="00AA0D15">
        <w:rPr>
          <w:sz w:val="10"/>
        </w:rPr>
        <w:t xml:space="preserve">Forum participants agreed that a </w:t>
      </w:r>
      <w:r w:rsidRPr="00AA0D15">
        <w:rPr>
          <w:rStyle w:val="StyleUnderline"/>
        </w:rPr>
        <w:t>major impediment to educational success for Native students is the lack of cultural integration in the school system.</w:t>
      </w:r>
      <w:r w:rsidRPr="00AA0D15">
        <w:rPr>
          <w:sz w:val="10"/>
        </w:rPr>
        <w:t xml:space="preserve"> Panelists attributed the inadequacy, in part, to a dearth of Native Alaskan teachers and administrators. In fact, in all of the state’s elementary and secondary public schools (including rural schools), only 5 percent of teachers are Native Alaskan, compared with a Native student population of 23 percent.26 In the Anchorage School District, only 2 percent of the professional work force (teachers and administrators) are Alaska Native; 89 percent are white.27 As a result, “children of color are not looking at people [who] look like them within the classroom.”28 According to one panelist, “many of these new teachers who teach our Alaska Native students know nothing about the language and culture of our communities and, therefore, our children are not being taught from their prior knowledge.”29 Because of Alaska’s unique diversity, there is also a special need for educators who can teach in multiple languages. Yet, there is a severe shortage of bilingual teachers in Alaska. Only 159 teachers statewide are endorsed to teach English as a second language for 19,700 bilingual students speaking more than 100 languages.30 Half of the state’s English as a second language (ESL) students are Alaska Native. In the school district of Anchorage alone, 89 different languages are spoken by students. Education experts contend that the absence of a diverse teaching force stems from state recruitment practices—70 to 80 percent of teachers in Alaska are recruited from out of state.31 Teachers accepting positions in rural areas, in particular, are not properly instructed on the cultural differences they will encounter and are often not prepared to face the harsh conditions and lack of resources common in rural areas.32 Conversely, when Native teachers are hired, they often face an environment that is not supportive and end up leaving the education system for other careers. One Alaska resident and former teacher spoke of her experience as the lone Alaska Native in her high school: I got the job by forcing the school district to hire qualified Alaska Natives. The Anchorage School District habitually recruits teachers from outside because they do not respect us as Natives. It doesn’t matter how qualified you are. But as a Native, you get to the end of the job line when it comes to employment. . . . As a teacher I was covered with a shroud of racism and prejudice. . . . I can say this because Anchorage to me is my South Africa. It is a sad commentary to a beautiful state.33 The </w:t>
      </w:r>
      <w:r w:rsidRPr="00AA0D15">
        <w:rPr>
          <w:rStyle w:val="Emphasis"/>
        </w:rPr>
        <w:t xml:space="preserve">State Department of Education is currently conducting a study </w:t>
      </w:r>
      <w:r w:rsidRPr="00AA0D15">
        <w:rPr>
          <w:rStyle w:val="StyleUnderline"/>
        </w:rPr>
        <w:t>of the teachers who leave their profession</w:t>
      </w:r>
      <w:r w:rsidRPr="00AA0D15">
        <w:rPr>
          <w:sz w:val="10"/>
        </w:rPr>
        <w:t xml:space="preserve"> in Alaska, why, </w:t>
      </w:r>
      <w:r w:rsidRPr="00AA0D15">
        <w:rPr>
          <w:rStyle w:val="StyleUnderline"/>
        </w:rPr>
        <w:t>and with whom they are being replaced</w:t>
      </w:r>
      <w:r w:rsidRPr="00AA0D15">
        <w:rPr>
          <w:sz w:val="10"/>
        </w:rPr>
        <w:t xml:space="preserve">. In addition, according to the superintendent of the Anchorage School District, the </w:t>
      </w:r>
      <w:r w:rsidRPr="00AA0D15">
        <w:rPr>
          <w:rStyle w:val="StyleUnderline"/>
        </w:rPr>
        <w:t>district is “trying very, very hard to hire Alaska Native teachers and minority teachers and administrators,”</w:t>
      </w:r>
      <w:r w:rsidRPr="00AA0D15">
        <w:rPr>
          <w:sz w:val="10"/>
        </w:rPr>
        <w:t xml:space="preserve"> but the efforts have not been as successful as hoped.34 She added: We have to establish career ladders. We have to . . . reach out to our aides and to our paraprofessionals as well as some of our citizens in the community and encourage them to enter into the educational p fession.35 ron: </w:t>
      </w:r>
      <w:r w:rsidRPr="00AA0D15">
        <w:rPr>
          <w:rStyle w:val="StyleUnderline"/>
        </w:rPr>
        <w:t xml:space="preserve">There already exists a large pool of Native Alaskan instructional aides working in rural schools, but because of a lack of accessible teacher-training programs, they often face difficulty getting teacher certification </w:t>
      </w:r>
      <w:r w:rsidRPr="00AA0D15">
        <w:rPr>
          <w:sz w:val="10"/>
        </w:rPr>
        <w:t xml:space="preserve">and permanent jobs. </w:t>
      </w:r>
      <w:r w:rsidRPr="00AA0D15">
        <w:rPr>
          <w:rStyle w:val="StyleUnderline"/>
        </w:rPr>
        <w:t xml:space="preserve">The Department of Education </w:t>
      </w:r>
      <w:r w:rsidRPr="00AA0D15">
        <w:rPr>
          <w:rStyle w:val="Emphasis"/>
        </w:rPr>
        <w:t xml:space="preserve">must find ways to tap into this valuable resource. </w:t>
      </w:r>
      <w:r w:rsidRPr="00AA0D15">
        <w:rPr>
          <w:sz w:val="10"/>
        </w:rPr>
        <w:t>There have been attempts to improve access to teacher-training programs, thereby increasing the number of Native Alaskans certified to teach in the state. For example, a statewide Rural Teacher Education Program uses the Internet, audio conferencing, and in-person instruction to assist prospective teachers with obtaining an education degree.36 The University of Alaska at Fairbanks has established another program called the Rural Educator Preparation Partnership. This program’s goal is to help Native Alaskans obtain certification to teach in their own village schools through one year of hands-on training with a mentor.</w:t>
      </w:r>
    </w:p>
    <w:p w:rsidR="00C47278" w:rsidRPr="00AA0D15" w:rsidRDefault="00C47278" w:rsidP="00C47278">
      <w:pPr>
        <w:pStyle w:val="Heading3"/>
        <w:rPr>
          <w:rFonts w:cs="Times New Roman"/>
        </w:rPr>
      </w:pPr>
      <w:r w:rsidRPr="00AA0D15">
        <w:rPr>
          <w:rFonts w:cs="Times New Roman"/>
        </w:rPr>
        <w:t>Federal solvency deficits</w:t>
      </w:r>
    </w:p>
    <w:p w:rsidR="00C47278" w:rsidRPr="00AA0D15" w:rsidRDefault="00C47278" w:rsidP="00C47278">
      <w:pPr>
        <w:pStyle w:val="Heading4"/>
        <w:rPr>
          <w:rFonts w:cs="Times New Roman"/>
        </w:rPr>
      </w:pPr>
      <w:r w:rsidRPr="00AA0D15">
        <w:rPr>
          <w:rFonts w:cs="Times New Roman"/>
        </w:rPr>
        <w:t>Federal native education agencies are inefficient, corrupt and incompetent</w:t>
      </w:r>
    </w:p>
    <w:p w:rsidR="00C47278" w:rsidRPr="00AA0D15" w:rsidRDefault="00C47278" w:rsidP="00C47278">
      <w:pPr>
        <w:rPr>
          <w:rStyle w:val="Style13ptBold"/>
          <w:b w:val="0"/>
        </w:rPr>
      </w:pPr>
      <w:r w:rsidRPr="00AA0D15">
        <w:rPr>
          <w:rStyle w:val="Style13ptBold"/>
        </w:rPr>
        <w:t xml:space="preserve">Hunt 12 </w:t>
      </w:r>
      <w:r w:rsidRPr="00AA0D15">
        <w:rPr>
          <w:rStyle w:val="Style13ptBold"/>
          <w:b w:val="0"/>
        </w:rPr>
        <w:t>--- PhD candidate at Walden University in Philosophy. (Darek Hunt, January 30, “BIA’s Impact on Indian Education Is an Education in Bad Education”, https://indiancountrymedianetwork.com/news/bias-impact-on-indian-education-is-an-education-in-bad-education/)//ET</w:t>
      </w:r>
    </w:p>
    <w:p w:rsidR="00C47278" w:rsidRPr="00AA0D15" w:rsidRDefault="00C47278" w:rsidP="00C47278">
      <w:pPr>
        <w:rPr>
          <w:rStyle w:val="StyleUnderline"/>
        </w:rPr>
      </w:pPr>
      <w:r w:rsidRPr="00AA0D15">
        <w:t xml:space="preserve">In 1984, a </w:t>
      </w:r>
      <w:r w:rsidRPr="00AA0D15">
        <w:rPr>
          <w:rStyle w:val="StyleUnderline"/>
        </w:rPr>
        <w:t>Presidential Commission on Indian Reservation Economies</w:t>
      </w:r>
      <w:r w:rsidRPr="00AA0D15">
        <w:t xml:space="preserve"> </w:t>
      </w:r>
      <w:r w:rsidRPr="00AA0D15">
        <w:rPr>
          <w:rStyle w:val="StyleUnderline"/>
        </w:rPr>
        <w:t>was critical of the BIA for “</w:t>
      </w:r>
      <w:r w:rsidRPr="00AA0D15">
        <w:rPr>
          <w:rStyle w:val="Emphasis"/>
        </w:rPr>
        <w:t>incompetent</w:t>
      </w:r>
      <w:r w:rsidRPr="00AA0D15">
        <w:rPr>
          <w:rStyle w:val="StyleUnderline"/>
        </w:rPr>
        <w:t xml:space="preserve">” management of trust assets; excessive regulations </w:t>
      </w:r>
      <w:r w:rsidRPr="00AA0D15">
        <w:rPr>
          <w:rStyle w:val="Emphasis"/>
        </w:rPr>
        <w:t>and “red tape”; “incompetent” technical assistance</w:t>
      </w:r>
      <w:r w:rsidRPr="00AA0D15">
        <w:rPr>
          <w:rStyle w:val="StyleUnderline"/>
        </w:rPr>
        <w:t xml:space="preserve"> to tribes; and “</w:t>
      </w:r>
      <w:r w:rsidRPr="00AA0D15">
        <w:rPr>
          <w:rStyle w:val="Emphasis"/>
        </w:rPr>
        <w:t>deficient” performance of activities</w:t>
      </w:r>
      <w:r w:rsidRPr="00AA0D15">
        <w:rPr>
          <w:rStyle w:val="StyleUnderline"/>
        </w:rPr>
        <w:t xml:space="preserve"> such as credit, finance, contracting and procurement. T</w:t>
      </w:r>
      <w:r w:rsidRPr="00AA0D15">
        <w:t>he commission recommended the abolition of the BIA and its replacement with a new agency to be called the Indian Trust Services Administration, which would have granted funds to tribes to contract for their own services. At hearings in 1989, a Special Committee on Investigations of the Senate Select Committee on Indian Affairs probed the allegations against the BIA. The special committee’s investigation led Senator Dennis DeConcini, its chairman, to conclude that “[</w:t>
      </w:r>
      <w:r w:rsidRPr="00AA0D15">
        <w:rPr>
          <w:rStyle w:val="StyleUnderline"/>
        </w:rPr>
        <w:t xml:space="preserve">many] of the federal Indian programs are fraught with </w:t>
      </w:r>
      <w:r w:rsidRPr="00AA0D15">
        <w:rPr>
          <w:rStyle w:val="Emphasis"/>
        </w:rPr>
        <w:t>corruption and fraud</w:t>
      </w:r>
      <w:r w:rsidRPr="00AA0D15">
        <w:rPr>
          <w:rStyle w:val="StyleUnderline"/>
        </w:rPr>
        <w:t xml:space="preserve">. Most of the others are marred by mismanagement and some by incompetence.” </w:t>
      </w:r>
      <w:r w:rsidRPr="00AA0D15">
        <w:t xml:space="preserve">While </w:t>
      </w:r>
      <w:r w:rsidRPr="00AA0D15">
        <w:rPr>
          <w:rStyle w:val="StyleUnderline"/>
        </w:rPr>
        <w:t>tribes</w:t>
      </w:r>
      <w:r w:rsidRPr="00AA0D15">
        <w:t xml:space="preserve"> have taken on much more responsibility in the educating of their youth, they </w:t>
      </w:r>
      <w:r w:rsidRPr="00AA0D15">
        <w:rPr>
          <w:rStyle w:val="StyleUnderline"/>
        </w:rPr>
        <w:t>still have to deal with the BIA for funding and grant requests</w:t>
      </w:r>
      <w:r w:rsidRPr="00AA0D15">
        <w:t xml:space="preserve">. It has only been in the past 40 years that the focus has shifted from what the government wants to what the Native community wants and needs. </w:t>
      </w:r>
      <w:r w:rsidRPr="00AA0D15">
        <w:rPr>
          <w:rStyle w:val="StyleUnderline"/>
        </w:rPr>
        <w:t>Since the role of the BIA continues to be a major factor regardless of mismanagement and corruption issues, Natives will have to work with them until true self-determination is achieved.</w:t>
      </w:r>
    </w:p>
    <w:p w:rsidR="00C47278" w:rsidRPr="00AA0D15" w:rsidRDefault="00C47278" w:rsidP="00C47278">
      <w:pPr>
        <w:pStyle w:val="Heading4"/>
        <w:rPr>
          <w:rFonts w:cs="Times New Roman"/>
        </w:rPr>
      </w:pPr>
      <w:r w:rsidRPr="00AA0D15">
        <w:rPr>
          <w:rFonts w:cs="Times New Roman"/>
        </w:rPr>
        <w:t xml:space="preserve">Federal government native education reforms get circumvented </w:t>
      </w:r>
    </w:p>
    <w:p w:rsidR="00C47278" w:rsidRPr="00AA0D15" w:rsidRDefault="00C47278" w:rsidP="00C47278">
      <w:pPr>
        <w:rPr>
          <w:rStyle w:val="Style13ptBold"/>
          <w:b w:val="0"/>
        </w:rPr>
      </w:pPr>
      <w:r w:rsidRPr="00AA0D15">
        <w:rPr>
          <w:rStyle w:val="Style13ptBold"/>
        </w:rPr>
        <w:t xml:space="preserve">Severns 2015 </w:t>
      </w:r>
      <w:r w:rsidRPr="00AA0D15">
        <w:rPr>
          <w:rStyle w:val="Style13ptBold"/>
          <w:b w:val="0"/>
        </w:rPr>
        <w:t>--- journalist for Campaign Pro, BA from Dartmouth. (MAGGIE SEVERNS, 11/25/15, “How Washington created some of the worst schools in America”, Politico. http://www.politico.com/story/2015/11/how-washington-created-the-worst-schools-in-america-215774)//ET</w:t>
      </w:r>
    </w:p>
    <w:p w:rsidR="00C47278" w:rsidRPr="00AA0D15" w:rsidRDefault="00C47278" w:rsidP="00C47278">
      <w:pPr>
        <w:rPr>
          <w:rStyle w:val="Emphasis"/>
        </w:rPr>
      </w:pPr>
      <w:r w:rsidRPr="00AA0D15">
        <w:t xml:space="preserve">Crystal is one of 183 schools for Native American children scattered across reservations in 23 states and reporting to the federal Bureau of Indian Education, a small agency buried deep inside the sprawling and compartmentalized bureaucracy of the Department of the Interior. </w:t>
      </w:r>
      <w:r w:rsidRPr="00AA0D15">
        <w:rPr>
          <w:rStyle w:val="StyleUnderline"/>
        </w:rPr>
        <w:t>The 48,000 students unfortunate enough to attend BIE schools have some of the lowest test scores and graduation rates in the country</w:t>
      </w:r>
      <w:r w:rsidRPr="00AA0D15">
        <w:t xml:space="preserve"> — even </w:t>
      </w:r>
      <w:r w:rsidRPr="00AA0D15">
        <w:rPr>
          <w:rStyle w:val="StyleUnderline"/>
        </w:rPr>
        <w:t>as the education they’re getting is among the nation’s most expensive</w:t>
      </w:r>
      <w:r w:rsidRPr="00AA0D15">
        <w:t xml:space="preserve">: At $15,000 per pupil, </w:t>
      </w:r>
      <w:r w:rsidRPr="00AA0D15">
        <w:rPr>
          <w:rStyle w:val="Emphasis"/>
        </w:rPr>
        <w:t xml:space="preserve">the system costs 56 percent more than the national average. </w:t>
      </w:r>
      <w:r w:rsidRPr="00AA0D15">
        <w:t xml:space="preserve">“Frankly, </w:t>
      </w:r>
      <w:r w:rsidRPr="00AA0D15">
        <w:rPr>
          <w:rStyle w:val="StyleUnderline"/>
        </w:rPr>
        <w:t>we spend an enormous amount per student relative to other school systems for terrible results,</w:t>
      </w:r>
      <w:r w:rsidRPr="00AA0D15">
        <w:t xml:space="preserve">” Cecilia Muñoz, director of the White House Domestic Policy Council, said. A year ago, </w:t>
      </w:r>
      <w:r w:rsidRPr="00AA0D15">
        <w:rPr>
          <w:rStyle w:val="StyleUnderline"/>
        </w:rPr>
        <w:t>Obama</w:t>
      </w:r>
      <w:r w:rsidRPr="00AA0D15">
        <w:t xml:space="preserve"> decided to finally tackle the problem, a decision he pushed his team to make after an emotional visit to a Sioux reservation in the Dakotas. He </w:t>
      </w:r>
      <w:r w:rsidRPr="00AA0D15">
        <w:rPr>
          <w:rStyle w:val="StyleUnderline"/>
        </w:rPr>
        <w:t>told his Cabinet to “establish a pathway that leads to change” and that he would hold them accountable.</w:t>
      </w:r>
      <w:r w:rsidRPr="00AA0D15">
        <w:t xml:space="preserve"> </w:t>
      </w:r>
      <w:r w:rsidRPr="00AA0D15">
        <w:rPr>
          <w:rStyle w:val="StyleUnderline"/>
        </w:rPr>
        <w:t>His Interior Department has proposed a sweeping plan</w:t>
      </w:r>
      <w:r w:rsidRPr="00AA0D15">
        <w:t xml:space="preserve"> to allow more tribal control over the schools and rework the Bureau of Indian Education </w:t>
      </w:r>
      <w:r w:rsidRPr="00AA0D15">
        <w:rPr>
          <w:rStyle w:val="StyleUnderline"/>
        </w:rPr>
        <w:t>into a streamlined, modern school system</w:t>
      </w:r>
      <w:r w:rsidRPr="00AA0D15">
        <w:t xml:space="preserve"> — preferably before the end of Obama's term. But </w:t>
      </w:r>
      <w:r w:rsidRPr="00AA0D15">
        <w:rPr>
          <w:rStyle w:val="Emphasis"/>
        </w:rPr>
        <w:t>resistance</w:t>
      </w:r>
      <w:r w:rsidRPr="00AA0D15">
        <w:t xml:space="preserve">, both </w:t>
      </w:r>
      <w:r w:rsidRPr="00AA0D15">
        <w:rPr>
          <w:rStyle w:val="Emphasis"/>
        </w:rPr>
        <w:t>within the agency and on the reservations, is high</w:t>
      </w:r>
      <w:r w:rsidRPr="00AA0D15">
        <w:t xml:space="preserve">. Critics say the </w:t>
      </w:r>
      <w:r w:rsidRPr="00AA0D15">
        <w:rPr>
          <w:rStyle w:val="Emphasis"/>
        </w:rPr>
        <w:t>changes are rushed and poorly communicated</w:t>
      </w:r>
      <w:r w:rsidRPr="00AA0D15">
        <w:t xml:space="preserve">. They warn that paring back the federal government’s role will only make it easier to under-invest in schools that, by almost any measure, need money and resources the most. </w:t>
      </w:r>
      <w:r w:rsidRPr="00AA0D15">
        <w:rPr>
          <w:rStyle w:val="StyleUnderline"/>
        </w:rPr>
        <w:t xml:space="preserve">When all the Washington fighting is over, it’s possible, those critics say, that </w:t>
      </w:r>
      <w:r w:rsidRPr="00AA0D15">
        <w:rPr>
          <w:rStyle w:val="Emphasis"/>
        </w:rPr>
        <w:t>some of the worst schools in America will get even worse.</w:t>
      </w:r>
    </w:p>
    <w:p w:rsidR="00C47278" w:rsidRPr="00AA0D15" w:rsidRDefault="00C47278" w:rsidP="00C47278">
      <w:pPr>
        <w:pStyle w:val="Heading3"/>
        <w:rPr>
          <w:rFonts w:cs="Times New Roman"/>
        </w:rPr>
      </w:pPr>
      <w:r w:rsidRPr="00AA0D15">
        <w:rPr>
          <w:rFonts w:cs="Times New Roman"/>
        </w:rPr>
        <w:t>Solvency – ESA</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State promoted Education Savings Accounts are superior to any federal Bureau of Indian Education reforms</w:t>
      </w:r>
    </w:p>
    <w:p w:rsidR="00C47278" w:rsidRPr="002439A5" w:rsidRDefault="00C47278" w:rsidP="002439A5">
      <w:r w:rsidRPr="002439A5">
        <w:rPr>
          <w:rStyle w:val="Style13ptBold"/>
        </w:rPr>
        <w:t>Burke and Thackston 2016</w:t>
      </w:r>
      <w:r w:rsidRPr="002439A5">
        <w:t xml:space="preserve"> --- Burke, education policy fellow at Heritage, BA in Political Science from Hollins University, Master of Teaching in Foreign Language Education from the University of Virginia, Doctoral Student in Education Policy and Research Methods at George Mason University, Since Publication: the Director of Education Policy at the Heritage Foundation, Thackston, member of the Young Leaders Program at The Heritage Foundation, BA in Philosophy and Politics from Hillsdale College, Since Publication: George Washington Fellow at Hillsdale College, President and CEO for A Few Good Men, Policy Intern at Americans for Prosperity, (Lindsey Burke and Jacob Thackston, March 24, 2016, “Federally Run Schools for Native American Children Are Worst in America. Here’s How to Fix That”, http://dailysignal.com/2016/03/24/federally-run-schools-for-native-american-children-are-worst-in-america-heres-how-to-fix-that)//ET</w:t>
      </w:r>
    </w:p>
    <w:p w:rsidR="00C47278" w:rsidRPr="00AA0D15" w:rsidRDefault="00C47278" w:rsidP="00C47278">
      <w:r w:rsidRPr="00AA0D15">
        <w:rPr>
          <w:rStyle w:val="StyleUnderline"/>
        </w:rPr>
        <w:t>Education savings accounts are</w:t>
      </w:r>
      <w:r w:rsidRPr="00AA0D15">
        <w:t xml:space="preserve"> parent-controlled </w:t>
      </w:r>
      <w:r w:rsidRPr="00AA0D15">
        <w:rPr>
          <w:rStyle w:val="StyleUnderline"/>
        </w:rPr>
        <w:t>spending accounts that are populated with funds that would have been spent on their child in a public school or, in this case, a school operated by the Bureau of Indian Education</w:t>
      </w:r>
      <w:r w:rsidRPr="00AA0D15">
        <w:t xml:space="preserve">. </w:t>
      </w:r>
      <w:r w:rsidRPr="00AA0D15">
        <w:rPr>
          <w:rStyle w:val="StyleUnderline"/>
        </w:rPr>
        <w:t>Parents</w:t>
      </w:r>
      <w:r w:rsidRPr="00AA0D15">
        <w:t xml:space="preserve"> of eligible students </w:t>
      </w:r>
      <w:r w:rsidRPr="00AA0D15">
        <w:rPr>
          <w:rStyle w:val="StyleUnderline"/>
        </w:rPr>
        <w:t>could then use their education savings account funds to pay for private school tuition, online learning, special education services and therapies, curricula, textbooks, and a host of other education-related services,</w:t>
      </w:r>
      <w:r w:rsidRPr="00AA0D15">
        <w:t xml:space="preserve"> products, and providers. Unused funds could even be rolled over from year to year and could be rolled into a college savings account. </w:t>
      </w:r>
      <w:r w:rsidRPr="00AA0D15">
        <w:rPr>
          <w:rStyle w:val="StyleUnderline"/>
        </w:rPr>
        <w:t xml:space="preserve">The federal government currently spends $830 million annually on Bureau of Indian Education schools </w:t>
      </w:r>
      <w:r w:rsidRPr="00AA0D15">
        <w:t xml:space="preserve">and spends 56 percent more per student on children in these schools than average traditional public school expenditures. Excluding boarding schools, the GAO reports that Bureau of Indian Education schools spent $16,394 per student during the 2009-2010 school year (inclusive of food service). </w:t>
      </w:r>
      <w:r w:rsidRPr="00AA0D15">
        <w:rPr>
          <w:rStyle w:val="StyleUnderline"/>
        </w:rPr>
        <w:t xml:space="preserve">Giving Native American families control over this funding through an education savings account model would </w:t>
      </w:r>
      <w:r w:rsidRPr="00AA0D15">
        <w:rPr>
          <w:rStyle w:val="Emphasis"/>
        </w:rPr>
        <w:t>provide a lifeline out of the failing school system.</w:t>
      </w:r>
      <w:r w:rsidRPr="00AA0D15">
        <w:t xml:space="preserve"> </w:t>
      </w:r>
      <w:r w:rsidRPr="00AA0D15">
        <w:rPr>
          <w:rStyle w:val="StyleUnderline"/>
        </w:rPr>
        <w:t xml:space="preserve">Unused education savings account funds could even be rolled over, and some states even allow those funds to be placed in a college savings account. </w:t>
      </w:r>
      <w:r w:rsidRPr="00AA0D15">
        <w:rPr>
          <w:rStyle w:val="Emphasis"/>
        </w:rPr>
        <w:t>Instead</w:t>
      </w:r>
      <w:r w:rsidRPr="00AA0D15">
        <w:rPr>
          <w:rStyle w:val="StyleUnderline"/>
        </w:rPr>
        <w:t xml:space="preserve"> of having a </w:t>
      </w:r>
      <w:r w:rsidRPr="00AA0D15">
        <w:rPr>
          <w:rStyle w:val="Emphasis"/>
        </w:rPr>
        <w:t>federally managed system of Bureau of Indian Education schools</w:t>
      </w:r>
      <w:r w:rsidRPr="00AA0D15">
        <w:t xml:space="preserve"> </w:t>
      </w:r>
      <w:r w:rsidRPr="00AA0D15">
        <w:rPr>
          <w:rStyle w:val="StyleUnderline"/>
        </w:rPr>
        <w:t>that not only fail in their duty to educate children, but also fail to employ basic and sound accounting practice</w:t>
      </w:r>
      <w:r w:rsidRPr="00AA0D15">
        <w:t xml:space="preserve">s, </w:t>
      </w:r>
      <w:r w:rsidRPr="00AA0D15">
        <w:rPr>
          <w:rStyle w:val="Emphasis"/>
        </w:rPr>
        <w:t>education savings accounts would empower some of the most underserved students in the country with choice in education,</w:t>
      </w:r>
      <w:r w:rsidRPr="00AA0D15">
        <w:t xml:space="preserve"> giving them new hope and opportunity for the future.</w:t>
      </w:r>
    </w:p>
    <w:p w:rsidR="00C47278" w:rsidRPr="00AA0D15" w:rsidRDefault="00C47278" w:rsidP="00C47278">
      <w:pPr>
        <w:pStyle w:val="Heading4"/>
        <w:rPr>
          <w:rFonts w:cs="Times New Roman"/>
        </w:rPr>
      </w:pPr>
      <w:r w:rsidRPr="00AA0D15">
        <w:rPr>
          <w:rFonts w:cs="Times New Roman"/>
        </w:rPr>
        <w:t>Even if the BIE controls schools, states can support ESA’s that increase educational equality and academic achievement</w:t>
      </w:r>
    </w:p>
    <w:p w:rsidR="00C47278" w:rsidRPr="00AA0D15" w:rsidRDefault="00C47278" w:rsidP="00C47278">
      <w:pPr>
        <w:rPr>
          <w:rStyle w:val="Style13ptBold"/>
          <w:b w:val="0"/>
        </w:rPr>
      </w:pPr>
      <w:r w:rsidRPr="00AA0D15">
        <w:rPr>
          <w:rStyle w:val="Style13ptBold"/>
        </w:rPr>
        <w:t xml:space="preserve">Burke 16 </w:t>
      </w:r>
      <w:r w:rsidRPr="00AA0D15">
        <w:rPr>
          <w:rStyle w:val="Style13ptBold"/>
          <w:b w:val="0"/>
        </w:rPr>
        <w:t xml:space="preserve">--- Fellow in education policy at Heritage, BA in Political Science from Hollins University, Master of Teaching in Foreign Language Education from the University of Virginia, Doctoral Student in Education Policy and Research Methods at George Mason University, Since Publication: the Director of Education Policy at the Heritage Foundation (Lindsey Burke, December 19, “Reducing Federal Intervention in Education and Moving Toward Student-Centered Policies: 10 Steps for the Incoming Administration”, </w:t>
      </w:r>
      <w:hyperlink r:id="rId112" w:history="1">
        <w:r w:rsidRPr="00AA0D15">
          <w:rPr>
            <w:rStyle w:val="Hyperlink"/>
          </w:rPr>
          <w:t>http://www.heritage.org/education/report/reducing-federal-intervention-education-and-moving-toward-student-centered)//ET</w:t>
        </w:r>
      </w:hyperlink>
    </w:p>
    <w:p w:rsidR="00C47278" w:rsidRPr="00AA0D15" w:rsidRDefault="00C47278" w:rsidP="00C47278">
      <w:pPr>
        <w:rPr>
          <w:rStyle w:val="Style13ptBold"/>
          <w:b w:val="0"/>
        </w:rPr>
      </w:pPr>
      <w:r w:rsidRPr="00AA0D15">
        <w:rPr>
          <w:rStyle w:val="Style13ptBold"/>
          <w:b w:val="0"/>
        </w:rPr>
        <w:t>*this card has been gender modified</w:t>
      </w:r>
    </w:p>
    <w:p w:rsidR="00C47278" w:rsidRPr="00AA0D15" w:rsidRDefault="00C47278" w:rsidP="00C47278">
      <w:pPr>
        <w:rPr>
          <w:rStyle w:val="StyleUnderline"/>
        </w:rPr>
      </w:pPr>
      <w:r w:rsidRPr="00AA0D15">
        <w:rPr>
          <w:sz w:val="14"/>
        </w:rPr>
        <w:t xml:space="preserve">The </w:t>
      </w:r>
      <w:r w:rsidRPr="00AA0D15">
        <w:rPr>
          <w:rStyle w:val="StyleUnderline"/>
        </w:rPr>
        <w:t>Trump</w:t>
      </w:r>
      <w:r w:rsidRPr="00AA0D15">
        <w:rPr>
          <w:sz w:val="14"/>
        </w:rPr>
        <w:t xml:space="preserve"> Administration </w:t>
      </w:r>
      <w:r w:rsidRPr="00AA0D15">
        <w:rPr>
          <w:rStyle w:val="StyleUnderline"/>
        </w:rPr>
        <w:t>has unprecedented opportunities to</w:t>
      </w:r>
      <w:r w:rsidRPr="00AA0D15">
        <w:rPr>
          <w:sz w:val="14"/>
        </w:rPr>
        <w:t xml:space="preserve"> advance student-centered education reforms that </w:t>
      </w:r>
      <w:r w:rsidRPr="00AA0D15">
        <w:rPr>
          <w:rStyle w:val="Emphasis"/>
        </w:rPr>
        <w:t>limit federal intervention in local school policy</w:t>
      </w:r>
      <w:r w:rsidRPr="00AA0D15">
        <w:rPr>
          <w:sz w:val="14"/>
        </w:rPr>
        <w:t xml:space="preserve">. By advancing education choice, where appropriate, and working with Congress to eliminate ineffective federal programs and spending, the Trump Administration can make great strides toward restoring state and local control of education and empowering families with choices that work for their children. The Administration, along with Congress, also has the opportunity to reform higher education through policies that address the drivers of college costs and that limit federal subsidies and intervention in postsecondary education. </w:t>
      </w:r>
      <w:r w:rsidRPr="00AA0D15">
        <w:rPr>
          <w:rStyle w:val="StyleUnderline"/>
        </w:rPr>
        <w:t xml:space="preserve">Reforms to Advance Education Choice </w:t>
      </w:r>
      <w:r w:rsidRPr="00AA0D15">
        <w:rPr>
          <w:sz w:val="14"/>
        </w:rPr>
        <w:t xml:space="preserve">1. Support Reauthorization of the DC Opportunity Scholarship Program. The highly successful DC Opportunity Scholarship Program (DC OSP), which provides vouchers to low-income children to attend a private school of choice, is due for reauthorization. Under the Obama Administration, the OSP, which increased graduation rates for participants by 21 percentage points,[1] has been under constant threat of defunding. The OSP should not only be supported through reauthorization and full funding, but also be expanded to enable more children living in the District to participate. Scholarships of up to $8,452 are available for children in grades K–8, and scholarships of up to $12,679 are available for students in grades 9–12. Congress should also require that any excess carry-over funds not needed to fund existing scholarships be made available for new scholarships. 2. Expand Choice in the District of Columbia. The Trump Administration, along with Congress, should also work to make education funding in the District of Columbia entirely student-centered and portable, making DC an all-choice district. Congress has two options for achieving this goal: Restructuring federal funding for DC public schools so that it is student-centered and portable to schools of choice, including private schools; or Creating a stand-alone education savings account (ESA) program available to all District residents. As researcher Matthew Ladner explains: From an equity standpoint, it is difficult to justify the District’s school finance system. The system routinely provides $29,000 for high-income students attending regular public schools. It provides $14,000 for high-income students attending charter schools but only a maximum of $8,381 for some low-income students who would like to attend a private school system that improves the chances for graduation by approximately 21 percentage points.[2] To more equitably fund education in DC, the Trump Administration should work with Congress to transform DC into an all-choice district by redirecting funding for K–12 education from government schools into parent-controlled ESAs. 3. Education Savings Accounts for Military-Connected Children. Long before the advent of the Elementary and Secondary Education Act (ESEA) and the Department of Education, the federal government helped support the education of military dependents. The oldest federal K–12 education program is the Impact Aid program passed under President Harry Truman in 1950. A provision in the Every Student Succeeds Act (ESSA) makes military-connected children one of the newly classified subgroups to receive targeted attention. Approximately 1.4 million school-age children in the United States have a parent in the military; 80 percent of those children attend public schools.[3] The rest of these children homeschool or attend schools run through the Department of Defense. Public schools that educate military-connected children are reimbursed by the Department of Education through Impact Aid, a portion of which supports both the education of children on military bases and districts with high concentration of military-connected children. Although only a portion of Impact Aid is appropriated in response to military-connected children, the Department of Education will distribute $1.3 billion in Impact Aid funding to local education agencies in 2016.[4] This money is paid directly into a district’s general funds. Congress should explore directing Impact Aid funds provided by both the Department of Defense and the Department of Education to military-connected children in the form of ESA options. 4. </w:t>
      </w:r>
      <w:r w:rsidRPr="00AA0D15">
        <w:rPr>
          <w:rStyle w:val="Emphasis"/>
        </w:rPr>
        <w:t xml:space="preserve">Education Savings Accounts for Children Attending Bureau of Indian Education Schools. </w:t>
      </w:r>
      <w:r w:rsidRPr="00AA0D15">
        <w:rPr>
          <w:rStyle w:val="StyleUnderline"/>
        </w:rPr>
        <w:t xml:space="preserve">No child should be trapped in a failing school because of where </w:t>
      </w:r>
      <w:r w:rsidRPr="00AA0D15">
        <w:rPr>
          <w:rStyle w:val="StyleUnderline"/>
          <w:strike/>
        </w:rPr>
        <w:t>he</w:t>
      </w:r>
      <w:r w:rsidRPr="00AA0D15">
        <w:rPr>
          <w:rStyle w:val="StyleUnderline"/>
        </w:rPr>
        <w:t xml:space="preserve"> [they] lives. Native American children attend such low-quality schools that a Politico ran a piece entitled “How Washington Created the Worst Schools in America.”</w:t>
      </w:r>
      <w:r w:rsidRPr="00AA0D15">
        <w:rPr>
          <w:sz w:val="14"/>
        </w:rPr>
        <w:t xml:space="preserve">[5] </w:t>
      </w:r>
      <w:r w:rsidRPr="00AA0D15">
        <w:rPr>
          <w:rStyle w:val="StyleUnderline"/>
        </w:rPr>
        <w:t>Funding for Bureau of Indian Education</w:t>
      </w:r>
      <w:r w:rsidRPr="00AA0D15">
        <w:rPr>
          <w:sz w:val="14"/>
        </w:rPr>
        <w:t xml:space="preserve"> (BIE) schools </w:t>
      </w:r>
      <w:r w:rsidRPr="00AA0D15">
        <w:rPr>
          <w:rStyle w:val="StyleUnderline"/>
        </w:rPr>
        <w:t>is unique</w:t>
      </w:r>
      <w:r w:rsidRPr="00AA0D15">
        <w:rPr>
          <w:sz w:val="14"/>
        </w:rPr>
        <w:t xml:space="preserve"> among K–12 education financing </w:t>
      </w:r>
      <w:r w:rsidRPr="00AA0D15">
        <w:rPr>
          <w:rStyle w:val="StyleUnderline"/>
        </w:rPr>
        <w:t>because it is almost entirely federal.</w:t>
      </w:r>
      <w:r w:rsidRPr="00AA0D15">
        <w:rPr>
          <w:sz w:val="14"/>
        </w:rPr>
        <w:t xml:space="preserve"> BIE schools are directly funded through a combination of Department of Interior, Department of Education, and Department of Agriculture funds, with the </w:t>
      </w:r>
      <w:r w:rsidRPr="00AA0D15">
        <w:rPr>
          <w:rStyle w:val="StyleUnderline"/>
        </w:rPr>
        <w:t>BIE itself operating one-third of the schools, and the other two-thirds being tribally operated</w:t>
      </w:r>
      <w:r w:rsidRPr="00AA0D15">
        <w:rPr>
          <w:sz w:val="14"/>
        </w:rPr>
        <w:t xml:space="preserve">.[6] BIE schools have higher per pupil expenditures than traditional public schools. </w:t>
      </w:r>
      <w:r w:rsidRPr="00AA0D15">
        <w:rPr>
          <w:rStyle w:val="StyleUnderline"/>
        </w:rPr>
        <w:t>The Government Accountability Office (GAO) reports that “</w:t>
      </w:r>
      <w:r w:rsidRPr="00AA0D15">
        <w:rPr>
          <w:rStyle w:val="Emphasis"/>
        </w:rPr>
        <w:t>student performance at BIE schools has been consistently below that of public school students</w:t>
      </w:r>
      <w:r w:rsidRPr="00AA0D15">
        <w:rPr>
          <w:rStyle w:val="StyleUnderline"/>
        </w:rPr>
        <w:t>, including other Indian students attending public schools.”[</w:t>
      </w:r>
      <w:r w:rsidRPr="00AA0D15">
        <w:rPr>
          <w:sz w:val="14"/>
        </w:rPr>
        <w:t xml:space="preserve">7] </w:t>
      </w:r>
      <w:r w:rsidRPr="00AA0D15">
        <w:rPr>
          <w:rStyle w:val="StyleUnderline"/>
        </w:rPr>
        <w:t>Parents of students who attend BIE schools should be made eligible for ESAs to pay for private school tuition, online learning, special education services and therapies, curricula, textbooks, and a host of other education-related services, products, and providers.</w:t>
      </w:r>
    </w:p>
    <w:p w:rsidR="00C47278" w:rsidRPr="00AA0D15" w:rsidRDefault="00C47278" w:rsidP="00C47278">
      <w:pPr>
        <w:pStyle w:val="Heading3"/>
        <w:rPr>
          <w:rFonts w:cs="Times New Roman"/>
        </w:rPr>
      </w:pPr>
      <w:r w:rsidRPr="00AA0D15">
        <w:rPr>
          <w:rFonts w:cs="Times New Roman"/>
        </w:rPr>
        <w:t>AT Title 7 leverage</w:t>
      </w:r>
    </w:p>
    <w:p w:rsidR="00C47278" w:rsidRPr="00AA0D15" w:rsidRDefault="00C47278" w:rsidP="00C47278">
      <w:pPr>
        <w:pStyle w:val="Heading4"/>
        <w:rPr>
          <w:rFonts w:cs="Times New Roman"/>
        </w:rPr>
      </w:pPr>
      <w:r w:rsidRPr="00AA0D15">
        <w:rPr>
          <w:rFonts w:cs="Times New Roman"/>
        </w:rPr>
        <w:t>Title VII funds not key leverage --- most native schools don’t receive them now</w:t>
      </w:r>
    </w:p>
    <w:p w:rsidR="00C47278" w:rsidRPr="00AA0D15" w:rsidRDefault="00C47278" w:rsidP="00C47278">
      <w:pPr>
        <w:rPr>
          <w:rStyle w:val="Style13ptBold"/>
          <w:b w:val="0"/>
        </w:rPr>
      </w:pPr>
      <w:r w:rsidRPr="00AA0D15">
        <w:rPr>
          <w:rStyle w:val="Style13ptBold"/>
        </w:rPr>
        <w:t xml:space="preserve">Brenna 14 </w:t>
      </w:r>
      <w:r w:rsidRPr="00AA0D15">
        <w:rPr>
          <w:rStyle w:val="Style13ptBold"/>
          <w:b w:val="0"/>
        </w:rPr>
        <w:t>--- editor in chief of one day magazine. (SUSAN BRENNA, Dec 11, “Why are Native Students Being Left Behind?”, One Day Magazine. https://www.teachforamerica.org/one-day-magazine/why-are-native-students-being-left-behind)//ET</w:t>
      </w:r>
    </w:p>
    <w:p w:rsidR="00C47278" w:rsidRPr="00AA0D15" w:rsidRDefault="00C47278" w:rsidP="00C47278">
      <w:pPr>
        <w:rPr>
          <w:rStyle w:val="StyleUnderline"/>
        </w:rPr>
      </w:pPr>
      <w:r w:rsidRPr="00AA0D15">
        <w:t>The vast majority—</w:t>
      </w:r>
      <w:r w:rsidRPr="00AA0D15">
        <w:rPr>
          <w:rStyle w:val="Emphasis"/>
        </w:rPr>
        <w:t>93 percent</w:t>
      </w:r>
      <w:r w:rsidRPr="00AA0D15">
        <w:t>—</w:t>
      </w:r>
      <w:r w:rsidRPr="00AA0D15">
        <w:rPr>
          <w:rStyle w:val="StyleUnderline"/>
        </w:rPr>
        <w:t xml:space="preserve">of Native students don’t go to the schools cited in those reports. </w:t>
      </w:r>
      <w:r w:rsidRPr="00AA0D15">
        <w:t xml:space="preserve">They attend other public schools on or near reservations or in cities away from their home reservations. </w:t>
      </w:r>
      <w:r w:rsidRPr="00AA0D15">
        <w:rPr>
          <w:rStyle w:val="StyleUnderline"/>
        </w:rPr>
        <w:t>Contributing to low achievement and lack of opportunity in these schools is that many fail to collect</w:t>
      </w:r>
      <w:r w:rsidRPr="00AA0D15">
        <w:t xml:space="preserve"> all the federal Impact Aid, </w:t>
      </w:r>
      <w:r w:rsidRPr="00AA0D15">
        <w:rPr>
          <w:rStyle w:val="StyleUnderline"/>
        </w:rPr>
        <w:t>Title VII,</w:t>
      </w:r>
      <w:r w:rsidRPr="00AA0D15">
        <w:t xml:space="preserve"> or supplemental federal Johnson-O’Malley </w:t>
      </w:r>
      <w:r w:rsidRPr="00AA0D15">
        <w:rPr>
          <w:rStyle w:val="StyleUnderline"/>
        </w:rPr>
        <w:t>funds</w:t>
      </w:r>
      <w:r w:rsidRPr="00AA0D15">
        <w:t xml:space="preserve"> to which they’re entitled. </w:t>
      </w:r>
      <w:r w:rsidRPr="00AA0D15">
        <w:rPr>
          <w:rStyle w:val="StyleUnderline"/>
        </w:rPr>
        <w:t xml:space="preserve">This stems not just from Congressionally-imposed funding cutbacks, but also from federal agencies undercounting Native kids, or from Native families failing to self identify because they’re unwilling to face bias, uninformed of their rights, or not enrolled in any </w:t>
      </w:r>
      <w:r w:rsidRPr="00AA0D15">
        <w:rPr>
          <w:rStyle w:val="Emphasis"/>
        </w:rPr>
        <w:t>federally</w:t>
      </w:r>
      <w:r w:rsidRPr="00AA0D15">
        <w:rPr>
          <w:rStyle w:val="StyleUnderline"/>
        </w:rPr>
        <w:t xml:space="preserve"> recognized tribe.</w:t>
      </w:r>
    </w:p>
    <w:p w:rsidR="00C47278" w:rsidRPr="00AA0D15" w:rsidRDefault="00C47278" w:rsidP="00C47278">
      <w:pPr>
        <w:pStyle w:val="Heading3"/>
        <w:rPr>
          <w:rFonts w:cs="Times New Roman"/>
        </w:rPr>
      </w:pPr>
      <w:r w:rsidRPr="00AA0D15">
        <w:rPr>
          <w:rFonts w:cs="Times New Roman"/>
        </w:rPr>
        <w:t>AT Tribal recognition</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States recognition of tribal authority solves</w:t>
      </w:r>
    </w:p>
    <w:p w:rsidR="00C47278" w:rsidRPr="00AA0D15" w:rsidRDefault="00C47278" w:rsidP="00C47278">
      <w:pPr>
        <w:rPr>
          <w:rStyle w:val="Style13ptBold"/>
          <w:b w:val="0"/>
        </w:rPr>
      </w:pPr>
      <w:r w:rsidRPr="00AA0D15">
        <w:rPr>
          <w:rStyle w:val="Style13ptBold"/>
        </w:rPr>
        <w:t xml:space="preserve">NCAI 10 </w:t>
      </w:r>
      <w:r w:rsidRPr="00AA0D15">
        <w:rPr>
          <w:rStyle w:val="Style13ptBold"/>
          <w:b w:val="0"/>
        </w:rPr>
        <w:t>--- National Congress of American Indians. (June 7, 2010. “National Tribal Priorities for Indian Education”, http://www.ncela.us/files/uploads/18/NCAI_NIEA_jointESEAreauth.pdf)//ET</w:t>
      </w:r>
    </w:p>
    <w:p w:rsidR="00C47278" w:rsidRPr="00AA0D15" w:rsidRDefault="00C47278" w:rsidP="00C47278">
      <w:r w:rsidRPr="00AA0D15">
        <w:t xml:space="preserve">Require States to enter into collaborative agreements with tribes. </w:t>
      </w:r>
      <w:r w:rsidRPr="00AA0D15">
        <w:rPr>
          <w:rStyle w:val="StyleUnderline"/>
        </w:rPr>
        <w:t>In order for tribes and their TEAs to build capacity and better serve their citizens,</w:t>
      </w:r>
      <w:r w:rsidRPr="00AA0D15">
        <w:t xml:space="preserve"> </w:t>
      </w:r>
      <w:r w:rsidRPr="00AA0D15">
        <w:rPr>
          <w:rStyle w:val="Emphasis"/>
        </w:rPr>
        <w:t>States must recognize tribal authority over the education of their students.</w:t>
      </w:r>
      <w:r w:rsidRPr="00AA0D15">
        <w:t xml:space="preserve"> Upon request, </w:t>
      </w:r>
      <w:r w:rsidRPr="00AA0D15">
        <w:rPr>
          <w:rStyle w:val="Emphasis"/>
        </w:rPr>
        <w:t>States should negotiate with tribal governments to transfer education programs, funding, services, and administrative responsibilities to the tribes.</w:t>
      </w:r>
      <w:r w:rsidRPr="00AA0D15">
        <w:t xml:space="preserve"> The Department of Education (DoEd) would both facilitate and foster the cooperation of the State and the tribes in these agreements through financial penalties of Title 1 funding. For example, TEAs should be empowered to implement their own school improvement plan via the accreditation process. </w:t>
      </w:r>
    </w:p>
    <w:p w:rsidR="00C47278" w:rsidRPr="00AA0D15" w:rsidRDefault="00C47278" w:rsidP="00C47278">
      <w:pPr>
        <w:pStyle w:val="Heading3"/>
        <w:rPr>
          <w:rFonts w:cs="Times New Roman"/>
        </w:rPr>
      </w:pPr>
      <w:r w:rsidRPr="00AA0D15">
        <w:rPr>
          <w:rFonts w:cs="Times New Roman"/>
        </w:rPr>
        <w:t>AT no data</w:t>
      </w:r>
    </w:p>
    <w:p w:rsidR="00C47278" w:rsidRPr="00AA0D15" w:rsidRDefault="00C47278" w:rsidP="00C47278">
      <w:pPr>
        <w:pStyle w:val="Heading4"/>
        <w:rPr>
          <w:rFonts w:cs="Times New Roman"/>
        </w:rPr>
      </w:pPr>
      <w:r w:rsidRPr="00AA0D15">
        <w:rPr>
          <w:rFonts w:cs="Times New Roman"/>
        </w:rPr>
        <w:t>State’s facilitate data collection and tribal collaboration --- Alaska proves</w:t>
      </w:r>
    </w:p>
    <w:p w:rsidR="00C47278" w:rsidRPr="00AA0D15" w:rsidRDefault="00C47278" w:rsidP="00C47278">
      <w:pPr>
        <w:rPr>
          <w:rStyle w:val="Style13ptBold"/>
          <w:b w:val="0"/>
        </w:rPr>
      </w:pPr>
      <w:r w:rsidRPr="00AA0D15">
        <w:rPr>
          <w:rStyle w:val="Style13ptBold"/>
        </w:rPr>
        <w:t xml:space="preserve">Jin et al. 2 </w:t>
      </w:r>
      <w:r w:rsidRPr="00AA0D15">
        <w:rPr>
          <w:rStyle w:val="Style13ptBold"/>
          <w:b w:val="0"/>
        </w:rPr>
        <w:t xml:space="preserve">--- Les Jin, Mary Frances Berry, Cruz Reynoso, Jennifer C. Braceras, Christopher Edley, Elsie Meeks, Abigail Thernstrom, Victoria Wilson are all members of the Alaska Advisory Committee to the U.S. Commission on Civil Rights. (“Racism’s Frontier: The Untold Story of Discrimination and Division in Alaska”, http://www.usccr.gov/pubs/sac/ak0402/ak02.pdf)//ET </w:t>
      </w:r>
    </w:p>
    <w:p w:rsidR="00C47278" w:rsidRPr="00AA0D15" w:rsidRDefault="00C47278" w:rsidP="00C47278">
      <w:r w:rsidRPr="00AA0D15">
        <w:t xml:space="preserve">The </w:t>
      </w:r>
      <w:r w:rsidRPr="00AA0D15">
        <w:rPr>
          <w:rStyle w:val="Emphasis"/>
        </w:rPr>
        <w:t>State Department of Education</w:t>
      </w:r>
      <w:r w:rsidRPr="00AA0D15">
        <w:rPr>
          <w:rStyle w:val="StyleUnderline"/>
        </w:rPr>
        <w:t xml:space="preserve"> and the Anchorage School District</w:t>
      </w:r>
      <w:r w:rsidRPr="00AA0D15">
        <w:t xml:space="preserve"> </w:t>
      </w:r>
      <w:r w:rsidRPr="00AA0D15">
        <w:rPr>
          <w:rStyle w:val="StyleUnderline"/>
        </w:rPr>
        <w:t>are making efforts to uncover the sources of the achievement disparities among students</w:t>
      </w:r>
      <w:r w:rsidRPr="00AA0D15">
        <w:t xml:space="preserve">. </w:t>
      </w:r>
      <w:r w:rsidRPr="00AA0D15">
        <w:rPr>
          <w:rStyle w:val="StyleUnderline"/>
        </w:rPr>
        <w:t xml:space="preserve">The first step is to </w:t>
      </w:r>
      <w:r w:rsidRPr="00AA0D15">
        <w:rPr>
          <w:rStyle w:val="Emphasis"/>
        </w:rPr>
        <w:t>collect</w:t>
      </w:r>
      <w:r w:rsidRPr="00AA0D15">
        <w:rPr>
          <w:rStyle w:val="StyleUnderline"/>
        </w:rPr>
        <w:t xml:space="preserve"> sufficiently detailed </w:t>
      </w:r>
      <w:r w:rsidRPr="00AA0D15">
        <w:rPr>
          <w:rStyle w:val="Emphasis"/>
        </w:rPr>
        <w:t>data</w:t>
      </w:r>
      <w:r w:rsidRPr="00AA0D15">
        <w:t xml:space="preserve"> </w:t>
      </w:r>
      <w:r w:rsidRPr="00AA0D15">
        <w:rPr>
          <w:rStyle w:val="StyleUnderline"/>
        </w:rPr>
        <w:t>and then to analyze the data to determine what programs are working,</w:t>
      </w:r>
      <w:r w:rsidRPr="00AA0D15">
        <w:t xml:space="preserve"> which courses successful students are taking, and what teachers are doing that is effective.57 In the meantime, </w:t>
      </w:r>
      <w:r w:rsidRPr="00AA0D15">
        <w:rPr>
          <w:rStyle w:val="StyleUnderline"/>
        </w:rPr>
        <w:t>where funding is available, programs designed to close some of the achievement gap have been instituted</w:t>
      </w:r>
      <w:r w:rsidRPr="00AA0D15">
        <w:t xml:space="preserve">. For example, </w:t>
      </w:r>
      <w:r w:rsidRPr="00AA0D15">
        <w:rPr>
          <w:rStyle w:val="StyleUnderline"/>
        </w:rPr>
        <w:t>the Anchorage School District has implemented after-school math and reading tutorial</w:t>
      </w:r>
      <w:r w:rsidRPr="00AA0D15">
        <w:t xml:space="preserve"> programs in 12 elementary schools and five middle schools. The programs also include grant-funded after-school bus transportation to benefit students whose parents do not have access to vehicles or who have inflexible work schedules.58 The </w:t>
      </w:r>
      <w:r w:rsidRPr="00AA0D15">
        <w:rPr>
          <w:rStyle w:val="StyleUnderline"/>
        </w:rPr>
        <w:t>school district</w:t>
      </w:r>
      <w:r w:rsidRPr="00AA0D15">
        <w:t xml:space="preserve"> has also initiated a summer school pilot program, in which several middle schools </w:t>
      </w:r>
      <w:r w:rsidRPr="00AA0D15">
        <w:rPr>
          <w:rStyle w:val="StyleUnderline"/>
        </w:rPr>
        <w:t>are working in partnership with the Cook Inlet Tribal Council</w:t>
      </w:r>
      <w:r w:rsidRPr="00AA0D15">
        <w:t xml:space="preserve">. </w:t>
      </w:r>
      <w:r w:rsidRPr="00AA0D15">
        <w:rPr>
          <w:rStyle w:val="StyleUnderline"/>
        </w:rPr>
        <w:t xml:space="preserve">Council staff work side by side with teachers, </w:t>
      </w:r>
      <w:r w:rsidRPr="00AA0D15">
        <w:rPr>
          <w:rStyle w:val="Emphasis"/>
        </w:rPr>
        <w:t>modeling</w:t>
      </w:r>
      <w:r w:rsidRPr="00AA0D15">
        <w:rPr>
          <w:rStyle w:val="StyleUnderline"/>
        </w:rPr>
        <w:t xml:space="preserve"> culturally relevant </w:t>
      </w:r>
      <w:r w:rsidRPr="00AA0D15">
        <w:rPr>
          <w:rStyle w:val="Emphasis"/>
        </w:rPr>
        <w:t>teaching strategies</w:t>
      </w:r>
      <w:r w:rsidRPr="00AA0D15">
        <w:rPr>
          <w:rStyle w:val="StyleUnderline"/>
        </w:rPr>
        <w:t>.</w:t>
      </w:r>
      <w:r w:rsidRPr="00AA0D15">
        <w:t xml:space="preserve"> </w:t>
      </w:r>
      <w:r w:rsidRPr="00AA0D15">
        <w:rPr>
          <w:rStyle w:val="StyleUnderline"/>
        </w:rPr>
        <w:t xml:space="preserve">This strategy </w:t>
      </w:r>
      <w:r w:rsidRPr="00AA0D15">
        <w:rPr>
          <w:rStyle w:val="Emphasis"/>
        </w:rPr>
        <w:t>appears to have worked</w:t>
      </w:r>
      <w:r w:rsidRPr="00AA0D15">
        <w:rPr>
          <w:rStyle w:val="StyleUnderline"/>
        </w:rPr>
        <w:t xml:space="preserve"> thus far</w:t>
      </w:r>
      <w:r w:rsidRPr="00AA0D15">
        <w:t xml:space="preserve">, so the school board is looking to forge additional partnerships. </w:t>
      </w:r>
    </w:p>
    <w:p w:rsidR="00C47278" w:rsidRPr="00AA0D15" w:rsidRDefault="00C47278" w:rsidP="00C47278">
      <w:pPr>
        <w:pStyle w:val="Heading3"/>
        <w:rPr>
          <w:rFonts w:cs="Times New Roman"/>
        </w:rPr>
      </w:pPr>
      <w:r w:rsidRPr="00AA0D15">
        <w:rPr>
          <w:rFonts w:cs="Times New Roman"/>
        </w:rPr>
        <w:t>AT signaling/public influence</w:t>
      </w:r>
    </w:p>
    <w:p w:rsidR="00C47278" w:rsidRPr="00AA0D15" w:rsidRDefault="00C47278" w:rsidP="00C47278">
      <w:pPr>
        <w:pStyle w:val="Heading4"/>
        <w:rPr>
          <w:rFonts w:cs="Times New Roman"/>
        </w:rPr>
      </w:pPr>
      <w:r w:rsidRPr="00AA0D15">
        <w:rPr>
          <w:rFonts w:cs="Times New Roman"/>
        </w:rPr>
        <w:t xml:space="preserve">State native policy influences public perception --- Alaska proves </w:t>
      </w:r>
    </w:p>
    <w:p w:rsidR="00C47278" w:rsidRPr="00AA0D15" w:rsidRDefault="00C47278" w:rsidP="00C47278">
      <w:pPr>
        <w:rPr>
          <w:rStyle w:val="Style13ptBold"/>
          <w:b w:val="0"/>
        </w:rPr>
      </w:pPr>
      <w:r w:rsidRPr="00AA0D15">
        <w:rPr>
          <w:rStyle w:val="Style13ptBold"/>
        </w:rPr>
        <w:t xml:space="preserve">Jin et al. 2 </w:t>
      </w:r>
      <w:r w:rsidRPr="00AA0D15">
        <w:rPr>
          <w:rStyle w:val="Style13ptBold"/>
          <w:b w:val="0"/>
        </w:rPr>
        <w:t xml:space="preserve">--- Les Jin, Mary Frances Berry, Cruz Reynoso, Jennifer C. Braceras, Christopher Edley, Elsie Meeks, Abigail Thernstrom, Victoria Wilson are all members of the Alaska Advisory Committee to the U.S. Commission on Civil Rights. (“Racism’s Frontier: The Untold Story of Discrimination and Division in Alaska”, http://www.usccr.gov/pubs/sac/ak0402/ak02.pdf)//ET </w:t>
      </w:r>
    </w:p>
    <w:p w:rsidR="00C47278" w:rsidRPr="00AA0D15" w:rsidRDefault="00C47278" w:rsidP="00C47278">
      <w:r w:rsidRPr="00AA0D15">
        <w:rPr>
          <w:rStyle w:val="StyleUnderline"/>
        </w:rPr>
        <w:t>A bill was passed last year that requires school districts to teach Alaska history,</w:t>
      </w:r>
      <w:r w:rsidRPr="00AA0D15">
        <w:t xml:space="preserve"> but the program is yet to be developed.42 In addition to </w:t>
      </w:r>
      <w:r w:rsidRPr="00AA0D15">
        <w:rPr>
          <w:rStyle w:val="Emphasis"/>
        </w:rPr>
        <w:t>informing</w:t>
      </w:r>
      <w:r w:rsidRPr="00AA0D15">
        <w:t xml:space="preserve"> all </w:t>
      </w:r>
      <w:r w:rsidRPr="00AA0D15">
        <w:rPr>
          <w:rStyle w:val="Emphasis"/>
        </w:rPr>
        <w:t>students</w:t>
      </w:r>
      <w:r w:rsidRPr="00AA0D15">
        <w:t xml:space="preserve"> about the heritage of Alaska and </w:t>
      </w:r>
      <w:r w:rsidRPr="00AA0D15">
        <w:rPr>
          <w:rStyle w:val="StyleUnderline"/>
        </w:rPr>
        <w:t>the significance of tradition in Alaska Native cultures</w:t>
      </w:r>
      <w:r w:rsidRPr="00AA0D15">
        <w:t xml:space="preserve">, </w:t>
      </w:r>
      <w:r w:rsidRPr="00AA0D15">
        <w:rPr>
          <w:rStyle w:val="StyleUnderline"/>
        </w:rPr>
        <w:t xml:space="preserve">teaching Alaska’s history </w:t>
      </w:r>
      <w:r w:rsidRPr="00AA0D15">
        <w:rPr>
          <w:rStyle w:val="Emphasis"/>
        </w:rPr>
        <w:t>would</w:t>
      </w:r>
      <w:r w:rsidRPr="00AA0D15">
        <w:rPr>
          <w:rStyle w:val="StyleUnderline"/>
        </w:rPr>
        <w:t xml:space="preserve"> also </w:t>
      </w:r>
      <w:r w:rsidRPr="00AA0D15">
        <w:rPr>
          <w:rStyle w:val="Emphasis"/>
        </w:rPr>
        <w:t>promote a future generation of policymakers sensitive to the needs of all the state’s</w:t>
      </w:r>
      <w:r w:rsidRPr="00AA0D15">
        <w:rPr>
          <w:rStyle w:val="StyleUnderline"/>
        </w:rPr>
        <w:t xml:space="preserve"> </w:t>
      </w:r>
      <w:r w:rsidRPr="00AA0D15">
        <w:rPr>
          <w:rStyle w:val="Emphasis"/>
        </w:rPr>
        <w:t>populations</w:t>
      </w:r>
      <w:r w:rsidRPr="00AA0D15">
        <w:t xml:space="preserve">. For instance, </w:t>
      </w:r>
      <w:r w:rsidRPr="00AA0D15">
        <w:rPr>
          <w:rStyle w:val="StyleUnderline"/>
        </w:rPr>
        <w:t>education would help settle the debate about subsistence and alleviate some of the urban/rural divide because Alaskans would gain a better understanding o</w:t>
      </w:r>
      <w:r w:rsidRPr="00AA0D15">
        <w:t xml:space="preserve">f the cultural, political, and economic </w:t>
      </w:r>
      <w:r w:rsidRPr="00AA0D15">
        <w:rPr>
          <w:rStyle w:val="StyleUnderline"/>
        </w:rPr>
        <w:t>issues</w:t>
      </w:r>
      <w:r w:rsidRPr="00AA0D15">
        <w:t xml:space="preserve"> unique to the g</w:t>
      </w:r>
      <w:r w:rsidR="002439A5">
        <w:t>eographic regions of the state.</w:t>
      </w:r>
    </w:p>
    <w:p w:rsidR="00C47278" w:rsidRPr="00AA0D15" w:rsidRDefault="00C47278" w:rsidP="00C47278">
      <w:pPr>
        <w:pStyle w:val="Heading2"/>
        <w:rPr>
          <w:rFonts w:cs="Times New Roman"/>
        </w:rPr>
      </w:pPr>
      <w:r w:rsidRPr="00AA0D15">
        <w:rPr>
          <w:rFonts w:cs="Times New Roman"/>
        </w:rPr>
        <w:t>FUNDING</w:t>
      </w:r>
    </w:p>
    <w:p w:rsidR="00C47278" w:rsidRPr="00AA0D15" w:rsidRDefault="00C47278" w:rsidP="00C47278">
      <w:pPr>
        <w:pStyle w:val="Heading3"/>
        <w:rPr>
          <w:rFonts w:cs="Times New Roman"/>
        </w:rPr>
      </w:pPr>
      <w:r w:rsidRPr="00AA0D15">
        <w:rPr>
          <w:rFonts w:cs="Times New Roman"/>
        </w:rPr>
        <w:t>Solvency</w:t>
      </w:r>
    </w:p>
    <w:p w:rsidR="00C47278" w:rsidRPr="00AA0D15" w:rsidRDefault="00C47278" w:rsidP="00C47278">
      <w:pPr>
        <w:pStyle w:val="Heading4"/>
        <w:rPr>
          <w:rFonts w:cs="Times New Roman"/>
        </w:rPr>
      </w:pPr>
      <w:r w:rsidRPr="00AA0D15">
        <w:rPr>
          <w:rFonts w:cs="Times New Roman"/>
        </w:rPr>
        <w:t>States can do it!</w:t>
      </w:r>
    </w:p>
    <w:p w:rsidR="00C47278" w:rsidRPr="00AA0D15" w:rsidRDefault="00C47278" w:rsidP="00C47278">
      <w:pPr>
        <w:rPr>
          <w:rStyle w:val="Style13ptBold"/>
        </w:rPr>
      </w:pPr>
      <w:r w:rsidRPr="00AA0D15">
        <w:rPr>
          <w:rStyle w:val="Style13ptBold"/>
        </w:rPr>
        <w:t xml:space="preserve">McCluskey 17 </w:t>
      </w:r>
      <w:r w:rsidRPr="00AA0D15">
        <w:t>(Neal McCluskey, CATO, “Maybe Education Cuts Wouldn’t Be so Bad” 3/16/17, Neal McCluskey is a contributor to the Washington Examiner’s Beltway Confidential blog. He is the director of the Cato Institute’s Center for Educational Freedom and maintains Cato’s Public Schooling Battle Map. https://www.cato.org/publications/commentary/maybe-education-cuts-wouldnt-be-so-bad) GG</w:t>
      </w:r>
    </w:p>
    <w:p w:rsidR="00C47278" w:rsidRDefault="00C47278" w:rsidP="00C47278">
      <w:pPr>
        <w:rPr>
          <w:rStyle w:val="StyleUnderline"/>
        </w:rPr>
      </w:pPr>
      <w:r w:rsidRPr="00AA0D15">
        <w:t>With the release of today’s “skinny budget” we are likely to hear the usual coverage: “Good-Sounding Program X is being cut by Y million dollars. ‘These cuts will be devastating,’ said someone who gets money through X.’” Cuts to education programs, which instinctively sound awful because education is generally a good thing, are especially susceptible to this. But</w:t>
      </w:r>
      <w:r w:rsidRPr="00AA0D15">
        <w:rPr>
          <w:rStyle w:val="StyleUnderline"/>
        </w:rPr>
        <w:t xml:space="preserve"> focusing on the immediate recipients of the money, and maybe the good intentions behind the programs, is a terrible way to approach government spending</w:t>
      </w:r>
      <w:r w:rsidRPr="00AA0D15">
        <w:t xml:space="preserve">. </w:t>
      </w:r>
      <w:r w:rsidRPr="00AA0D15">
        <w:rPr>
          <w:rStyle w:val="StyleUnderline"/>
        </w:rPr>
        <w:t>It ignores that resources are finite, and every government use competes with other uses that may be equally good or better</w:t>
      </w:r>
      <w:r w:rsidRPr="00AA0D15">
        <w:t xml:space="preserve">, including what taxpayers may have spent the money on had they been able to keep it. Unfortunately, it is impossible to show someone not spending money on a new car, or investing in a new business, because the dough has gone to an after-school program, or a college Work Study job. So news reports basically ignore opportunity costs. That problem now off my chest, let’s look at a few of the education items in the Trump administration’s thin proposal: $250 million for a new private school voucher program, $168 million more for charter schools School choice works, but </w:t>
      </w:r>
      <w:r w:rsidRPr="00AA0D15">
        <w:rPr>
          <w:rStyle w:val="Emphasis"/>
        </w:rPr>
        <w:t>the danger of federalized choice is huge. It threatens to homogenize private schools through regulation, and a federal effort could eventually grow large enough to crowd out state programs, killing the competition and innovation that comes through state — “laboratories of democracy” — policymaking</w:t>
      </w:r>
      <w:r w:rsidRPr="00AA0D15">
        <w:t xml:space="preserve">. Like almost all federal education meddling, </w:t>
      </w:r>
      <w:r w:rsidRPr="00AA0D15">
        <w:rPr>
          <w:rStyle w:val="StyleUnderline"/>
        </w:rPr>
        <w:t>it also would be unconstitutional: the Constitution gives Washington no power to govern or fund education</w:t>
      </w:r>
      <w:r w:rsidRPr="00AA0D15">
        <w:t xml:space="preserve">, including school choice. </w:t>
      </w:r>
      <w:r w:rsidRPr="00AA0D15">
        <w:rPr>
          <w:rStyle w:val="StyleUnderline"/>
        </w:rPr>
        <w:t>This</w:t>
      </w:r>
      <w:r w:rsidRPr="00AA0D15">
        <w:t xml:space="preserve"> $1.2 billion </w:t>
      </w:r>
      <w:r w:rsidRPr="00AA0D15">
        <w:rPr>
          <w:rStyle w:val="StyleUnderline"/>
        </w:rPr>
        <w:t>program</w:t>
      </w:r>
      <w:r w:rsidRPr="00AA0D15">
        <w:t xml:space="preserve">, which supplies funds for before- and after-school programs as well as summer programming, </w:t>
      </w:r>
      <w:r w:rsidRPr="00AA0D15">
        <w:rPr>
          <w:rStyle w:val="StyleUnderline"/>
        </w:rPr>
        <w:t>cries out for elimination. Not only is it unconstitutional and in no way something states could not do on their own, but federal evaluations have found that it may have negative effects</w:t>
      </w:r>
      <w:r w:rsidRPr="00AA0D15">
        <w:t xml:space="preserve">. As I have discussed before, </w:t>
      </w:r>
      <w:r w:rsidRPr="00AA0D15">
        <w:rPr>
          <w:rStyle w:val="StyleUnderline"/>
        </w:rPr>
        <w:t>a 2005 evaluation stated</w:t>
      </w:r>
      <w:r w:rsidRPr="00AA0D15">
        <w:t xml:space="preserve">: This study finds that </w:t>
      </w:r>
      <w:r w:rsidRPr="00AA0D15">
        <w:rPr>
          <w:rStyle w:val="StyleUnderline"/>
        </w:rPr>
        <w:t>elementary students who were randomly assigned to attend the 21st Century Community Learning Centers after-school program were more likely to feel safe after school, no more likely to have higher academic achievement, no less likely to be in self-care,</w:t>
      </w:r>
      <w:r w:rsidRPr="00AA0D15">
        <w:t xml:space="preserve"> </w:t>
      </w:r>
      <w:r w:rsidRPr="00AA0D15">
        <w:rPr>
          <w:rStyle w:val="StyleUnderline"/>
        </w:rPr>
        <w:t>more likely to engage in some negative behaviors, and experience mixed effects on developmental outcomes relative to students who were not randomly assigned</w:t>
      </w:r>
      <w:r w:rsidRPr="00AA0D15">
        <w:t xml:space="preserve"> to attend the centers. Of course </w:t>
      </w:r>
      <w:r w:rsidRPr="00AA0D15">
        <w:rPr>
          <w:rStyle w:val="StyleUnderline"/>
        </w:rPr>
        <w:t>these programs</w:t>
      </w:r>
      <w:r w:rsidRPr="00AA0D15">
        <w:t xml:space="preserve"> — one provides grants to students, the other funding for student jobs — </w:t>
      </w:r>
      <w:r w:rsidRPr="00AA0D15">
        <w:rPr>
          <w:rStyle w:val="StyleUnderline"/>
        </w:rPr>
        <w:t>are unconstitutional, but they are also counterproductive.</w:t>
      </w:r>
      <w:r w:rsidRPr="00AA0D15">
        <w:t xml:space="preserve"> Like all federal student aid programs, </w:t>
      </w:r>
      <w:r w:rsidRPr="00AA0D15">
        <w:rPr>
          <w:rStyle w:val="StyleUnderline"/>
        </w:rPr>
        <w:t>they enable schools to boost prices or redirect other aid, and they incentivize students to think less intensely about whether they should go to college</w:t>
      </w:r>
      <w:r w:rsidRPr="00AA0D15">
        <w:t xml:space="preserve">, what they study, and how quickly they finish. They are not the main culprits — both are quite small relative to other student aid programs — but they are subsidies nonetheless, and </w:t>
      </w:r>
      <w:r w:rsidRPr="00AA0D15">
        <w:rPr>
          <w:rStyle w:val="StyleUnderline"/>
        </w:rPr>
        <w:t>starting with small programs is a good way to ease into the bigger cuts we need. It is also difficult to justify giving taxpayer money to students, even in exchange for some sort of work, when the average payoff of graduating from college is around $1 million.</w:t>
      </w:r>
      <w:r w:rsidRPr="00AA0D15">
        <w:t xml:space="preserve"> At the very least, shouldn’t beneficiaries of aid have to repay taxpayers? The feds offer loans, after all. (Of course, they should be eliminated, too.) Trim TRIO Programs and GEAR UP These programs are supposed to help low-income students prepare for, and access, college. Again, there is no constitutional authority for their existence, and states or civil society could handle the job. But the evidence on the programs’ effectiveness is also pretty poor. As I testified to the U.S. Commission on Civil Rights, recent official assessments have often used weak research methods, and better ones have found uninspiring effects. </w:t>
      </w:r>
      <w:r w:rsidRPr="00AA0D15">
        <w:rPr>
          <w:rStyle w:val="StyleUnderline"/>
        </w:rPr>
        <w:t xml:space="preserve">The people who benefit directly from federal programs will no doubt be unhappy with threatened cuts affecting them, and they will likely be featured in news coverage. But for the country, many of these proposed cuts may well be good news. </w:t>
      </w:r>
    </w:p>
    <w:p w:rsidR="004F0113" w:rsidRDefault="004F0113" w:rsidP="004F0113">
      <w:pPr>
        <w:pStyle w:val="Heading3"/>
      </w:pPr>
      <w:r>
        <w:t>Solvency – economy</w:t>
      </w:r>
    </w:p>
    <w:p w:rsidR="004F0113" w:rsidRDefault="004F0113" w:rsidP="004F0113">
      <w:pPr>
        <w:pStyle w:val="Heading4"/>
      </w:pPr>
      <w:r>
        <w:t>State-led education initiatives are key to economy</w:t>
      </w:r>
    </w:p>
    <w:p w:rsidR="004F0113" w:rsidRPr="0049640A" w:rsidRDefault="004F0113" w:rsidP="004F0113">
      <w:pPr>
        <w:rPr>
          <w:rStyle w:val="Style13ptBold"/>
          <w:b w:val="0"/>
          <w:bCs w:val="0"/>
          <w:sz w:val="16"/>
        </w:rPr>
      </w:pPr>
      <w:r>
        <w:rPr>
          <w:rStyle w:val="Style13ptBold"/>
        </w:rPr>
        <w:t>Berger and Fisher 13</w:t>
      </w:r>
      <w:r w:rsidRPr="0049640A">
        <w:t xml:space="preserve"> (Noah Berger and Peter Fisher, Economic Policy Institute, August 22, 2013, Noah Berger is president of the Massachusetts Budget and Policy Center, an independent research organization that analyzes state budget and tax policies, as well as economic issues that affect low- and moderate-income people in Massachusetts. Prior to joining the center, Berger served as counsel and policy director for the Massachusetts Senate Committee on Ways and Means from 1993 to 1996 and as policy director for Massachusetts Senate President Tom Birmingham from 1996 to 2002. Berger’s leadership extends to the national arena, where he serves on the board of directors for Public Works, on the advisory board of the Tax Policy Center, and on the EARN advisory group. Berger graduated from Harvard College and has a J.D. from Harvard Law School.</w:t>
      </w:r>
      <w:r>
        <w:t xml:space="preserve"> </w:t>
      </w:r>
      <w:r w:rsidRPr="0049640A">
        <w:t xml:space="preserve">Peter Fisher is the research director at the Iowa Policy Project. Fisher is a national expert on public finance and has served as a consultant to the Iowa Department of Economic Development, the State of Ohio, and the Iowa Business Council. His reports are regularly published in State Tax Notes and refereed journals. His most recent book is Grading Places: What do the Business Climate Rankings Really Tell Us, 2nd edition, published in 2013 by Good Jobs First. He has authored or co-authored the majority of Iowa Fiscal Partnership reports and guest opinions on state tax policy. Fisher is professor emeritus of Urban and Regional Planning at the University of Iowa. Fisher has a Ph.D. in economics from the University of Wisconsin-Madison. </w:t>
      </w:r>
      <w:hyperlink r:id="rId113" w:history="1">
        <w:r w:rsidRPr="0049640A">
          <w:rPr>
            <w:rStyle w:val="Hyperlink"/>
          </w:rPr>
          <w:t>http://www.epi.org/publication/states-education-productivity-growth-foundations/</w:t>
        </w:r>
      </w:hyperlink>
      <w:r w:rsidRPr="0049640A">
        <w:t>) GG</w:t>
      </w:r>
    </w:p>
    <w:p w:rsidR="004F0113" w:rsidRDefault="004F0113" w:rsidP="004F0113">
      <w:r w:rsidRPr="0049640A">
        <w:rPr>
          <w:rStyle w:val="Emphasis"/>
        </w:rPr>
        <w:t>What can state governments do to boost the economic well-being of their people</w:t>
      </w:r>
      <w:r>
        <w:t xml:space="preserve">? That is the central question of state economic policy. Incomes and wages can increase across an economy when productivity—production per capita—increases. </w:t>
      </w:r>
      <w:r w:rsidRPr="0049640A">
        <w:rPr>
          <w:rStyle w:val="StyleUnderline"/>
        </w:rPr>
        <w:t>States have many tools in their arsenal to increase productivity, including investments in public infrastructure</w:t>
      </w:r>
      <w:r>
        <w:t xml:space="preserve">, in technological innovation at public universities and other institutions, and in workers through the education and training systems. </w:t>
      </w:r>
      <w:r w:rsidRPr="0049640A">
        <w:rPr>
          <w:rStyle w:val="StyleUnderline"/>
        </w:rPr>
        <w:t>But many states have been retreating from their responsibility to ensure state economic growth that benefits all residents in favor of a short-sighted approach to economic development</w:t>
      </w:r>
      <w:r>
        <w:t xml:space="preserve">. In these states, the focus is on luring employers from other states with strategies that do not lead to rising incomes because they do not make the workforce more productive. </w:t>
      </w:r>
      <w:r w:rsidRPr="0049640A">
        <w:rPr>
          <w:rStyle w:val="StyleUnderline"/>
        </w:rPr>
        <w:t xml:space="preserve">Even worse, the focus drains resources from the most important, proven, path to increasing productivity: </w:t>
      </w:r>
      <w:r w:rsidRPr="0049640A">
        <w:rPr>
          <w:rStyle w:val="Emphasis"/>
        </w:rPr>
        <w:t>investments in education</w:t>
      </w:r>
      <w:r>
        <w:t xml:space="preserve">. Major findings of this report include the following: </w:t>
      </w:r>
      <w:r w:rsidRPr="0049640A">
        <w:rPr>
          <w:rStyle w:val="StyleUnderline"/>
        </w:rPr>
        <w:t>Overwhelmingly, high-wage states are states with a well-educated workforce. There is a clear and strong correlation between the educational attainment of a state’s workforce and median wages in the state.</w:t>
      </w:r>
      <w:r>
        <w:rPr>
          <w:rStyle w:val="StyleUnderline"/>
        </w:rPr>
        <w:t xml:space="preserve"> </w:t>
      </w:r>
      <w:r w:rsidRPr="0049640A">
        <w:rPr>
          <w:rStyle w:val="StyleUnderline"/>
        </w:rPr>
        <w:t>States can build a strong foundation for economic success and shared prosperity by investing in education. Providing expanded access to high quality education will not only expand economic opportunity</w:t>
      </w:r>
      <w:r>
        <w:t xml:space="preserve"> for residents, </w:t>
      </w:r>
      <w:r w:rsidRPr="0049640A">
        <w:rPr>
          <w:rStyle w:val="StyleUnderline"/>
        </w:rPr>
        <w:t>but also likely do more to strengthen the overall state economy than anything else a state government</w:t>
      </w:r>
      <w:r>
        <w:t xml:space="preserve"> can do. Cutting taxes to capture private investment from other states is a race-to-the-bottom state economic development strategy that undermines the ability to invest in education. </w:t>
      </w:r>
      <w:r w:rsidRPr="0049640A">
        <w:rPr>
          <w:rStyle w:val="StyleUnderline"/>
        </w:rPr>
        <w:t>States can increase the strength of their economies and their ability to grow and attract high-wage employers by investing in education and increasing the number of well-educated workers.</w:t>
      </w:r>
      <w:r>
        <w:rPr>
          <w:rStyle w:val="StyleUnderline"/>
        </w:rPr>
        <w:t xml:space="preserve"> </w:t>
      </w:r>
      <w:r w:rsidRPr="0049640A">
        <w:rPr>
          <w:rStyle w:val="StyleUnderline"/>
        </w:rPr>
        <w:t>Investing in education is also good for state budgets in the long run, since workers with higher incomes contribute more through taxes over the course of their lifetimes</w:t>
      </w:r>
      <w:r>
        <w:t xml:space="preserve">. Introduction: Education suffers as state economic development wars escalate </w:t>
      </w:r>
      <w:r w:rsidRPr="0049640A">
        <w:rPr>
          <w:rStyle w:val="Emphasis"/>
        </w:rPr>
        <w:t>Historically, U.S. economic growth and prosperity have been achieved through an implicit partnership of federal, state, and local governments</w:t>
      </w:r>
      <w:r>
        <w:t xml:space="preserve">, a partnership that worked astonishingly well for a period after World War II. </w:t>
      </w:r>
      <w:r w:rsidRPr="0049640A">
        <w:rPr>
          <w:rStyle w:val="StyleUnderline"/>
        </w:rPr>
        <w:t>The federal government provided overall economic stability</w:t>
      </w:r>
      <w:r>
        <w:t xml:space="preserve"> and sought to ensure that the economy never veered too far from full employment.1 </w:t>
      </w:r>
      <w:r w:rsidRPr="004F0113">
        <w:rPr>
          <w:rStyle w:val="Emphasis"/>
        </w:rPr>
        <w:t>State and local governments assumed primary responsibility for the education system</w:t>
      </w:r>
      <w:r>
        <w:t xml:space="preserve"> that produced a more skilled and productive workforce. Federal and state governments both invested in infrastructure, and in basic research that provided enormous long-term benefits for the private sector. The end result was a long period of postwar productivity growth, the prerequisite for growth in the standard of living. </w:t>
      </w:r>
      <w:r w:rsidRPr="0049640A">
        <w:rPr>
          <w:rStyle w:val="StyleUnderline"/>
        </w:rPr>
        <w:t>During the 1970s and 1980s, state and local governments across the country became convinced that they should play a more aggressive and expansive role in economic policy</w:t>
      </w:r>
      <w:r>
        <w:t xml:space="preserve"> (Fisher and Peters 1998). Economic development became accepted as a major function of state and local government, and came to mean the direct promotion of private investment within the borders of a state or city. </w:t>
      </w:r>
      <w:r w:rsidRPr="0049640A">
        <w:rPr>
          <w:rStyle w:val="StyleUnderline"/>
        </w:rPr>
        <w:t>This led to escalating competition for a limited supply of private capital investment through increasingly generous incentive packages.</w:t>
      </w:r>
      <w:r>
        <w:rPr>
          <w:rStyle w:val="StyleUnderline"/>
        </w:rPr>
        <w:t xml:space="preserve"> </w:t>
      </w:r>
      <w:r>
        <w:t xml:space="preserve">While cutting costs to business has become the principal focus of economic development policy in many states, more and more states are cutting programs across the spectrum to lower state taxes. 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 </w:t>
      </w:r>
      <w:r w:rsidRPr="0049640A">
        <w:t>State and local taxes on business are simply too small a share of total business costs to play a significant role in location decisions</w:t>
      </w:r>
      <w:r>
        <w:t>; other factors—labor skills, wages, access to inputs and markets—are much more important. Yet business tax breaks are expensive, and take money from investments in education and infrastructure that increase productivity and support growth. And as public resources are squandered on unproductive state efforts to capture private investment at the expense of other states</w:t>
      </w:r>
      <w:r w:rsidRPr="0049640A">
        <w:rPr>
          <w:rStyle w:val="StyleUnderline"/>
        </w:rPr>
        <w:t>, it becomes more difficult to fund the kind of education system innovations needed to raise U.S. educational performance up to the levels of other advanced industrial societies. Furthermore, investments in public research universities are important to enhancing the nation’s rate of innovation</w:t>
      </w:r>
      <w:r>
        <w:t xml:space="preserve"> as basic research is spun off in new private ventures, and to maintaining or recapturing our leadership role in new technologies. </w:t>
      </w:r>
      <w:r w:rsidRPr="0049640A">
        <w:rPr>
          <w:rStyle w:val="StyleUnderline"/>
        </w:rPr>
        <w:t>Inadequate investments in education weaken the ability of a state to develop, grow, and attract businesses that offer high-skilled, high-wage jobs</w:t>
      </w:r>
      <w:r>
        <w:t xml:space="preserve">. </w:t>
      </w:r>
      <w:r w:rsidRPr="0049640A">
        <w:rPr>
          <w:rStyle w:val="StyleUnderline"/>
        </w:rPr>
        <w:t>Strong state education systems are good not just</w:t>
      </w:r>
      <w:r>
        <w:rPr>
          <w:rStyle w:val="StyleUnderline"/>
        </w:rPr>
        <w:t xml:space="preserve"> </w:t>
      </w:r>
      <w:r w:rsidRPr="0049640A">
        <w:rPr>
          <w:rStyle w:val="StyleUnderline"/>
        </w:rPr>
        <w:t>for the national economy; they are good for the citizens of the state</w:t>
      </w:r>
      <w:r>
        <w:t xml:space="preserve">. Ultimately, state economic policies seek to improve the lives of the people in the state, which means creating conditions in which people can get jobs that pay enough to support a family and provide economic security. </w:t>
      </w:r>
      <w:r w:rsidRPr="0049640A">
        <w:rPr>
          <w:rStyle w:val="StyleUnderline"/>
        </w:rPr>
        <w:t>This leads to a virtuous cycle, as working people who can afford to buy goods and services support local businesses and the local economy.</w:t>
      </w:r>
      <w:r>
        <w:rPr>
          <w:rStyle w:val="StyleUnderline"/>
        </w:rPr>
        <w:t xml:space="preserve"> </w:t>
      </w:r>
      <w:r w:rsidRPr="0049640A">
        <w:rPr>
          <w:rStyle w:val="StyleUnderline"/>
        </w:rPr>
        <w:t>The connection between education and income is strong</w:t>
      </w:r>
      <w:r>
        <w:t xml:space="preserve">. </w:t>
      </w:r>
      <w:r w:rsidRPr="0049640A">
        <w:rPr>
          <w:rStyle w:val="StyleUnderline"/>
        </w:rPr>
        <w:t>A</w:t>
      </w:r>
      <w:r>
        <w:t xml:space="preserve"> high </w:t>
      </w:r>
      <w:r w:rsidRPr="0049640A">
        <w:rPr>
          <w:rStyle w:val="StyleUnderline"/>
        </w:rPr>
        <w:t>school diploma</w:t>
      </w:r>
      <w:r>
        <w:t xml:space="preserve">, technical college certificate, or college degree </w:t>
      </w:r>
      <w:r w:rsidRPr="0049640A">
        <w:rPr>
          <w:rStyle w:val="StyleUnderline"/>
        </w:rPr>
        <w:t>not only increases one’s skills and productivity, but signals to employers that the individual is motivated and completes tasks</w:t>
      </w:r>
      <w:r>
        <w:t xml:space="preserve">. A more educated individual is more likely to participate in the job market, to have a job, to work more hours, and to be paid more, and less likely to be unemployed (French and Fisher 2009). </w:t>
      </w:r>
      <w:r w:rsidRPr="0049640A">
        <w:rPr>
          <w:rStyle w:val="StyleUnderline"/>
        </w:rPr>
        <w:t xml:space="preserve">But </w:t>
      </w:r>
      <w:r w:rsidRPr="0049640A">
        <w:rPr>
          <w:rStyle w:val="Emphasis"/>
        </w:rPr>
        <w:t>the benefits of education go beyond the economic returns</w:t>
      </w:r>
      <w:r w:rsidRPr="0049640A">
        <w:rPr>
          <w:rStyle w:val="StyleUnderline"/>
        </w:rPr>
        <w:t>. Higher levels of education also correspond to improved health and</w:t>
      </w:r>
      <w:r w:rsidRPr="0049640A">
        <w:rPr>
          <w:rStyle w:val="Emphasis"/>
        </w:rPr>
        <w:t xml:space="preserve"> lower rates of mortality</w:t>
      </w:r>
      <w:r w:rsidRPr="0049640A">
        <w:rPr>
          <w:rStyle w:val="StyleUnderline"/>
        </w:rPr>
        <w:t xml:space="preserve">, </w:t>
      </w:r>
      <w:r w:rsidRPr="0049640A">
        <w:rPr>
          <w:rStyle w:val="Emphasis"/>
        </w:rPr>
        <w:t>and</w:t>
      </w:r>
      <w:r w:rsidRPr="0049640A">
        <w:rPr>
          <w:rStyle w:val="StyleUnderline"/>
        </w:rPr>
        <w:t xml:space="preserve"> lower rates of crime </w:t>
      </w:r>
      <w:r>
        <w:t xml:space="preserve">(Grossman and Kaestner 1997; Lleras-Muney 2005; Lochner and Moretti 2004). </w:t>
      </w:r>
      <w:r w:rsidRPr="0049640A">
        <w:rPr>
          <w:rStyle w:val="StyleUnderline"/>
        </w:rPr>
        <w:t>Research has also shown that greater parent education correlates positively with children’s health, cognitive abilities, and academic achievement</w:t>
      </w:r>
      <w:r>
        <w:t xml:space="preserve"> (Wolfe and Zuvekas 1995; Haveman and Wolfe 1995; Smith, Brooks-Gunn, and Klebanov 1997). </w:t>
      </w:r>
      <w:r w:rsidRPr="0049640A">
        <w:rPr>
          <w:rStyle w:val="StyleUnderline"/>
        </w:rPr>
        <w:t>The children of more highly paid workers are also less likely to grow up in poverty, less likely to be poor as adults, and more likely to be better educated and paid as adults, and therefore less likely to rely on food stamps or other public assistance</w:t>
      </w:r>
      <w:r>
        <w:t xml:space="preserve"> (French and Fisher 2009; Duncan, Kalil, and Ziol-Guest 2008). </w:t>
      </w:r>
      <w:r w:rsidRPr="0049640A">
        <w:rPr>
          <w:rStyle w:val="StyleUnderline"/>
        </w:rPr>
        <w:t>The benefits of a more educated population accrue not just to the more educated workers, but to future generations and to the broader society.</w:t>
      </w:r>
      <w:r>
        <w:rPr>
          <w:rStyle w:val="StyleUnderline"/>
        </w:rPr>
        <w:t xml:space="preserve"> </w:t>
      </w:r>
      <w:r>
        <w:t xml:space="preserve">The productivity-education link The best way to measure whether an economy is working is to look at whether the incomes of average people are increasing. To achieve rising incomes for average people, two things need to happen: productivity needs to increase (creating more income overall), and new income generated from their increased productivity needs to be returned to workers in the form of higher wages. </w:t>
      </w:r>
      <w:r w:rsidRPr="0049640A">
        <w:rPr>
          <w:rStyle w:val="StyleUnderline"/>
        </w:rPr>
        <w:t xml:space="preserve">Ensuring the fair distribution of the rewards of productivity growth is primarily a federal responsibility, </w:t>
      </w:r>
      <w:r>
        <w:t xml:space="preserve">through such things as strong labor laws, fair trade policies, and monetary and fiscal policies that encourage full employment. There are some steps states can take in this area, such as maintaining strong labor standards, including minimum wage laws that protect the lowest paid workers. </w:t>
      </w:r>
      <w:r w:rsidRPr="0049640A">
        <w:rPr>
          <w:rStyle w:val="StyleUnderline"/>
        </w:rPr>
        <w:t xml:space="preserve">Where states have the greatest role to play, however, is in making sure that all of their people—and particularly in those from the most disadvantaged backgrounds—have the tools to be highly productive. </w:t>
      </w:r>
      <w:r w:rsidRPr="0049640A">
        <w:rPr>
          <w:rStyle w:val="Emphasis"/>
        </w:rPr>
        <w:t>Education is the key to that,</w:t>
      </w:r>
      <w:r>
        <w:t xml:space="preserve"> as are other things that make learning possible, such as making sure children have decent health care and sufficient nutrition. Reducing poverty itself has also been shown to improve the ability of children to thrive (Marr, Charite, and Huang 2013). </w:t>
      </w:r>
      <w:r w:rsidRPr="0049640A">
        <w:rPr>
          <w:rStyle w:val="StyleUnderline"/>
        </w:rPr>
        <w:t>Evidence suggests that states that increase the level of education of their workforce see greater productivit</w:t>
      </w:r>
      <w:r>
        <w:t>y. As shown in Figure A, between 1979 and 2012, states in which the share of adults with at least a college degree experienced greater increases in productivity, measured as gross state product per hour worked.</w:t>
      </w:r>
    </w:p>
    <w:p w:rsidR="004F0113" w:rsidRPr="004F0113" w:rsidRDefault="004F0113" w:rsidP="004F0113"/>
    <w:p w:rsidR="00C47278" w:rsidRPr="00AA0D15" w:rsidRDefault="00C47278" w:rsidP="00C47278">
      <w:pPr>
        <w:pStyle w:val="Heading3"/>
        <w:rPr>
          <w:rFonts w:cs="Times New Roman"/>
        </w:rPr>
      </w:pPr>
      <w:r w:rsidRPr="00AA0D15">
        <w:rPr>
          <w:rFonts w:cs="Times New Roman"/>
        </w:rPr>
        <w:t>Federal solvency deficits</w:t>
      </w:r>
    </w:p>
    <w:p w:rsidR="00C47278" w:rsidRPr="00AA0D15" w:rsidRDefault="00C47278" w:rsidP="00C47278">
      <w:pPr>
        <w:pStyle w:val="Heading4"/>
        <w:rPr>
          <w:rFonts w:cs="Times New Roman"/>
        </w:rPr>
      </w:pPr>
      <w:r w:rsidRPr="00AA0D15">
        <w:rPr>
          <w:rFonts w:cs="Times New Roman"/>
        </w:rPr>
        <w:t>History of federal funding doesn’t correlate with better education results</w:t>
      </w:r>
    </w:p>
    <w:p w:rsidR="00C47278" w:rsidRPr="00AA0D15" w:rsidRDefault="00C47278" w:rsidP="00C47278">
      <w:r w:rsidRPr="00AA0D15">
        <w:rPr>
          <w:rStyle w:val="Style13ptBold"/>
        </w:rPr>
        <w:t>Coulson 11</w:t>
      </w:r>
      <w:r w:rsidRPr="00AA0D15">
        <w:t xml:space="preserve"> (Andrew J. Coulson, CATO, “The Impact of Federal Involvement in America’s Classrooms” 2/10/11 Andrew J. Coulson was the director of Cato’s Center for Educational Freedom from 2005 to 2015 and a senior fellow from 2015 until his death in February 2016. Previously, he was senior fellow in education policy at the Mackinac Center for Public Policy. He served on the advisory council of the E.G. West Centre for Market Solutions in Education at the University of Newcastle, UK, and contributed to books published by the Fraser Institute https://www.cato.org/publications/congressional-testimony/impact-federal-involvement-americas-classrooms) GG</w:t>
      </w:r>
    </w:p>
    <w:p w:rsidR="00C47278" w:rsidRPr="00AA0D15" w:rsidRDefault="00C47278" w:rsidP="00C47278">
      <w:r w:rsidRPr="00AA0D15">
        <w:t xml:space="preserve">Chairman Kline, members of the Committee, thank you for inviting me to speak with you today. My name is Andrew Coulson and I direct the Center for Educational Freedom at the Cato Institute, a nonprofit, non-partisan public policy research organization. My comments are my own, and do not represent any position of the Institute. </w:t>
      </w:r>
      <w:r w:rsidRPr="00AA0D15">
        <w:rPr>
          <w:rStyle w:val="StyleUnderline"/>
        </w:rPr>
        <w:t>For over half a century, a succession of Congresses and presidents has sought to do two things for American elementary and secondary education: raise overall achievement</w:t>
      </w:r>
      <w:r w:rsidRPr="00AA0D15">
        <w:t xml:space="preserve">, </w:t>
      </w:r>
      <w:r w:rsidRPr="00AA0D15">
        <w:rPr>
          <w:rStyle w:val="StyleUnderline"/>
        </w:rPr>
        <w:t xml:space="preserve">and narrow the gaps between high- and low-income students </w:t>
      </w:r>
      <w:r w:rsidRPr="00AA0D15">
        <w:t xml:space="preserve">as well as between minority and white students. </w:t>
      </w:r>
      <w:r w:rsidRPr="00AA0D15">
        <w:rPr>
          <w:rStyle w:val="StyleUnderline"/>
        </w:rPr>
        <w:t>The federal government has spent roughly $2 trillion on these efforts</w:t>
      </w:r>
      <w:r w:rsidRPr="00AA0D15">
        <w:t xml:space="preserve"> since 1965, adjusting for inflation.1 In the next few minutes I will summarize the results of these efforts and their implications for federal education policy. </w:t>
      </w:r>
      <w:r w:rsidRPr="00AA0D15">
        <w:rPr>
          <w:rStyle w:val="StyleUnderline"/>
        </w:rPr>
        <w:t>Congress’ first attempt to improve the quality of instruction in the nation’s schools was the National Defense Education Act</w:t>
      </w:r>
      <w:r w:rsidRPr="00AA0D15">
        <w:t xml:space="preserve"> of 1958, a direct response to the Soviet launch of the satellite Sputnik</w:t>
      </w:r>
      <w:r w:rsidRPr="00AA0D15">
        <w:rPr>
          <w:rStyle w:val="StyleUnderline"/>
        </w:rPr>
        <w:t xml:space="preserve">. It was intended to raise mathematics and science achievement. There are no data on science achievement during this period </w:t>
      </w:r>
      <w:r w:rsidRPr="00AA0D15">
        <w:t xml:space="preserve">to my knowledge, </w:t>
      </w:r>
      <w:r w:rsidRPr="00AA0D15">
        <w:rPr>
          <w:rStyle w:val="StyleUnderline"/>
        </w:rPr>
        <w:t>but we do have nationally representative trend data for mathematics performance at the end of high school,</w:t>
      </w:r>
      <w:r w:rsidRPr="00AA0D15">
        <w:t xml:space="preserve"> which I present in Figure 1. As can be seen from the chart, </w:t>
      </w:r>
      <w:r w:rsidRPr="00AA0D15">
        <w:rPr>
          <w:rStyle w:val="StyleUnderline"/>
        </w:rPr>
        <w:t>math scores declined slightly during the latter half of the 1950s, and this decline accelerated from 1960 to 1966, after the NDEA</w:t>
      </w:r>
      <w:r w:rsidRPr="00AA0D15">
        <w:t xml:space="preserve"> was passed. Scores had still not recovered to their 1955 high point three decades later. While the up-trend between 1966 and 1983 looks promising, it was not sustained. Figure 2 charts the percent change in Math, Science, and Reading scores from the 1970s to the present, along with the percent change in real federal education spending per pupil. </w:t>
      </w:r>
      <w:r w:rsidRPr="00AA0D15">
        <w:rPr>
          <w:rStyle w:val="StyleUnderline"/>
        </w:rPr>
        <w:t>Math and Reading scores at the end of high school are unchanged over the past forty years</w:t>
      </w:r>
      <w:r w:rsidRPr="00AA0D15">
        <w:t xml:space="preserve">, </w:t>
      </w:r>
      <w:r w:rsidRPr="00AA0D15">
        <w:rPr>
          <w:rStyle w:val="StyleUnderline"/>
        </w:rPr>
        <w:t xml:space="preserve">while Science scores suffered a slight decline through the year 1999, </w:t>
      </w:r>
      <w:r w:rsidRPr="00AA0D15">
        <w:t xml:space="preserve">the last time that test was administered. Data from another nationally representative test series show a continuing decline in 12th grade Science between 1996 and 2005, the last year for which we have trend data.2 Presented with stagnant or declining performance in the face of a meteoric rise in federal spending per pupil, it is reasonable to ask: </w:t>
      </w:r>
      <w:r w:rsidRPr="00AA0D15">
        <w:rPr>
          <w:rStyle w:val="StyleUnderline"/>
        </w:rPr>
        <w:t xml:space="preserve">what happened to total spending? If state and local expenditures fell to such an extent that they offset federal increases, that might explain the profound disconnect revealed in Figure 2. </w:t>
      </w:r>
      <w:r w:rsidRPr="00AA0D15">
        <w:t xml:space="preserve">To answer that question, I present Figure 3, showing how the total cost of an entire k-through-12 public school education has changed over time. </w:t>
      </w:r>
      <w:r w:rsidRPr="00AA0D15">
        <w:rPr>
          <w:rStyle w:val="StyleUnderline"/>
        </w:rPr>
        <w:t>We spent over $151,000 per student sending the graduating class of 2009 through public schools</w:t>
      </w:r>
      <w:r w:rsidRPr="00AA0D15">
        <w:t>. That is nearly three times as much as we spent on the graduating class of 1970, adjusting for inflation.</w:t>
      </w:r>
      <w:r w:rsidRPr="00AA0D15">
        <w:rPr>
          <w:rStyle w:val="StyleUnderline"/>
        </w:rPr>
        <w:t xml:space="preserve"> Despite that massive real spending increase, overall achievement has stagnated or declined, depending on the subject.</w:t>
      </w:r>
    </w:p>
    <w:p w:rsidR="00C47278" w:rsidRPr="00AA0D15" w:rsidRDefault="00C47278" w:rsidP="00C47278">
      <w:pPr>
        <w:pStyle w:val="Heading4"/>
        <w:rPr>
          <w:rFonts w:cs="Times New Roman"/>
        </w:rPr>
      </w:pPr>
      <w:r w:rsidRPr="00AA0D15">
        <w:rPr>
          <w:rFonts w:cs="Times New Roman"/>
        </w:rPr>
        <w:t>Specifically, it doesn’t solve gaps from minority/low income students</w:t>
      </w:r>
    </w:p>
    <w:p w:rsidR="00C47278" w:rsidRPr="00AA0D15" w:rsidRDefault="00C47278" w:rsidP="00C47278">
      <w:pPr>
        <w:rPr>
          <w:b/>
          <w:bCs/>
          <w:sz w:val="26"/>
        </w:rPr>
      </w:pPr>
      <w:r w:rsidRPr="00AA0D15">
        <w:rPr>
          <w:rStyle w:val="Style13ptBold"/>
        </w:rPr>
        <w:t xml:space="preserve">Coulson 11 </w:t>
      </w:r>
      <w:r w:rsidRPr="00AA0D15">
        <w:t>(Andrew J. Coulson, CATO, “The Impact of Federal Involvement in America’s Classrooms” 2/10/11 Andrew J. Coulson was the director of Cato’s Center for Educational Freedom from 2005 to 2015 and a senior fellow from 2015 until his death in February 2016. Previously, he was senior fellow in education policy at the Mackinac Center for Public Policy. He served on the advisory council of the E.G. West Centre for Market Solutions in Education at the University of Newcastle, UK, and contributed to books published by the Fraser Institute https://www.cato.org/publications/congressional-testimony/impact-federal-involvement-americas-classrooms) GG</w:t>
      </w:r>
    </w:p>
    <w:p w:rsidR="00C47278" w:rsidRPr="00AA0D15" w:rsidRDefault="00C47278" w:rsidP="00C47278">
      <w:pPr>
        <w:rPr>
          <w:rStyle w:val="StyleUnderline"/>
        </w:rPr>
      </w:pPr>
      <w:r w:rsidRPr="00AA0D15">
        <w:rPr>
          <w:rStyle w:val="StyleUnderline"/>
        </w:rPr>
        <w:t>But what of the federal government’s other educational goal: narrowing the achievement gaps by income and minority status</w:t>
      </w:r>
      <w:r w:rsidRPr="00AA0D15">
        <w:t xml:space="preserve">? Test score breakdowns by family income are not available, but </w:t>
      </w:r>
      <w:r w:rsidRPr="00AA0D15">
        <w:rPr>
          <w:rStyle w:val="StyleUnderline"/>
        </w:rPr>
        <w:t>we</w:t>
      </w:r>
      <w:r w:rsidRPr="00AA0D15">
        <w:t xml:space="preserve"> do </w:t>
      </w:r>
      <w:r w:rsidRPr="00AA0D15">
        <w:rPr>
          <w:rStyle w:val="StyleUnderline"/>
        </w:rPr>
        <w:t>have</w:t>
      </w:r>
      <w:r w:rsidRPr="00AA0D15">
        <w:t xml:space="preserve"> something close</w:t>
      </w:r>
      <w:r w:rsidRPr="00AA0D15">
        <w:rPr>
          <w:rStyle w:val="StyleUnderline"/>
        </w:rPr>
        <w:t>: a breakdown by parents’ level of education. This allows us to compare the children of high school dropouts to those of college graduates</w:t>
      </w:r>
      <w:r w:rsidRPr="00AA0D15">
        <w:t xml:space="preserve">. In Reading and Science, </w:t>
      </w:r>
      <w:r w:rsidRPr="00AA0D15">
        <w:rPr>
          <w:rStyle w:val="StyleUnderline"/>
        </w:rPr>
        <w:t>the gap between these students has not narrowed in 40 years. In Math it has narrowed by barely one percent of the test score scale</w:t>
      </w:r>
      <w:r w:rsidRPr="00AA0D15">
        <w:t xml:space="preserve">.3 So, </w:t>
      </w:r>
      <w:r w:rsidRPr="00AA0D15">
        <w:rPr>
          <w:rStyle w:val="StyleUnderline"/>
        </w:rPr>
        <w:t>here</w:t>
      </w:r>
      <w:r w:rsidRPr="00AA0D15">
        <w:t xml:space="preserve"> again, </w:t>
      </w:r>
      <w:r w:rsidRPr="00AA0D15">
        <w:rPr>
          <w:rStyle w:val="StyleUnderline"/>
        </w:rPr>
        <w:t>federal appropriations and the programs they have funded have failed to achieve their goals. That leaves us with one last federal policy goal to examine: Shrinking the gaps between minority and white students. In science, these gaps</w:t>
      </w:r>
      <w:r w:rsidRPr="00AA0D15">
        <w:t xml:space="preserve">, too, </w:t>
      </w:r>
      <w:r w:rsidRPr="00AA0D15">
        <w:rPr>
          <w:rStyle w:val="StyleUnderline"/>
        </w:rPr>
        <w:t>are unchanged</w:t>
      </w:r>
      <w:r w:rsidRPr="00AA0D15">
        <w:t xml:space="preserve">,4 </w:t>
      </w:r>
      <w:r w:rsidRPr="00AA0D15">
        <w:rPr>
          <w:rStyle w:val="StyleUnderline"/>
        </w:rPr>
        <w:t>while they have narrowed in Reading and Mathematics</w:t>
      </w:r>
      <w:r w:rsidRPr="00AA0D15">
        <w:t xml:space="preserve">. But </w:t>
      </w:r>
      <w:r w:rsidRPr="00AA0D15">
        <w:rPr>
          <w:rStyle w:val="StyleUnderline"/>
        </w:rPr>
        <w:t>a key question remains: were federal programs responsible</w:t>
      </w:r>
      <w:r w:rsidRPr="00AA0D15">
        <w:t xml:space="preserve"> for this isolated gap narrowing? If so, the gap narrowing that did occur should track federal legislation and spending: starting gradually and then accelerating rapidly during the past two decades. To see if that is indeed the pattern, Figure 4 charts changes in the black/white Reading gap (which is one of the larger majority/minority gap reductions, with a fairly typical time trend). Comparing Figure 4 with the federal spending per pupil trend shown in Figure 2, </w:t>
      </w:r>
      <w:r w:rsidRPr="00AA0D15">
        <w:rPr>
          <w:rStyle w:val="StyleUnderline"/>
        </w:rPr>
        <w:t>there seems to be little support for the hypothesis that federal efforts have narrowed the black/white reading gap. The gap was essentially unchanged for the first 15 years after the passage of the ESEA and Head Start</w:t>
      </w:r>
      <w:r w:rsidRPr="00AA0D15">
        <w:t xml:space="preserve">. </w:t>
      </w:r>
      <w:r w:rsidRPr="00AA0D15">
        <w:rPr>
          <w:rStyle w:val="StyleUnderline"/>
        </w:rPr>
        <w:t>Then</w:t>
      </w:r>
      <w:r w:rsidRPr="00AA0D15">
        <w:t xml:space="preserve">, </w:t>
      </w:r>
      <w:r w:rsidRPr="00AA0D15">
        <w:rPr>
          <w:rStyle w:val="StyleUnderline"/>
        </w:rPr>
        <w:t>in</w:t>
      </w:r>
      <w:r w:rsidRPr="00AA0D15">
        <w:t xml:space="preserve"> the absenc</w:t>
      </w:r>
      <w:r w:rsidRPr="00AA0D15">
        <w:rPr>
          <w:rStyle w:val="StyleUnderline"/>
        </w:rPr>
        <w:t>e of any dramatic change in federal policy or spending,</w:t>
      </w:r>
      <w:r w:rsidRPr="00AA0D15">
        <w:t xml:space="preserve"> </w:t>
      </w:r>
      <w:r w:rsidRPr="00AA0D15">
        <w:rPr>
          <w:rStyle w:val="StyleUnderline"/>
        </w:rPr>
        <w:t>the gap suddenly narrowed between 1980 and 1988.</w:t>
      </w:r>
      <w:r w:rsidRPr="00AA0D15">
        <w:t xml:space="preserve"> Since 1988, </w:t>
      </w:r>
      <w:r w:rsidRPr="00AA0D15">
        <w:rPr>
          <w:rStyle w:val="StyleUnderline"/>
        </w:rPr>
        <w:t>the gap has actually widened slightly, despite a dramatic rise in federal spending over that period</w:t>
      </w:r>
      <w:r w:rsidRPr="00AA0D15">
        <w:t xml:space="preserve">. The patterns for both math and reading for both black and Hispanic students tell similar stories.5 To sum up, </w:t>
      </w:r>
      <w:r w:rsidRPr="00AA0D15">
        <w:rPr>
          <w:rStyle w:val="StyleUnderline"/>
        </w:rPr>
        <w:t>we have little to show for the $2 trillion in federal education spending of the past half century</w:t>
      </w:r>
      <w:r w:rsidRPr="00AA0D15">
        <w:t xml:space="preserve">. In the face of concerted and unflagging efforts by Congress and the states, </w:t>
      </w:r>
      <w:r w:rsidRPr="00AA0D15">
        <w:rPr>
          <w:rStyle w:val="StyleUnderline"/>
        </w:rPr>
        <w:t xml:space="preserve">public schooling has suffered a massive productivity collapse — it now costs three times as much to provide essentially the same education as we provided in 1970. </w:t>
      </w:r>
      <w:r w:rsidRPr="00AA0D15">
        <w:t xml:space="preserve">Grim as that picture may seem, it fails to capture the full measure of the problem. Because as productivity was falling relentlessly in education, it was rising everywhere else. A pound of grocery store coffee is not merely as affordable as it was in 1970 — it hasn’t just held its ground — it is cheaper in real dollars. Indeed virtually every product and service has gotten better, or more affordable, or both over the past two generations. Seen in that proper context, </w:t>
      </w:r>
      <w:r w:rsidRPr="00AA0D15">
        <w:rPr>
          <w:rStyle w:val="StyleUnderline"/>
        </w:rPr>
        <w:t xml:space="preserve">we would have to be disappointed with our nation’s lack of educational improvement even if federal spending had not increased at all. </w:t>
      </w:r>
      <w:r w:rsidRPr="00AA0D15">
        <w:t xml:space="preserve">The fact that </w:t>
      </w:r>
      <w:r w:rsidRPr="00AA0D15">
        <w:rPr>
          <w:rStyle w:val="StyleUnderline"/>
        </w:rPr>
        <w:t xml:space="preserve">outcomes have remained flat or declined while spending skyrocketed is a disaster </w:t>
      </w:r>
      <w:r w:rsidRPr="00AA0D15">
        <w:t>unparalleled in any other field.</w:t>
      </w:r>
      <w:r w:rsidRPr="00AA0D15">
        <w:rPr>
          <w:rStyle w:val="StyleUnderline"/>
        </w:rPr>
        <w:t xml:space="preserve"> The only thing it appears to have accomplished is to apply the brakes to the nation’s economic growth, by taxing trillions of dollars out of the productive sector of the economy and spending it on ineffective programs.</w:t>
      </w:r>
    </w:p>
    <w:p w:rsidR="00C47278" w:rsidRPr="00AA0D15" w:rsidRDefault="00C47278" w:rsidP="00C47278">
      <w:pPr>
        <w:pStyle w:val="Heading3"/>
        <w:rPr>
          <w:rFonts w:cs="Times New Roman"/>
        </w:rPr>
      </w:pPr>
      <w:r w:rsidRPr="00AA0D15">
        <w:rPr>
          <w:rFonts w:cs="Times New Roman"/>
        </w:rPr>
        <w:t>AT stimulus</w:t>
      </w:r>
    </w:p>
    <w:p w:rsidR="00C47278" w:rsidRPr="00AA0D15" w:rsidRDefault="00C47278" w:rsidP="00C47278">
      <w:pPr>
        <w:pStyle w:val="Heading4"/>
        <w:rPr>
          <w:rFonts w:cs="Times New Roman"/>
        </w:rPr>
      </w:pPr>
      <w:r w:rsidRPr="00AA0D15">
        <w:rPr>
          <w:rFonts w:cs="Times New Roman"/>
        </w:rPr>
        <w:t>Zero stimulus effect from education spending</w:t>
      </w:r>
    </w:p>
    <w:p w:rsidR="00C47278" w:rsidRPr="00AA0D15" w:rsidRDefault="00C47278" w:rsidP="00C47278">
      <w:pPr>
        <w:rPr>
          <w:rStyle w:val="Style13ptBold"/>
        </w:rPr>
      </w:pPr>
      <w:r w:rsidRPr="00AA0D15">
        <w:rPr>
          <w:rStyle w:val="Style13ptBold"/>
        </w:rPr>
        <w:t>Mitchell 5</w:t>
      </w:r>
      <w:r w:rsidRPr="00AA0D15">
        <w:t xml:space="preserve"> (Daniel Mitchell, McKenna Senior Fellow in Political Economy, “The Impact of Government Spending on Economic Growth”, Heritage 3/15/05 http://www.heritage.org/budget-and-spending/report/the-impact-government-spending-economic-growth) GG</w:t>
      </w:r>
    </w:p>
    <w:p w:rsidR="00C47278" w:rsidRPr="00AA0D15" w:rsidRDefault="00C47278" w:rsidP="00C47278">
      <w:r w:rsidRPr="00AA0D15">
        <w:rPr>
          <w:rStyle w:val="Emphasis"/>
        </w:rPr>
        <w:t>The behavioral penalty cost</w:t>
      </w:r>
      <w:r w:rsidRPr="00AA0D15">
        <w:t xml:space="preserve">. Government </w:t>
      </w:r>
      <w:r w:rsidRPr="00AA0D15">
        <w:rPr>
          <w:rStyle w:val="StyleUnderline"/>
        </w:rPr>
        <w:t>spending discourages productive choices</w:t>
      </w:r>
      <w:r w:rsidRPr="00AA0D15">
        <w:t xml:space="preserve">. Government programs often discourage economically desirable decisions. Saving is important to help provide capital for new investment, </w:t>
      </w:r>
      <w:r w:rsidRPr="00AA0D15">
        <w:rPr>
          <w:rStyle w:val="StyleUnderline"/>
        </w:rPr>
        <w:t>yet the incentive to save has been undermined by government programs that subsidize</w:t>
      </w:r>
      <w:r w:rsidRPr="00AA0D15">
        <w:t xml:space="preserve"> retirement, housing, and </w:t>
      </w:r>
      <w:r w:rsidRPr="00AA0D15">
        <w:rPr>
          <w:rStyle w:val="StyleUnderline"/>
        </w:rPr>
        <w:t>education</w:t>
      </w:r>
      <w:r w:rsidRPr="00AA0D15">
        <w:t xml:space="preserve">. </w:t>
      </w:r>
      <w:r w:rsidRPr="00AA0D15">
        <w:rPr>
          <w:rStyle w:val="StyleUnderline"/>
        </w:rPr>
        <w:t>Why</w:t>
      </w:r>
      <w:r w:rsidRPr="00AA0D15">
        <w:t xml:space="preserve"> </w:t>
      </w:r>
      <w:r w:rsidRPr="00AA0D15">
        <w:rPr>
          <w:rStyle w:val="StyleUnderline"/>
        </w:rPr>
        <w:t>should a person set aside income if government programs finance</w:t>
      </w:r>
      <w:r w:rsidRPr="00AA0D15">
        <w:t xml:space="preserve"> these big-ticket expenses? Other government spending programs-Medicaid is a good example-generate a negative economic impact because of eligibility rules that encourage individuals to depress their incomes artificially and misallocate their wealth.</w:t>
      </w:r>
    </w:p>
    <w:p w:rsidR="00C47278" w:rsidRPr="00AA0D15" w:rsidRDefault="00C47278" w:rsidP="00C47278">
      <w:r w:rsidRPr="00AA0D15">
        <w:rPr>
          <w:rStyle w:val="Emphasis"/>
        </w:rPr>
        <w:t>The market distortion cost</w:t>
      </w:r>
      <w:r w:rsidRPr="00AA0D15">
        <w:t xml:space="preserve">. </w:t>
      </w:r>
      <w:r w:rsidRPr="00AA0D15">
        <w:rPr>
          <w:rStyle w:val="StyleUnderline"/>
        </w:rPr>
        <w:t>Government spending distorts resource allocation</w:t>
      </w:r>
      <w:r w:rsidRPr="00AA0D15">
        <w:t>. Buyers and sellers in competitive markets determine prices in a process that ensures the most efficient allocation of resources, but some</w:t>
      </w:r>
      <w:r w:rsidRPr="00AA0D15">
        <w:rPr>
          <w:rStyle w:val="StyleUnderline"/>
        </w:rPr>
        <w:t xml:space="preserve"> government programs interfere with competitive markets.</w:t>
      </w:r>
      <w:r w:rsidRPr="00AA0D15">
        <w:t xml:space="preserve"> </w:t>
      </w:r>
      <w:r w:rsidRPr="00AA0D15">
        <w:rPr>
          <w:rStyle w:val="StyleUnderline"/>
        </w:rPr>
        <w:t>In</w:t>
      </w:r>
      <w:r w:rsidRPr="00AA0D15">
        <w:t xml:space="preserve"> both health care and </w:t>
      </w:r>
      <w:r w:rsidRPr="00AA0D15">
        <w:rPr>
          <w:rStyle w:val="StyleUnderline"/>
        </w:rPr>
        <w:t>education</w:t>
      </w:r>
      <w:r w:rsidRPr="00AA0D15">
        <w:t xml:space="preserve">, government </w:t>
      </w:r>
      <w:r w:rsidRPr="00AA0D15">
        <w:rPr>
          <w:rStyle w:val="StyleUnderline"/>
        </w:rPr>
        <w:t>subsidies to reduce out-of-pocket expenses have created a "third-party payer" problem</w:t>
      </w:r>
      <w:r w:rsidRPr="00AA0D15">
        <w:t xml:space="preserve">. </w:t>
      </w:r>
      <w:r w:rsidRPr="00AA0D15">
        <w:rPr>
          <w:rStyle w:val="StyleUnderline"/>
        </w:rPr>
        <w:t>When individuals use other</w:t>
      </w:r>
      <w:r w:rsidRPr="00AA0D15">
        <w:t xml:space="preserve"> people's </w:t>
      </w:r>
      <w:r w:rsidRPr="00AA0D15">
        <w:rPr>
          <w:rStyle w:val="StyleUnderline"/>
        </w:rPr>
        <w:t>money, they become less concerned about price</w:t>
      </w:r>
      <w:r w:rsidRPr="00AA0D15">
        <w:t xml:space="preserve">. </w:t>
      </w:r>
      <w:r w:rsidRPr="00AA0D15">
        <w:rPr>
          <w:rStyle w:val="StyleUnderline"/>
        </w:rPr>
        <w:t>This</w:t>
      </w:r>
      <w:r w:rsidRPr="00AA0D15">
        <w:t xml:space="preserve"> </w:t>
      </w:r>
      <w:r w:rsidRPr="00AA0D15">
        <w:rPr>
          <w:rStyle w:val="StyleUnderline"/>
        </w:rPr>
        <w:t>undermines the</w:t>
      </w:r>
      <w:r w:rsidRPr="00AA0D15">
        <w:t xml:space="preserve"> critical </w:t>
      </w:r>
      <w:r w:rsidRPr="00AA0D15">
        <w:rPr>
          <w:rStyle w:val="StyleUnderline"/>
        </w:rPr>
        <w:t xml:space="preserve">role of competitive markets, causing </w:t>
      </w:r>
      <w:r w:rsidRPr="00AA0D15">
        <w:t>significant</w:t>
      </w:r>
      <w:r w:rsidRPr="00AA0D15">
        <w:rPr>
          <w:rStyle w:val="StyleUnderline"/>
        </w:rPr>
        <w:t xml:space="preserve"> inefficiency</w:t>
      </w:r>
      <w:r w:rsidRPr="00AA0D15">
        <w:t xml:space="preserve"> </w:t>
      </w:r>
      <w:r w:rsidRPr="00AA0D15">
        <w:rPr>
          <w:rStyle w:val="StyleUnderline"/>
        </w:rPr>
        <w:t>in sectors such as</w:t>
      </w:r>
      <w:r w:rsidRPr="00AA0D15">
        <w:t xml:space="preserve"> health care and </w:t>
      </w:r>
      <w:r w:rsidRPr="00AA0D15">
        <w:rPr>
          <w:rStyle w:val="StyleUnderline"/>
        </w:rPr>
        <w:t>education</w:t>
      </w:r>
      <w:r w:rsidRPr="00AA0D15">
        <w:t xml:space="preserve">. Government </w:t>
      </w:r>
      <w:r w:rsidRPr="00AA0D15">
        <w:rPr>
          <w:rStyle w:val="StyleUnderline"/>
        </w:rPr>
        <w:t>programs also lead to resource misallocation because</w:t>
      </w:r>
      <w:r w:rsidRPr="00AA0D15">
        <w:t xml:space="preserve"> individuals, </w:t>
      </w:r>
      <w:r w:rsidRPr="00AA0D15">
        <w:rPr>
          <w:rStyle w:val="StyleUnderline"/>
        </w:rPr>
        <w:t>organizations</w:t>
      </w:r>
      <w:r w:rsidRPr="00AA0D15">
        <w:t xml:space="preserve">, and companies </w:t>
      </w:r>
      <w:r w:rsidRPr="00AA0D15">
        <w:rPr>
          <w:rStyle w:val="StyleUnderline"/>
        </w:rPr>
        <w:t>spend time, energy, and money seeking either to obtain special government favors or to minimize their share of the cost</w:t>
      </w:r>
      <w:r w:rsidRPr="00AA0D15">
        <w:t xml:space="preserve"> of government.</w:t>
      </w:r>
    </w:p>
    <w:p w:rsidR="00C47278" w:rsidRPr="00AA0D15" w:rsidRDefault="00C47278" w:rsidP="00C47278">
      <w:r w:rsidRPr="00AA0D15">
        <w:rPr>
          <w:rStyle w:val="Emphasis"/>
        </w:rPr>
        <w:t>The inefficiency cost</w:t>
      </w:r>
      <w:r w:rsidRPr="00AA0D15">
        <w:t xml:space="preserve">. </w:t>
      </w:r>
      <w:r w:rsidRPr="00AA0D15">
        <w:rPr>
          <w:rStyle w:val="StyleUnderline"/>
        </w:rPr>
        <w:t>Government spending is a less effective way to deliver services</w:t>
      </w:r>
      <w:r w:rsidRPr="00AA0D15">
        <w:t xml:space="preserve">. </w:t>
      </w:r>
      <w:r w:rsidRPr="00AA0D15">
        <w:rPr>
          <w:rStyle w:val="StyleUnderline"/>
        </w:rPr>
        <w:t>Government directly provides many services and activities such as education,</w:t>
      </w:r>
      <w:r w:rsidRPr="00AA0D15">
        <w:t xml:space="preserve"> airports, and postal operations. However, there is evidence that the private sector could provide these important services at a higher quality and lower cost. In some cases, such as airports and postal services, the improvement would take place because of privatization. </w:t>
      </w:r>
      <w:r w:rsidRPr="00AA0D15">
        <w:rPr>
          <w:rStyle w:val="StyleUnderline"/>
        </w:rPr>
        <w:t>In</w:t>
      </w:r>
      <w:r w:rsidRPr="00AA0D15">
        <w:t xml:space="preserve"> other </w:t>
      </w:r>
      <w:r w:rsidRPr="00AA0D15">
        <w:rPr>
          <w:rStyle w:val="StyleUnderline"/>
        </w:rPr>
        <w:t>cases</w:t>
      </w:r>
      <w:r w:rsidRPr="00AA0D15">
        <w:t xml:space="preserve">, </w:t>
      </w:r>
      <w:r w:rsidRPr="00AA0D15">
        <w:rPr>
          <w:rStyle w:val="StyleUnderline"/>
        </w:rPr>
        <w:t>such as education, the economic benefits would accrue by shifting to a model based on competition and choice</w:t>
      </w:r>
      <w:r w:rsidRPr="00AA0D15">
        <w:t>.</w:t>
      </w:r>
    </w:p>
    <w:p w:rsidR="00C47278" w:rsidRPr="00AA0D15" w:rsidRDefault="00C47278" w:rsidP="00C47278">
      <w:r w:rsidRPr="00AA0D15">
        <w:rPr>
          <w:rStyle w:val="Emphasis"/>
        </w:rPr>
        <w:t>The stagnation cost</w:t>
      </w:r>
      <w:r w:rsidRPr="00AA0D15">
        <w:t xml:space="preserve">. </w:t>
      </w:r>
      <w:r w:rsidRPr="00AA0D15">
        <w:rPr>
          <w:rStyle w:val="StyleUnderline"/>
        </w:rPr>
        <w:t>Government spending inhibits innovation</w:t>
      </w:r>
      <w:r w:rsidRPr="00AA0D15">
        <w:t xml:space="preserve">. Because of competition and the desire to increase income and wealth, individuals and entities in the private sector constantly search for new options and opportunities. </w:t>
      </w:r>
      <w:r w:rsidRPr="00AA0D15">
        <w:rPr>
          <w:rStyle w:val="StyleUnderline"/>
        </w:rPr>
        <w:t>Economic growth is greatly enhanced by this discovery process of "creative destruction." Government programs, however, are inherently inflexible</w:t>
      </w:r>
      <w:r w:rsidRPr="00AA0D15">
        <w:t xml:space="preserve">, both because of centralization and because of bureaucracy. </w:t>
      </w:r>
      <w:r w:rsidRPr="00AA0D15">
        <w:rPr>
          <w:rStyle w:val="StyleUnderline"/>
        </w:rPr>
        <w:t>Reducing government-or devolving federal programs to the state and local levels-can eliminate or mitigate this</w:t>
      </w:r>
      <w:r w:rsidR="002439A5">
        <w:t xml:space="preserve"> effect.</w:t>
      </w:r>
    </w:p>
    <w:p w:rsidR="007C2097" w:rsidRDefault="007C2097" w:rsidP="00C47278">
      <w:pPr>
        <w:pStyle w:val="Heading2"/>
        <w:rPr>
          <w:rFonts w:cs="Times New Roman"/>
        </w:rPr>
      </w:pPr>
      <w:r>
        <w:rPr>
          <w:rFonts w:cs="Times New Roman"/>
        </w:rPr>
        <w:t>COMMON CORE</w:t>
      </w:r>
    </w:p>
    <w:p w:rsidR="007C2097" w:rsidRDefault="002439A5" w:rsidP="007C2097">
      <w:pPr>
        <w:pStyle w:val="Heading3"/>
      </w:pPr>
      <w:r>
        <w:t>1nc</w:t>
      </w:r>
    </w:p>
    <w:p w:rsidR="007C2097" w:rsidRPr="008E5ECB" w:rsidRDefault="007C2097" w:rsidP="007C2097"/>
    <w:p w:rsidR="007C2097" w:rsidRDefault="002439A5" w:rsidP="007C2097">
      <w:pPr>
        <w:pStyle w:val="Heading4"/>
      </w:pPr>
      <w:r>
        <w:t>Solvency</w:t>
      </w:r>
    </w:p>
    <w:p w:rsidR="007C2097" w:rsidRPr="00C30EA5" w:rsidRDefault="007C2097" w:rsidP="007C2097">
      <w:r>
        <w:rPr>
          <w:rStyle w:val="Style13ptBold"/>
        </w:rPr>
        <w:t xml:space="preserve">Burke 11 </w:t>
      </w:r>
      <w:r w:rsidRPr="001B4305">
        <w:t>(Lindsay Burke, Director, Center for Education Policy and Will Skillman Fellow in Education, Heritage, “A National Education Standards Exit Strategy for States” 12/21/11, http://www.heritage.org/education/report/national-education-standards-exit-strategy-states) GG</w:t>
      </w:r>
    </w:p>
    <w:p w:rsidR="007C2097" w:rsidRDefault="007C2097" w:rsidP="007C2097">
      <w:r w:rsidRPr="001B4305">
        <w:rPr>
          <w:rStyle w:val="StyleUnderline"/>
        </w:rPr>
        <w:t>The push for centralized control over what every child should learn has never had more momentum</w:t>
      </w:r>
      <w:r>
        <w:t>. The Obama Administration has pressured states to adopt the Common Core State Standards Initiative, conditioning more than $4 billion in Race to the Top grants on its adoption. The Administration’s blueprint for the rewrite of No Child Left Behind also called for Title I dollars to be contingent on states’ adoption of the nationalized standards.</w:t>
      </w:r>
    </w:p>
    <w:p w:rsidR="007C2097" w:rsidRPr="001B4305" w:rsidRDefault="007C2097" w:rsidP="007C2097">
      <w:pPr>
        <w:rPr>
          <w:rStyle w:val="StyleUnderline"/>
        </w:rPr>
      </w:pPr>
    </w:p>
    <w:p w:rsidR="007C2097" w:rsidRPr="001B4305" w:rsidRDefault="007C2097" w:rsidP="007C2097">
      <w:r w:rsidRPr="001B4305">
        <w:rPr>
          <w:rStyle w:val="StyleUnderline"/>
        </w:rPr>
        <w:t>Some state leaders have jumped on the bandwagon to nationalize the standards and content</w:t>
      </w:r>
      <w:r w:rsidRPr="001B4305">
        <w:t xml:space="preserve"> taught in local schools. With little public notice, </w:t>
      </w:r>
      <w:r w:rsidRPr="001B4305">
        <w:rPr>
          <w:rStyle w:val="StyleUnderline"/>
        </w:rPr>
        <w:t xml:space="preserve">many states have agreed to adopt </w:t>
      </w:r>
      <w:r w:rsidRPr="001B4305">
        <w:t>the</w:t>
      </w:r>
      <w:r w:rsidRPr="001B4305">
        <w:rPr>
          <w:rStyle w:val="StyleUnderline"/>
        </w:rPr>
        <w:t xml:space="preserve"> Common Core</w:t>
      </w:r>
      <w:r w:rsidRPr="001B4305">
        <w:t xml:space="preserve"> national standards.</w:t>
      </w:r>
    </w:p>
    <w:p w:rsidR="007C2097" w:rsidRDefault="007C2097" w:rsidP="007C2097"/>
    <w:p w:rsidR="007C2097" w:rsidRDefault="007C2097" w:rsidP="007C2097">
      <w:r>
        <w:t xml:space="preserve">This movement is a challenge to educational freedom in America and is costly in terms of liberty, not to mention dollars. </w:t>
      </w:r>
      <w:r w:rsidRPr="001B4305">
        <w:rPr>
          <w:rStyle w:val="StyleUnderline"/>
        </w:rPr>
        <w:t>State leaders who believe in limited government and liberty should resist this imposition</w:t>
      </w:r>
      <w:r>
        <w:t xml:space="preserve"> </w:t>
      </w:r>
      <w:r w:rsidRPr="001B4305">
        <w:rPr>
          <w:rStyle w:val="StyleUnderline"/>
        </w:rPr>
        <w:t>of</w:t>
      </w:r>
      <w:r>
        <w:t xml:space="preserve"> centralized </w:t>
      </w:r>
      <w:r w:rsidRPr="001B4305">
        <w:rPr>
          <w:rStyle w:val="StyleUnderline"/>
        </w:rPr>
        <w:t>standards</w:t>
      </w:r>
      <w:r>
        <w:t xml:space="preserve">. </w:t>
      </w:r>
      <w:r w:rsidRPr="001B4305">
        <w:rPr>
          <w:rStyle w:val="StyleUnderline"/>
        </w:rPr>
        <w:t>Adopting</w:t>
      </w:r>
      <w:r>
        <w:t xml:space="preserve"> national standards and tests through the </w:t>
      </w:r>
      <w:r w:rsidRPr="001B4305">
        <w:rPr>
          <w:rStyle w:val="StyleUnderline"/>
        </w:rPr>
        <w:t>Common Core</w:t>
      </w:r>
      <w:r>
        <w:t xml:space="preserve"> State Standards Initiative </w:t>
      </w:r>
      <w:r w:rsidRPr="001B4305">
        <w:rPr>
          <w:rStyle w:val="StyleUnderline"/>
        </w:rPr>
        <w:t xml:space="preserve">surrenders control of standard-setting to distant national organizations and </w:t>
      </w:r>
      <w:r w:rsidRPr="001B4305">
        <w:t>Washington</w:t>
      </w:r>
      <w:r w:rsidRPr="001B4305">
        <w:rPr>
          <w:rStyle w:val="StyleUnderline"/>
        </w:rPr>
        <w:t xml:space="preserve"> bureaucrats</w:t>
      </w:r>
      <w:r>
        <w:t>.</w:t>
      </w:r>
    </w:p>
    <w:p w:rsidR="007C2097" w:rsidRDefault="007C2097" w:rsidP="007C2097"/>
    <w:p w:rsidR="007C2097" w:rsidRDefault="007C2097" w:rsidP="007C2097">
      <w:r>
        <w:t>Education reform should give control over education to those closest to students. Conservatives have the opportunity to reverse course and reject this latest centralizing overreach. It is time for states to reject the nationalization of standards, tests, and ultimately, curricula, and instead work to strengthen and improve excellence in their local schools through state and local policy.</w:t>
      </w:r>
    </w:p>
    <w:p w:rsidR="007C2097" w:rsidRDefault="007C2097" w:rsidP="007C2097"/>
    <w:p w:rsidR="007C2097" w:rsidRDefault="007C2097" w:rsidP="007C2097">
      <w:r>
        <w:t>Exiting the Common Core National Standards</w:t>
      </w:r>
    </w:p>
    <w:p w:rsidR="007C2097" w:rsidRDefault="007C2097" w:rsidP="007C2097"/>
    <w:p w:rsidR="007C2097" w:rsidRDefault="007C2097" w:rsidP="007C2097">
      <w:r w:rsidRPr="001B4305">
        <w:rPr>
          <w:rStyle w:val="StyleUnderline"/>
        </w:rPr>
        <w:t>State policymakers should reclaim control over the content taught in their local schools by resisting the imposition of national standards and</w:t>
      </w:r>
      <w:r>
        <w:t xml:space="preserve"> tests and preventing their implementation. </w:t>
      </w:r>
      <w:r w:rsidRPr="001B4305">
        <w:rPr>
          <w:rStyle w:val="StyleUnderline"/>
        </w:rPr>
        <w:t xml:space="preserve">States should </w:t>
      </w:r>
      <w:r w:rsidRPr="001B4305">
        <w:t>consider</w:t>
      </w:r>
      <w:r>
        <w:t xml:space="preserve"> the following three strategies:</w:t>
      </w:r>
    </w:p>
    <w:p w:rsidR="007C2097" w:rsidRDefault="007C2097" w:rsidP="007C2097"/>
    <w:p w:rsidR="007C2097" w:rsidRPr="001B4305" w:rsidRDefault="007C2097" w:rsidP="007C2097">
      <w:pPr>
        <w:rPr>
          <w:rStyle w:val="Emphasis"/>
        </w:rPr>
      </w:pPr>
      <w:r w:rsidRPr="001B4305">
        <w:rPr>
          <w:rStyle w:val="Emphasis"/>
        </w:rPr>
        <w:t>1. Determine how the decision was made to cede the state’s standard-setting authority.</w:t>
      </w:r>
    </w:p>
    <w:p w:rsidR="007C2097" w:rsidRDefault="007C2097" w:rsidP="007C2097"/>
    <w:p w:rsidR="007C2097" w:rsidRDefault="007C2097" w:rsidP="007C2097">
      <w:r w:rsidRPr="001B4305">
        <w:rPr>
          <w:rStyle w:val="StyleUnderline"/>
        </w:rPr>
        <w:t>States can exit from the national standards overreach by first determining which state entity agreed to adopt the Common Core State Standards</w:t>
      </w:r>
      <w:r>
        <w:t>. For most states, the state board of education is the body that made the decision.</w:t>
      </w:r>
    </w:p>
    <w:p w:rsidR="007C2097" w:rsidRDefault="007C2097" w:rsidP="007C2097"/>
    <w:p w:rsidR="007C2097" w:rsidRDefault="007C2097" w:rsidP="007C2097">
      <w:r w:rsidRPr="001B4305">
        <w:rPr>
          <w:rStyle w:val="StyleUnderline"/>
        </w:rPr>
        <w:t>State boards of education have wide-ranging authority over education policy</w:t>
      </w:r>
      <w:r>
        <w:t xml:space="preserve"> in most states. While authority varies from state to state, </w:t>
      </w:r>
      <w:r w:rsidRPr="001B4305">
        <w:rPr>
          <w:rStyle w:val="StyleUnderline"/>
        </w:rPr>
        <w:t>state constitutions and statutes</w:t>
      </w:r>
      <w:r>
        <w:t xml:space="preserve"> generally </w:t>
      </w:r>
      <w:r w:rsidRPr="001B4305">
        <w:rPr>
          <w:rStyle w:val="StyleUnderline"/>
        </w:rPr>
        <w:t>give broad authority to state boards to implement policies governing standards</w:t>
      </w:r>
      <w:r>
        <w:t>, assessments, and curricula.</w:t>
      </w:r>
    </w:p>
    <w:p w:rsidR="007C2097" w:rsidRDefault="007C2097" w:rsidP="007C2097"/>
    <w:p w:rsidR="007C2097" w:rsidRDefault="007C2097" w:rsidP="007C2097">
      <w:r w:rsidRPr="001B4305">
        <w:rPr>
          <w:rStyle w:val="Emphasis"/>
        </w:rPr>
        <w:t>The adoption of Common Core national standards represents an abdication of this authority</w:t>
      </w:r>
      <w:r w:rsidRPr="001B4305">
        <w:rPr>
          <w:rStyle w:val="StyleUnderline"/>
        </w:rPr>
        <w:t>. Putting national organizations and Washington bureaucrats in charge of standards further removes parents and taxpayers from the educational decision-making</w:t>
      </w:r>
      <w:r>
        <w:t xml:space="preserve"> process.</w:t>
      </w:r>
    </w:p>
    <w:p w:rsidR="007C2097" w:rsidRDefault="007C2097" w:rsidP="007C2097">
      <w:pPr>
        <w:jc w:val="right"/>
      </w:pPr>
    </w:p>
    <w:p w:rsidR="007C2097" w:rsidRDefault="007C2097" w:rsidP="007C2097">
      <w:r>
        <w:t xml:space="preserve">State </w:t>
      </w:r>
      <w:r w:rsidRPr="001B4305">
        <w:rPr>
          <w:rStyle w:val="StyleUnderline"/>
        </w:rPr>
        <w:t>boards of education were elected or appointed to govern state education policy, not to surrender educational authority to a centralization movement</w:t>
      </w:r>
      <w:r>
        <w:t xml:space="preserve">. </w:t>
      </w:r>
      <w:r w:rsidRPr="001B4305">
        <w:rPr>
          <w:rStyle w:val="StyleUnderline"/>
        </w:rPr>
        <w:t>Advocates of federalism should be concerned that their state officials have ceded authority</w:t>
      </w:r>
      <w:r>
        <w:t xml:space="preserve"> of the standards and assessments that drive what is taught in local schools. They should also be concerned that, </w:t>
      </w:r>
      <w:r w:rsidRPr="001B4305">
        <w:rPr>
          <w:rStyle w:val="StyleUnderline"/>
        </w:rPr>
        <w:t xml:space="preserve">in addition to the heavy cost to liberty, states stand to incur significant new expenses as a result of Common Core </w:t>
      </w:r>
      <w:r w:rsidRPr="001B4305">
        <w:t>a</w:t>
      </w:r>
      <w:r>
        <w:t>doption.</w:t>
      </w:r>
    </w:p>
    <w:p w:rsidR="007C2097" w:rsidRDefault="007C2097" w:rsidP="007C2097"/>
    <w:p w:rsidR="007C2097" w:rsidRPr="001B4305" w:rsidRDefault="007C2097" w:rsidP="007C2097">
      <w:pPr>
        <w:rPr>
          <w:rStyle w:val="Emphasis"/>
        </w:rPr>
      </w:pPr>
      <w:r w:rsidRPr="001B4305">
        <w:rPr>
          <w:rStyle w:val="Emphasis"/>
        </w:rPr>
        <w:t xml:space="preserve">2. Prohibit new spending for standards implementation.   </w:t>
      </w:r>
    </w:p>
    <w:p w:rsidR="007C2097" w:rsidRDefault="007C2097" w:rsidP="007C2097"/>
    <w:p w:rsidR="007C2097" w:rsidRPr="001B4305" w:rsidRDefault="007C2097" w:rsidP="007C2097">
      <w:pPr>
        <w:rPr>
          <w:rStyle w:val="StyleUnderline"/>
        </w:rPr>
      </w:pPr>
      <w:r>
        <w:t xml:space="preserve">Adoption of </w:t>
      </w:r>
      <w:r w:rsidRPr="001B4305">
        <w:rPr>
          <w:rStyle w:val="StyleUnderline"/>
        </w:rPr>
        <w:t>nationalized standards means overhauling existing state standards and assessments</w:t>
      </w:r>
      <w:r>
        <w:t xml:space="preserve">, which will be a costly endeavor for states. State and </w:t>
      </w:r>
      <w:r w:rsidRPr="001B4305">
        <w:rPr>
          <w:rStyle w:val="StyleUnderline"/>
        </w:rPr>
        <w:t>local taxpayers expended significant amounts of money in most states to implement and maintain existing state standards</w:t>
      </w:r>
      <w:r>
        <w:t xml:space="preserve"> and tests. </w:t>
      </w:r>
      <w:r w:rsidRPr="001B4305">
        <w:rPr>
          <w:rStyle w:val="StyleUnderline"/>
        </w:rPr>
        <w:t>Making pedagogical and curricular changes</w:t>
      </w:r>
      <w:r>
        <w:t xml:space="preserve">, revamping professional development, and aligning textbooks and assessments to </w:t>
      </w:r>
      <w:r w:rsidRPr="001B4305">
        <w:rPr>
          <w:rStyle w:val="StyleUnderline"/>
        </w:rPr>
        <w:t>adhere to the Common Core will burden already-strained state budgets</w:t>
      </w:r>
      <w:r>
        <w:t xml:space="preserve">. </w:t>
      </w:r>
      <w:r w:rsidRPr="001B4305">
        <w:rPr>
          <w:rStyle w:val="StyleUnderline"/>
        </w:rPr>
        <w:t>Texas</w:t>
      </w:r>
      <w:r>
        <w:t xml:space="preserve"> Education Commissioner Robert Scott </w:t>
      </w:r>
      <w:r w:rsidRPr="001B4305">
        <w:rPr>
          <w:rStyle w:val="StyleUnderline"/>
        </w:rPr>
        <w:t>estimates</w:t>
      </w:r>
      <w:r>
        <w:t xml:space="preserve"> </w:t>
      </w:r>
      <w:r w:rsidRPr="001B4305">
        <w:rPr>
          <w:rStyle w:val="StyleUnderline"/>
        </w:rPr>
        <w:t xml:space="preserve">national standards adoption would cost taxpayers in his state </w:t>
      </w:r>
      <w:r w:rsidRPr="001B4305">
        <w:rPr>
          <w:rStyle w:val="Emphasis"/>
        </w:rPr>
        <w:t>more than $3 billion</w:t>
      </w:r>
      <w:r w:rsidRPr="001B4305">
        <w:rPr>
          <w:rStyle w:val="StyleUnderline"/>
        </w:rPr>
        <w:t>.[1]</w:t>
      </w:r>
    </w:p>
    <w:p w:rsidR="007C2097" w:rsidRDefault="007C2097" w:rsidP="007C2097"/>
    <w:p w:rsidR="007C2097" w:rsidRDefault="007C2097" w:rsidP="007C2097">
      <w:r>
        <w:t xml:space="preserve">To assess the full fiscal impact, state </w:t>
      </w:r>
      <w:r w:rsidRPr="001B4305">
        <w:rPr>
          <w:rStyle w:val="StyleUnderline"/>
        </w:rPr>
        <w:t>leaders should request an independent cost analysis of national standards adoption</w:t>
      </w:r>
      <w:r>
        <w:t xml:space="preserve"> to inform taxpayers about the short-term and long-term costs of the overhaul.</w:t>
      </w:r>
    </w:p>
    <w:p w:rsidR="007C2097" w:rsidRDefault="007C2097" w:rsidP="007C2097"/>
    <w:p w:rsidR="007C2097" w:rsidRDefault="007C2097" w:rsidP="007C2097">
      <w:r>
        <w:t xml:space="preserve">At the same time, </w:t>
      </w:r>
      <w:r w:rsidRPr="001B4305">
        <w:rPr>
          <w:rStyle w:val="StyleUnderline"/>
        </w:rPr>
        <w:t>governors and state policymakers concerned with the national standards push should refuse to expend any state or local resources to align state standards</w:t>
      </w:r>
      <w:r>
        <w:t xml:space="preserve">, tests, and curricula with the Common Core national standards and tests.  </w:t>
      </w:r>
    </w:p>
    <w:p w:rsidR="007C2097" w:rsidRDefault="007C2097" w:rsidP="007C2097"/>
    <w:p w:rsidR="007C2097" w:rsidRPr="001B4305" w:rsidRDefault="007C2097" w:rsidP="007C2097">
      <w:pPr>
        <w:rPr>
          <w:rStyle w:val="Emphasis"/>
        </w:rPr>
      </w:pPr>
      <w:r w:rsidRPr="001B4305">
        <w:rPr>
          <w:rStyle w:val="Emphasis"/>
        </w:rPr>
        <w:t xml:space="preserve">3. Determine how to reverse course.   </w:t>
      </w:r>
    </w:p>
    <w:p w:rsidR="007C2097" w:rsidRDefault="007C2097" w:rsidP="007C2097"/>
    <w:p w:rsidR="007C2097" w:rsidRDefault="007C2097" w:rsidP="007C2097">
      <w:r w:rsidRPr="001B4305">
        <w:rPr>
          <w:rStyle w:val="StyleUnderline"/>
        </w:rPr>
        <w:t>The rushed adoption of the Common Core in many cases preceded the election of 2010, which brought in new governors, legislators, and board members.</w:t>
      </w:r>
      <w:r>
        <w:t xml:space="preserve"> Newly elected conservative </w:t>
      </w:r>
      <w:r w:rsidRPr="001B4305">
        <w:rPr>
          <w:rStyle w:val="StyleUnderline"/>
        </w:rPr>
        <w:t xml:space="preserve">leaders should </w:t>
      </w:r>
      <w:r w:rsidRPr="001B4305">
        <w:t>be concerned about the authority handed to centralizers by their predecessors and</w:t>
      </w:r>
      <w:r w:rsidRPr="001B4305">
        <w:rPr>
          <w:rStyle w:val="StyleUnderline"/>
        </w:rPr>
        <w:t xml:space="preserve"> investigate how</w:t>
      </w:r>
      <w:r>
        <w:t xml:space="preserve"> </w:t>
      </w:r>
      <w:r w:rsidRPr="001B4305">
        <w:rPr>
          <w:rStyle w:val="StyleUnderline"/>
        </w:rPr>
        <w:t>to bring standards and curriculum control back into the hands of state leaders</w:t>
      </w:r>
      <w:r>
        <w:t>.</w:t>
      </w:r>
    </w:p>
    <w:p w:rsidR="007C2097" w:rsidRDefault="007C2097" w:rsidP="007C2097"/>
    <w:p w:rsidR="007C2097" w:rsidRDefault="007C2097" w:rsidP="007C2097">
      <w:r>
        <w:t>A Better Path Forward</w:t>
      </w:r>
    </w:p>
    <w:p w:rsidR="007C2097" w:rsidRDefault="007C2097" w:rsidP="007C2097"/>
    <w:p w:rsidR="007C2097" w:rsidRDefault="007C2097" w:rsidP="007C2097">
      <w:r w:rsidRPr="001B4305">
        <w:rPr>
          <w:rStyle w:val="StyleUnderline"/>
        </w:rPr>
        <w:t>It is</w:t>
      </w:r>
      <w:r>
        <w:t xml:space="preserve">, as state constitutions and statutes demonstrate, </w:t>
      </w:r>
      <w:r w:rsidRPr="001B4305">
        <w:rPr>
          <w:rStyle w:val="StyleUnderline"/>
        </w:rPr>
        <w:t>the responsibility of states and local school districts to define and implement standards, assessments, and curricula</w:t>
      </w:r>
      <w:r>
        <w:t xml:space="preserve">. Although many states moved to adopt the Common Core national standards and tests prior to the 2010 election—an unprecedented surrender of state educational control to Washington—conservative </w:t>
      </w:r>
      <w:r w:rsidRPr="001B4305">
        <w:rPr>
          <w:rStyle w:val="StyleUnderline"/>
        </w:rPr>
        <w:t>leaders can reclaim control over the content taught in their local schools by resisting the imposition of national standards and tests and preventing their implementation</w:t>
      </w:r>
      <w:r>
        <w:t>.</w:t>
      </w:r>
    </w:p>
    <w:p w:rsidR="007C2097" w:rsidRDefault="007C2097" w:rsidP="007C2097"/>
    <w:p w:rsidR="007C2097" w:rsidRDefault="007C2097" w:rsidP="007C2097">
      <w:r>
        <w:t xml:space="preserve">A half-century of ever-increasing federal involvement in education has failed to increase academic achievement. </w:t>
      </w:r>
      <w:r w:rsidRPr="001B4305">
        <w:rPr>
          <w:rStyle w:val="StyleUnderline"/>
        </w:rPr>
        <w:t>Relinquishing control of state educational autonomy to distant bureaucrats in Washington will fail to improve outcomes for children and will further remove parents from the decision-making process. National standards would strengthen federal control over education while weakening schools’ direct accountability</w:t>
      </w:r>
      <w:r>
        <w:t xml:space="preserve"> to parents and taxpayers.</w:t>
      </w:r>
    </w:p>
    <w:p w:rsidR="007C2097" w:rsidRDefault="007C2097" w:rsidP="007C2097"/>
    <w:p w:rsidR="007C2097" w:rsidRDefault="007C2097" w:rsidP="007C2097">
      <w:r w:rsidRPr="001B4305">
        <w:rPr>
          <w:rStyle w:val="StyleUnderline"/>
        </w:rPr>
        <w:t>Instead, state leaders should work to strengthen state standards and tests, provide school performance information to parents and taxpayers</w:t>
      </w:r>
      <w:r>
        <w:t xml:space="preserve">, </w:t>
      </w:r>
      <w:r w:rsidRPr="001B4305">
        <w:rPr>
          <w:rStyle w:val="StyleUnderline"/>
        </w:rPr>
        <w:t xml:space="preserve">and empower parents to act on school performance data by offering more </w:t>
      </w:r>
      <w:r w:rsidRPr="001B4305">
        <w:t>school-choice</w:t>
      </w:r>
      <w:r w:rsidRPr="001B4305">
        <w:rPr>
          <w:rStyle w:val="StyleUnderline"/>
        </w:rPr>
        <w:t xml:space="preserve"> options.</w:t>
      </w:r>
    </w:p>
    <w:p w:rsidR="007C2097" w:rsidRDefault="007C2097" w:rsidP="007C2097"/>
    <w:p w:rsidR="007C2097" w:rsidRDefault="007C2097" w:rsidP="007C2097">
      <w:pPr>
        <w:pStyle w:val="Heading3"/>
      </w:pPr>
      <w:r>
        <w:t>Common Core Fails – STEM</w:t>
      </w:r>
    </w:p>
    <w:p w:rsidR="007C2097" w:rsidRDefault="007C2097" w:rsidP="007C2097">
      <w:pPr>
        <w:pStyle w:val="Heading4"/>
      </w:pPr>
      <w:r>
        <w:t>Common Core is bad for STEM education – sets students on a track that will risk failure in university</w:t>
      </w:r>
    </w:p>
    <w:p w:rsidR="007C2097" w:rsidRPr="001C276D" w:rsidRDefault="007C2097" w:rsidP="007C2097">
      <w:pPr>
        <w:rPr>
          <w:rStyle w:val="Style13ptBold"/>
        </w:rPr>
      </w:pPr>
      <w:r>
        <w:rPr>
          <w:rStyle w:val="Style13ptBold"/>
        </w:rPr>
        <w:t>Pioneer Institute 13</w:t>
      </w:r>
      <w:r w:rsidRPr="001C276D">
        <w:t xml:space="preserve"> (“Lowering the Bar: How Common Core Math Fails to Prepare Students for STEM” 10/1/13, Pioneer Institute is an independent, non-partisan, privately funded research organization that seeks to improve the quality of life in Massachusetts through civic discourse and intellectually rigorous, data-driven public policy solutions based on free market principles, individual liberty and responsibility, and the ideal of effective, limited and accountable government. http://pioneerinstitute.org/news/lowering-the-bar-how-common-core-math-fails-to-prepare-students-for-stem/) GG</w:t>
      </w:r>
    </w:p>
    <w:p w:rsidR="007C2097" w:rsidRDefault="007C2097" w:rsidP="007C2097">
      <w:r>
        <w:t xml:space="preserve">BOSTON – </w:t>
      </w:r>
      <w:r w:rsidRPr="001C276D">
        <w:rPr>
          <w:rStyle w:val="StyleUnderline"/>
        </w:rPr>
        <w:t>National mathematics standards adopted by 45 states and the District of Columbia that supporters say are designed to make high school graduates “college- and career-ready”</w:t>
      </w:r>
      <w:r>
        <w:t xml:space="preserve"> and improve the critical science, technology, engineering and math (STEM) pipeline </w:t>
      </w:r>
      <w:r w:rsidRPr="001C276D">
        <w:rPr>
          <w:rStyle w:val="Emphasis"/>
        </w:rPr>
        <w:t>do not prepare students to study STEM or even be admitted to a selective four-year college</w:t>
      </w:r>
      <w:r>
        <w:t>, according to a new study published by Pioneer Institute. Lowering the Bar: How Common Core Math Fails to Prepare High School Students for STEM “</w:t>
      </w:r>
      <w:r w:rsidRPr="001C276D">
        <w:rPr>
          <w:rStyle w:val="StyleUnderline"/>
        </w:rPr>
        <w:t>With the exception of a few standards in trigonometry, the math standards end after Algebra II,</w:t>
      </w:r>
      <w:r>
        <w:t>” said James Milgram, professor of mathematics emeritus at Stanford University. “</w:t>
      </w:r>
      <w:r w:rsidRPr="001C276D">
        <w:rPr>
          <w:rStyle w:val="StyleUnderline"/>
        </w:rPr>
        <w:t>They include no precalculus or calculus</w:t>
      </w:r>
      <w:r>
        <w:t xml:space="preserve">.” Professor Milgram co-authored “Lowering the Bar: How Common Core Math Fails to Prepare High School Students for STEM” with Sandra Stotsky, professor of education emerita at the University of Arkansas. </w:t>
      </w:r>
      <w:r w:rsidRPr="001C276D">
        <w:rPr>
          <w:rStyle w:val="StyleUnderline"/>
        </w:rPr>
        <w:t xml:space="preserve">U.S. government data show that only </w:t>
      </w:r>
      <w:r w:rsidRPr="001C276D">
        <w:rPr>
          <w:rStyle w:val="Emphasis"/>
        </w:rPr>
        <w:t>one out of every 50 prospective STEM majors who begin their undergraduate</w:t>
      </w:r>
      <w:r w:rsidRPr="001C276D">
        <w:rPr>
          <w:rStyle w:val="StyleUnderline"/>
        </w:rPr>
        <w:t xml:space="preserve"> math coursework at the precalculus level or lower will earn a bachelor’s degree in a STEM area</w:t>
      </w:r>
      <w:r>
        <w:t xml:space="preserve">. Moreover, </w:t>
      </w:r>
      <w:r w:rsidRPr="001C276D">
        <w:rPr>
          <w:rStyle w:val="StyleUnderline"/>
        </w:rPr>
        <w:t>students whose last high school math course was Algebra II or lower have less than a 40 percent chance of earning any kind of four-year college degree.</w:t>
      </w:r>
      <w:r>
        <w:rPr>
          <w:rStyle w:val="StyleUnderline"/>
        </w:rPr>
        <w:t xml:space="preserve"> </w:t>
      </w:r>
      <w:r>
        <w:t xml:space="preserve">At a 2010 meeting of Massachusetts’ Board of Elementary and Secondary Education, Professor Jason Zimba, a lead writer of the math standards, said </w:t>
      </w:r>
      <w:r w:rsidRPr="001C276D">
        <w:rPr>
          <w:rStyle w:val="StyleUnderline"/>
        </w:rPr>
        <w:t>the standards</w:t>
      </w:r>
      <w:r>
        <w:t xml:space="preserve">, known as </w:t>
      </w:r>
      <w:r w:rsidRPr="001C276D">
        <w:rPr>
          <w:rStyle w:val="StyleUnderline"/>
        </w:rPr>
        <w:t>Common Core, prepare students “for the colleges most kids go to, but not for the college most parents aspire to</w:t>
      </w:r>
      <w:r>
        <w:t xml:space="preserve">,” and added that </w:t>
      </w:r>
      <w:r w:rsidRPr="001C276D">
        <w:rPr>
          <w:rStyle w:val="StyleUnderline"/>
        </w:rPr>
        <w:t>the standards are “not for selective colleges</w:t>
      </w:r>
      <w:r>
        <w:t>.” In 2010, William McCallum, another lead writer of Common Core’s math standards, said “</w:t>
      </w:r>
      <w:r w:rsidRPr="001C276D">
        <w:rPr>
          <w:rStyle w:val="StyleUnderline"/>
        </w:rPr>
        <w:t>The overall standards would not be too high, certainly not in comparison [to] other nations</w:t>
      </w:r>
      <w:r>
        <w:t xml:space="preserve">, including East Asia, where math education excels.” The U.S. Department of Education’s competitive grant program, Race to the Top, requires states to place students admitted by their public colleges and universities into credit-bearing (non-remedial) mathematics (and English) courses if they have passed a Common Core-based “college readiness” test. The authors argue that </w:t>
      </w:r>
      <w:r w:rsidRPr="001C276D">
        <w:rPr>
          <w:rStyle w:val="StyleUnderline"/>
        </w:rPr>
        <w:t>selective public colleges and universities will likely have to lower the level of their introductory math courses to avoid unacceptably high failure rates.</w:t>
      </w:r>
      <w:r>
        <w:rPr>
          <w:rStyle w:val="StyleUnderline"/>
        </w:rPr>
        <w:t xml:space="preserve"> </w:t>
      </w:r>
      <w:r>
        <w:t xml:space="preserve">“It’s astonishing that 46 boards and departments of education adopted Common Core’s ‘college- and career-ready’ standards without asking the faculty who teach math at their own higher education institutions to do an analysis of Common Core’s definition of college readiness,” Stotsky said. Professors </w:t>
      </w:r>
      <w:r w:rsidRPr="001C276D">
        <w:rPr>
          <w:rStyle w:val="StyleUnderline"/>
        </w:rPr>
        <w:t>Milgram</w:t>
      </w:r>
      <w:r>
        <w:t xml:space="preserve"> and </w:t>
      </w:r>
      <w:r w:rsidRPr="001C276D">
        <w:rPr>
          <w:rStyle w:val="StyleUnderline"/>
        </w:rPr>
        <w:t>Stotsky</w:t>
      </w:r>
      <w:r>
        <w:t xml:space="preserve"> </w:t>
      </w:r>
      <w:r w:rsidRPr="001C276D">
        <w:rPr>
          <w:rStyle w:val="StyleUnderline"/>
        </w:rPr>
        <w:t>were members of Common Core’s validation committee</w:t>
      </w:r>
      <w:r>
        <w:t xml:space="preserve">, which was charged with reviewing each successive draft of the standards, </w:t>
      </w:r>
      <w:r w:rsidRPr="001C276D">
        <w:rPr>
          <w:rStyle w:val="StyleUnderline"/>
        </w:rPr>
        <w:t>but</w:t>
      </w:r>
      <w:r>
        <w:t xml:space="preserve"> they </w:t>
      </w:r>
      <w:r w:rsidRPr="001C276D">
        <w:rPr>
          <w:rStyle w:val="StyleUnderline"/>
        </w:rPr>
        <w:t>both refused to sign off on the academic quality of the national standards.</w:t>
      </w:r>
      <w:r>
        <w:rPr>
          <w:rStyle w:val="StyleUnderline"/>
        </w:rPr>
        <w:t xml:space="preserve"> </w:t>
      </w:r>
      <w:r>
        <w:t xml:space="preserve">Pioneer’s comprehensive research on Common Core national education standards includes: Common Core Standards Still Don’t Make the Grade; The Road to a National Curriculum: The Legal Aspects of the Common Core Standards, Race to the Top, and Conditional Waivers; National Cost of Aligning States and Localities to the Common Core Standards, and A Republic of Republics: How Common Core Undermines State and Local Autonomy over K-12 Education. Recent national media coverage includes op-eds placed in The Wall Street Journal and The Weekly Standard. </w:t>
      </w:r>
    </w:p>
    <w:p w:rsidR="007C2097" w:rsidRDefault="007C2097" w:rsidP="007C2097">
      <w:pPr>
        <w:pStyle w:val="Heading4"/>
      </w:pPr>
      <w:r>
        <w:t>Prevents better high school enrollment</w:t>
      </w:r>
    </w:p>
    <w:p w:rsidR="007C2097" w:rsidRDefault="007C2097" w:rsidP="007C2097">
      <w:pPr>
        <w:rPr>
          <w:rStyle w:val="Style13ptBold"/>
        </w:rPr>
      </w:pPr>
      <w:r>
        <w:rPr>
          <w:rStyle w:val="Style13ptBold"/>
        </w:rPr>
        <w:t xml:space="preserve">Phelps and Milgram 14 </w:t>
      </w:r>
      <w:r w:rsidRPr="00F14886">
        <w:t>(Pioneer Institute, “Common Core Math Will Reduce Enrollment in High-Level High School Courses” 9/8/14 Richard P. Phelps is editor or author of four books and founder of the Nonpartisan Education Review R. James Milgram is professor of mathematics emeritus, Stanford University. He was a member of Common Core’s Validation Committee 2009–2010. http://pioneerinstitute.org/featured/common-core-math-will-reduce-enrollment-in-high-level-high-school-courses/) GG</w:t>
      </w:r>
    </w:p>
    <w:p w:rsidR="007C2097" w:rsidRDefault="007C2097" w:rsidP="007C2097">
      <w:r w:rsidRPr="00F14886">
        <w:t xml:space="preserve">BOSTON – </w:t>
      </w:r>
      <w:r w:rsidRPr="00F14886">
        <w:rPr>
          <w:rStyle w:val="StyleUnderline"/>
        </w:rPr>
        <w:t>Common Core math</w:t>
      </w:r>
      <w:r w:rsidRPr="00F14886">
        <w:t xml:space="preserve"> </w:t>
      </w:r>
      <w:r w:rsidRPr="00F14886">
        <w:rPr>
          <w:rStyle w:val="StyleUnderline"/>
        </w:rPr>
        <w:t>standards</w:t>
      </w:r>
      <w:r w:rsidRPr="00F14886">
        <w:t xml:space="preserve"> (CCMS) </w:t>
      </w:r>
      <w:r w:rsidRPr="00F14886">
        <w:rPr>
          <w:rStyle w:val="StyleUnderline"/>
        </w:rPr>
        <w:t xml:space="preserve">end after just a partial Algebra II course. </w:t>
      </w:r>
      <w:r w:rsidRPr="00F14886">
        <w:t xml:space="preserve"> </w:t>
      </w:r>
      <w:r w:rsidRPr="00F14886">
        <w:rPr>
          <w:rStyle w:val="StyleUnderline"/>
        </w:rPr>
        <w:t>This</w:t>
      </w:r>
      <w:r w:rsidRPr="00F14886">
        <w:t xml:space="preserve"> weak Algebra II course </w:t>
      </w:r>
      <w:r w:rsidRPr="00F14886">
        <w:rPr>
          <w:rStyle w:val="StyleUnderline"/>
        </w:rPr>
        <w:t>will result in fewer high school students able to study higher-level math and science</w:t>
      </w:r>
      <w:r w:rsidRPr="00F14886">
        <w:t xml:space="preserve"> courses and an increase in credit-bearing college courses </w:t>
      </w:r>
      <w:r w:rsidRPr="00F14886">
        <w:rPr>
          <w:rStyle w:val="StyleUnderline"/>
        </w:rPr>
        <w:t>that are at the level of seventh and eighth grade material in high-achieving countries</w:t>
      </w:r>
      <w:r w:rsidRPr="00F14886">
        <w:t>, according to a new study published by Pioneer Institute.</w:t>
      </w:r>
      <w:r>
        <w:t xml:space="preserve"> </w:t>
      </w:r>
      <w:r w:rsidRPr="00F14886">
        <w:t>Study Finds Common Core Math Standards Will Reduce Enrollment in High-Level High School Math Courses, Dumb Down College Stem Curriculum</w:t>
      </w:r>
      <w:r>
        <w:t xml:space="preserve"> </w:t>
      </w:r>
      <w:r w:rsidRPr="00F14886">
        <w:rPr>
          <w:rStyle w:val="StyleUnderline"/>
        </w:rPr>
        <w:t>The framers of Common Core claimed the standards would be anchored to higher education requirements, then back-mapped through upper and lower grades</w:t>
      </w:r>
      <w:r w:rsidRPr="00F14886">
        <w:t>.</w:t>
      </w:r>
      <w:r>
        <w:t xml:space="preserve"> </w:t>
      </w:r>
      <w:r w:rsidRPr="00F14886">
        <w:t xml:space="preserve">But Richard P. Phelps and R. James Milgram, authors of “The Revenge of K-12: How Common Core and the New SAT Lower College Standards in the U.S.,” find that </w:t>
      </w:r>
      <w:r w:rsidRPr="00F14886">
        <w:rPr>
          <w:rStyle w:val="StyleUnderline"/>
        </w:rPr>
        <w:t>higher education was scarcely involved with creating the standards.</w:t>
      </w:r>
      <w:r>
        <w:rPr>
          <w:rStyle w:val="StyleUnderline"/>
        </w:rPr>
        <w:t xml:space="preserve"> </w:t>
      </w:r>
      <w:r w:rsidRPr="00F14886">
        <w:t>“</w:t>
      </w:r>
      <w:r w:rsidRPr="00F14886">
        <w:rPr>
          <w:rStyle w:val="StyleUnderline"/>
        </w:rPr>
        <w:t>The only higher education involvement was from institutions that agreed to place any students who pass Common Core-based tests in high school into credit-bearing college courses</w:t>
      </w:r>
      <w:r w:rsidRPr="00F14886">
        <w:t>,” said Phelps.</w:t>
      </w:r>
      <w:r>
        <w:t xml:space="preserve"> </w:t>
      </w:r>
      <w:r w:rsidRPr="00F14886">
        <w:t>“</w:t>
      </w:r>
      <w:r w:rsidRPr="00F14886">
        <w:rPr>
          <w:rStyle w:val="StyleUnderline"/>
        </w:rPr>
        <w:t>The guarantee came in return for states’ hoped-for receipt of federal ‘Race to the Top’ grant funding</w:t>
      </w:r>
      <w:r w:rsidRPr="00F14886">
        <w:t>.” “</w:t>
      </w:r>
      <w:r w:rsidRPr="00F14886">
        <w:rPr>
          <w:rStyle w:val="StyleUnderline"/>
        </w:rPr>
        <w:t>Many students will fail</w:t>
      </w:r>
      <w:r w:rsidRPr="00F14886">
        <w:t xml:space="preserve"> those courses – </w:t>
      </w:r>
      <w:r w:rsidRPr="00F14886">
        <w:rPr>
          <w:rStyle w:val="StyleUnderline"/>
        </w:rPr>
        <w:t>until they’re watered down</w:t>
      </w:r>
      <w:r w:rsidRPr="00F14886">
        <w:t>,” he added.</w:t>
      </w:r>
      <w:r>
        <w:t xml:space="preserve"> </w:t>
      </w:r>
      <w:r w:rsidRPr="00F14886">
        <w:t>Perhaps the greatest harm to higher education will come from the College Board’s decision to align its SAT tests with Common Core.</w:t>
      </w:r>
      <w:r>
        <w:t xml:space="preserve"> </w:t>
      </w:r>
      <w:r w:rsidRPr="00F14886">
        <w:t>The SAT has historically been an aptitude test – one designed to predict college success.</w:t>
      </w:r>
      <w:r>
        <w:t xml:space="preserve"> </w:t>
      </w:r>
      <w:r w:rsidRPr="00F14886">
        <w:t>But the new test would become an achievement test – a retrospective assessment designed to measure mastery of high school material.</w:t>
      </w:r>
      <w:r>
        <w:t xml:space="preserve"> </w:t>
      </w:r>
      <w:r w:rsidRPr="00F14886">
        <w:t>Many high-achieving countries administer a retrospective test for high school graduation and a predictive college entrance examination.</w:t>
      </w:r>
      <w:r>
        <w:t xml:space="preserve"> </w:t>
      </w:r>
      <w:r w:rsidRPr="00F14886">
        <w:t>The new test will also be less useful to college admissions officers, since information gained from the retrospective test will duplicate data they already have, such as grade point average and class rank.</w:t>
      </w:r>
      <w:r>
        <w:t xml:space="preserve"> </w:t>
      </w:r>
      <w:r w:rsidRPr="00F14886">
        <w:t>David Coleman, the lead author of Common Core’s English language arts standards, is now president of the College Board and announced the decision to align the SAT tests with Common Core when he became president.</w:t>
      </w:r>
      <w:r>
        <w:t xml:space="preserve"> </w:t>
      </w:r>
      <w:r w:rsidRPr="00F14886">
        <w:t>The change in the nature of the SAT will be most harmful to low-income students.</w:t>
      </w:r>
      <w:r>
        <w:t xml:space="preserve"> </w:t>
      </w:r>
      <w:r w:rsidRPr="00F14886">
        <w:t>An achievement test is far less useful as a vehicle for identifying students with high science, technology, engineering, and math (STEM) potential who attended high schools with poor math and science instruction.</w:t>
      </w:r>
      <w:r>
        <w:t xml:space="preserve"> </w:t>
      </w:r>
      <w:r w:rsidRPr="00F14886">
        <w:t>Retrospective tests are also more susceptible to coaching, which provides another advantage to students from families who can afford test preparation courses.</w:t>
      </w:r>
      <w:r>
        <w:t xml:space="preserve"> </w:t>
      </w:r>
      <w:r w:rsidRPr="00F14886">
        <w:rPr>
          <w:rStyle w:val="StyleUnderline"/>
        </w:rPr>
        <w:t>Low-income students will also be hurt the most by the shift to weaker math standards.</w:t>
      </w:r>
      <w:r>
        <w:rPr>
          <w:rStyle w:val="StyleUnderline"/>
        </w:rPr>
        <w:t xml:space="preserve"> </w:t>
      </w:r>
      <w:r w:rsidRPr="00F14886">
        <w:rPr>
          <w:rStyle w:val="StyleUnderline"/>
        </w:rPr>
        <w:t>Since the Common Core math standards only end at a partial Algebra II course, nothing higher than Algebra II will be tested by federally funded assessments</w:t>
      </w:r>
      <w:r w:rsidRPr="00F14886">
        <w:t xml:space="preserve"> that are currently under development.</w:t>
      </w:r>
      <w:r>
        <w:t xml:space="preserve"> </w:t>
      </w:r>
      <w:r w:rsidRPr="00F14886">
        <w:rPr>
          <w:rStyle w:val="StyleUnderline"/>
        </w:rPr>
        <w:t>High schools in low-income areas will be under the greatest fiscal pressure to eliminate under-subscribed electives like trigonometry, pre-calculus, and calculus</w:t>
      </w:r>
      <w:r w:rsidRPr="00F14886">
        <w:t>.</w:t>
      </w:r>
      <w:r>
        <w:t xml:space="preserve"> </w:t>
      </w:r>
      <w:r w:rsidRPr="00F14886">
        <w:rPr>
          <w:rStyle w:val="StyleUnderline"/>
        </w:rPr>
        <w:t>Research</w:t>
      </w:r>
      <w:r w:rsidRPr="00F14886">
        <w:t xml:space="preserve"> </w:t>
      </w:r>
      <w:r w:rsidRPr="00F14886">
        <w:rPr>
          <w:rStyle w:val="StyleUnderline"/>
        </w:rPr>
        <w:t>has shown</w:t>
      </w:r>
      <w:r w:rsidRPr="00F14886">
        <w:t xml:space="preserve"> that </w:t>
      </w:r>
      <w:r w:rsidRPr="00F14886">
        <w:rPr>
          <w:rStyle w:val="StyleUnderline"/>
        </w:rPr>
        <w:t>the highest-level math course taken in high school is the single best predictor of college success</w:t>
      </w:r>
      <w:r w:rsidRPr="00F14886">
        <w:t>.</w:t>
      </w:r>
      <w:r>
        <w:t xml:space="preserve"> </w:t>
      </w:r>
      <w:r w:rsidRPr="00F14886">
        <w:t>Only 39 percent of the members of the class of 1992 who entered college having taken no farther than Algebra II earned a college degree.</w:t>
      </w:r>
      <w:r>
        <w:t xml:space="preserve"> </w:t>
      </w:r>
      <w:r w:rsidRPr="00F14886">
        <w:t>The authors estimate that the number will shrink to 31-33 percent for the class of 2012.</w:t>
      </w:r>
      <w:r>
        <w:t xml:space="preserve"> </w:t>
      </w:r>
      <w:r w:rsidRPr="00F14886">
        <w:rPr>
          <w:rStyle w:val="StyleUnderline"/>
        </w:rPr>
        <w:t>Two of the authors of the Common Core math standards</w:t>
      </w:r>
      <w:r w:rsidRPr="00F14886">
        <w:t xml:space="preserve">, Jason Zimba and William McCallum, </w:t>
      </w:r>
      <w:r w:rsidRPr="00F14886">
        <w:rPr>
          <w:rStyle w:val="StyleUnderline"/>
        </w:rPr>
        <w:t>have publicly acknowledged the standards’ weakness</w:t>
      </w:r>
      <w:r w:rsidRPr="00F14886">
        <w:t>.</w:t>
      </w:r>
      <w:r>
        <w:t xml:space="preserve"> </w:t>
      </w:r>
      <w:r w:rsidRPr="00F14886">
        <w:t xml:space="preserve">At a public meeting in Massachusetts in 2010, </w:t>
      </w:r>
      <w:r w:rsidRPr="00F14886">
        <w:rPr>
          <w:rStyle w:val="StyleUnderline"/>
        </w:rPr>
        <w:t>Zimba said the CCMS is “not for STEM” and “not for selective colleges.”</w:t>
      </w:r>
      <w:r>
        <w:rPr>
          <w:rStyle w:val="StyleUnderline"/>
        </w:rPr>
        <w:t xml:space="preserve"> </w:t>
      </w:r>
      <w:r w:rsidRPr="00F14886">
        <w:rPr>
          <w:rStyle w:val="StyleUnderline"/>
        </w:rPr>
        <w:t>Indeed, among students intending to major in STEM fields, just 2 percent of those whose first college math course is pre-calculus or lower ever graduate with a STEM degree</w:t>
      </w:r>
      <w:r w:rsidRPr="00F14886">
        <w:t>. Proponents claim the Common Core standards are internationally benchmarked, but compulsory standards for the lower secondary grades in China are more advanced than any CCMS material.</w:t>
      </w:r>
      <w:r>
        <w:t xml:space="preserve"> </w:t>
      </w:r>
      <w:r w:rsidRPr="00F14886">
        <w:rPr>
          <w:rStyle w:val="StyleUnderline"/>
        </w:rPr>
        <w:t>The highest-achieving countries have standards for different pathways based on curricular preferences, goals and levels of achievement,</w:t>
      </w:r>
      <w:r>
        <w:rPr>
          <w:rStyle w:val="StyleUnderline"/>
        </w:rPr>
        <w:t xml:space="preserve"> </w:t>
      </w:r>
      <w:r w:rsidRPr="00F14886">
        <w:rPr>
          <w:rStyle w:val="StyleUnderline"/>
        </w:rPr>
        <w:t>and each pathway has its own exit examination.“A one-size-fits-all academic achievement target must of necessity be low,”</w:t>
      </w:r>
      <w:r w:rsidRPr="00F14886">
        <w:t xml:space="preserve"> Milgram said.  “Otherwise politically unacceptable numbers of students will fail.”</w:t>
      </w:r>
    </w:p>
    <w:p w:rsidR="007C2097" w:rsidRPr="00F14886" w:rsidRDefault="007C2097" w:rsidP="007C2097"/>
    <w:p w:rsidR="007C2097" w:rsidRDefault="007C2097" w:rsidP="007C2097">
      <w:pPr>
        <w:pStyle w:val="Heading3"/>
      </w:pPr>
      <w:r>
        <w:t>Common Core Fails – Minorities</w:t>
      </w:r>
    </w:p>
    <w:p w:rsidR="007C2097" w:rsidRDefault="007C2097" w:rsidP="007C2097">
      <w:pPr>
        <w:pStyle w:val="Heading4"/>
      </w:pPr>
      <w:r>
        <w:t xml:space="preserve">Common core </w:t>
      </w:r>
      <w:r>
        <w:rPr>
          <w:u w:val="single"/>
        </w:rPr>
        <w:t>fails</w:t>
      </w:r>
      <w:r>
        <w:t xml:space="preserve"> Hispanic communities – customizable, state-centered options are key </w:t>
      </w:r>
    </w:p>
    <w:p w:rsidR="007C2097" w:rsidRPr="00EF6374" w:rsidRDefault="007C2097" w:rsidP="007C2097">
      <w:pPr>
        <w:rPr>
          <w:rStyle w:val="Style13ptBold"/>
        </w:rPr>
      </w:pPr>
      <w:r>
        <w:rPr>
          <w:rStyle w:val="Style13ptBold"/>
        </w:rPr>
        <w:t xml:space="preserve">Ortega 13 </w:t>
      </w:r>
      <w:r w:rsidRPr="001C276D">
        <w:t>(Israel Ortega, Heritage, “Common Core: Doubling down on a failed strategy” 10/5/13, Israel Ortega is the Manager for Strategic Initiatives at The Heritage Foundation and is also the Editor of Libertad.org – the Spanish language page of The Heritage Foundation. http://www.heritage.org/education/commentary/common-core-doubling-down-failed-strategy) GG</w:t>
      </w:r>
    </w:p>
    <w:p w:rsidR="007C2097" w:rsidRDefault="007C2097" w:rsidP="007C2097">
      <w:pPr>
        <w:rPr>
          <w:rStyle w:val="StyleUnderline"/>
        </w:rPr>
      </w:pPr>
      <w:r>
        <w:t xml:space="preserve">How different is New York City from San Antonio? Or better yet– is your youngest son, the same as your older son? Well, if you’re the federal government these aren’t important questions to consider when it comes to creating education policy. Known as Common Core, </w:t>
      </w:r>
      <w:r w:rsidRPr="00EF6374">
        <w:rPr>
          <w:rStyle w:val="StyleUnderline"/>
        </w:rPr>
        <w:t>the Department of Education has provided billions in federal funding to support a push for national education standards and tests across the country</w:t>
      </w:r>
      <w:r>
        <w:t xml:space="preserve">. The problem is that for the last fifty years, </w:t>
      </w:r>
      <w:r w:rsidRPr="00EF6374">
        <w:rPr>
          <w:rStyle w:val="StyleUnderline"/>
        </w:rPr>
        <w:t xml:space="preserve">federal intervention into education policy has </w:t>
      </w:r>
      <w:r>
        <w:t xml:space="preserve">only </w:t>
      </w:r>
      <w:r w:rsidRPr="00EF6374">
        <w:rPr>
          <w:rStyle w:val="StyleUnderline"/>
        </w:rPr>
        <w:t xml:space="preserve">grown in size and scope </w:t>
      </w:r>
      <w:r w:rsidRPr="00C30EA5">
        <w:rPr>
          <w:rStyle w:val="Emphasis"/>
        </w:rPr>
        <w:t>without much success</w:t>
      </w:r>
      <w:r>
        <w:t xml:space="preserve"> at improving educational outcomes. Common Core and the Hispanic community </w:t>
      </w:r>
      <w:r w:rsidRPr="00EF6374">
        <w:rPr>
          <w:rStyle w:val="StyleUnderline"/>
        </w:rPr>
        <w:t>This is a particularly serious problem for our Hispanic community</w:t>
      </w:r>
      <w:r>
        <w:t xml:space="preserve"> </w:t>
      </w:r>
      <w:r w:rsidRPr="00EF6374">
        <w:rPr>
          <w:rStyle w:val="StyleUnderline"/>
        </w:rPr>
        <w:t>that</w:t>
      </w:r>
      <w:r>
        <w:t xml:space="preserve"> continues to </w:t>
      </w:r>
      <w:r w:rsidRPr="00EF6374">
        <w:rPr>
          <w:rStyle w:val="StyleUnderline"/>
        </w:rPr>
        <w:t>suffer from a high rate of High School Drop outs</w:t>
      </w:r>
      <w:r>
        <w:t xml:space="preserve"> and stagnant math and reading scores. </w:t>
      </w:r>
      <w:r w:rsidRPr="00EF6374">
        <w:rPr>
          <w:rStyle w:val="StyleUnderline"/>
        </w:rPr>
        <w:t>Rather than considering innovative ways of overhauling our failing education system, federal policymakers are convinced that all we need to do is empower the government</w:t>
      </w:r>
      <w:r>
        <w:t xml:space="preserve"> even more </w:t>
      </w:r>
      <w:r w:rsidRPr="00EF6374">
        <w:rPr>
          <w:rStyle w:val="StyleUnderline"/>
        </w:rPr>
        <w:t>and make decisions on behalf of local school officials</w:t>
      </w:r>
      <w:r>
        <w:t xml:space="preserve">, parents, and students. To be sure, this is an approach that has been embraced by both sides of the aisle. In fact it was President George W. Bush’s first term signature legislative achievement, No Child Left Behind that is the latest iteration of a penchant by the federal government to interject in local school policy. In fact, </w:t>
      </w:r>
      <w:r w:rsidRPr="00EF6374">
        <w:rPr>
          <w:rStyle w:val="StyleUnderline"/>
        </w:rPr>
        <w:t>if there is any bipartisanship in Washington, D.C</w:t>
      </w:r>
      <w:r w:rsidRPr="00EF6374">
        <w:t>. at the moment,</w:t>
      </w:r>
      <w:r w:rsidRPr="00EF6374">
        <w:rPr>
          <w:rStyle w:val="StyleUnderline"/>
        </w:rPr>
        <w:t xml:space="preserve"> it’s </w:t>
      </w:r>
      <w:r w:rsidRPr="00EF6374">
        <w:t>largely</w:t>
      </w:r>
      <w:r w:rsidRPr="00EF6374">
        <w:rPr>
          <w:rStyle w:val="StyleUnderline"/>
        </w:rPr>
        <w:t xml:space="preserve"> centered on the fact that </w:t>
      </w:r>
      <w:r w:rsidRPr="00EF6374">
        <w:t>just about everyone agrees that</w:t>
      </w:r>
      <w:r w:rsidRPr="00EF6374">
        <w:rPr>
          <w:rStyle w:val="StyleUnderline"/>
        </w:rPr>
        <w:t xml:space="preserve"> NCLB was a bad piece of legislation that has largely failed to move the needle when it comes to providing a quality education</w:t>
      </w:r>
      <w:r>
        <w:t xml:space="preserve"> to every student. </w:t>
      </w:r>
      <w:r w:rsidRPr="00EF6374">
        <w:rPr>
          <w:rStyle w:val="StyleUnderline"/>
        </w:rPr>
        <w:t xml:space="preserve">This is why it’s all the more puzzling to see the push for Common Core national standards </w:t>
      </w:r>
      <w:r>
        <w:t xml:space="preserve">and tests. It’s an effort that fundamentally disregards the lessons of fifty years of failed federal intervention into education. Unfortunately, </w:t>
      </w:r>
      <w:r w:rsidRPr="00EF6374">
        <w:rPr>
          <w:rStyle w:val="StyleUnderline"/>
        </w:rPr>
        <w:t xml:space="preserve">our Hispanic community is being led to believe that Common Core is exactly what’s needed to fix our failing school system </w:t>
      </w:r>
      <w:r>
        <w:t xml:space="preserve">and improve educational achievement. In fact, even some of our country’s biggest Spanish language networks have partnered up with government officials to promote Common Core. </w:t>
      </w:r>
      <w:r w:rsidRPr="00EF6374">
        <w:rPr>
          <w:rStyle w:val="StyleUnderline"/>
        </w:rPr>
        <w:t>The reality is that Common Core will disempower parents by further removing them from decisions about what is taught in their children’s schools</w:t>
      </w:r>
      <w:r>
        <w:t xml:space="preserve">. State after state is voicing concerns about Common Core, including the state of Florida with a sizable Hispanic population. Some, like Indiana, have even put the effort on hold altogether. </w:t>
      </w:r>
      <w:r w:rsidRPr="00EF6374">
        <w:rPr>
          <w:rStyle w:val="StyleUnderline"/>
        </w:rPr>
        <w:t>Common Core fails to consider the particular needs of students in our community, including cultural and even linguistic needs</w:t>
      </w:r>
      <w:r>
        <w:t xml:space="preserve">. </w:t>
      </w:r>
      <w:r w:rsidRPr="00C30EA5">
        <w:rPr>
          <w:rStyle w:val="Emphasis"/>
        </w:rPr>
        <w:t>The Hispanic community</w:t>
      </w:r>
      <w:r>
        <w:t xml:space="preserve">, more than ever </w:t>
      </w:r>
      <w:r w:rsidRPr="00C30EA5">
        <w:rPr>
          <w:rStyle w:val="Emphasis"/>
        </w:rPr>
        <w:t xml:space="preserve">needs greater choices and options when it comes to providing </w:t>
      </w:r>
      <w:r>
        <w:t xml:space="preserve">our children with a </w:t>
      </w:r>
      <w:r w:rsidRPr="00C30EA5">
        <w:rPr>
          <w:rStyle w:val="Emphasis"/>
        </w:rPr>
        <w:t>quality education</w:t>
      </w:r>
      <w:r>
        <w:t xml:space="preserve">. A top down approach, as is the case with Common Core, is the opposite of what we need. Rather than looking to repeat the same mistakes of the past, </w:t>
      </w:r>
      <w:r w:rsidRPr="00EF6374">
        <w:rPr>
          <w:rStyle w:val="StyleUnderline"/>
        </w:rPr>
        <w:t>education policymakers ought to look to the states, the laboratories of democracy, for innovation and success stories</w:t>
      </w:r>
      <w:r>
        <w:t xml:space="preserve">. </w:t>
      </w:r>
      <w:r w:rsidRPr="00EF6374">
        <w:rPr>
          <w:rStyle w:val="StyleUnderline"/>
        </w:rPr>
        <w:t>Take</w:t>
      </w:r>
      <w:r>
        <w:t xml:space="preserve"> the state of </w:t>
      </w:r>
      <w:r w:rsidRPr="00EF6374">
        <w:rPr>
          <w:rStyle w:val="StyleUnderline"/>
        </w:rPr>
        <w:t>Arizona</w:t>
      </w:r>
      <w:r>
        <w:t xml:space="preserve"> (also with a sizable Hispanic population) </w:t>
      </w:r>
      <w:r w:rsidRPr="00EF6374">
        <w:rPr>
          <w:rStyle w:val="StyleUnderline"/>
        </w:rPr>
        <w:t>that instituted</w:t>
      </w:r>
      <w:r>
        <w:t xml:space="preserve"> Education Savings Account (</w:t>
      </w:r>
      <w:r w:rsidRPr="00EF6374">
        <w:rPr>
          <w:rStyle w:val="StyleUnderline"/>
        </w:rPr>
        <w:t>ESA’s</w:t>
      </w:r>
      <w:r>
        <w:t xml:space="preserve">). Arizona </w:t>
      </w:r>
      <w:r w:rsidRPr="00EF6374">
        <w:rPr>
          <w:rStyle w:val="StyleUnderline"/>
        </w:rPr>
        <w:t>parents who chose to withdraw their child from the public school system can have 90 percent of what the state would have spent on the child deposited directly into an education savings account</w:t>
      </w:r>
      <w:r>
        <w:t xml:space="preserve">. The parents can then use that money to pay for private school tuition, online learning, special education services, textbooks – any education-related services or provider. </w:t>
      </w:r>
      <w:r w:rsidRPr="00EF6374">
        <w:rPr>
          <w:rStyle w:val="StyleUnderline"/>
        </w:rPr>
        <w:t>They can even roll over unused funds from year-to-year, and can roll funds into a college savings account</w:t>
      </w:r>
      <w:r>
        <w:t xml:space="preserve">. In other words, </w:t>
      </w:r>
      <w:r w:rsidRPr="00EF6374">
        <w:rPr>
          <w:rStyle w:val="StyleUnderline"/>
        </w:rPr>
        <w:t>they can completely customize their child’s education.</w:t>
      </w:r>
      <w:r>
        <w:rPr>
          <w:rStyle w:val="StyleUnderline"/>
        </w:rPr>
        <w:t xml:space="preserve"> </w:t>
      </w:r>
      <w:r>
        <w:t xml:space="preserve">It’s that type of </w:t>
      </w:r>
      <w:r w:rsidRPr="00EF6374">
        <w:rPr>
          <w:rStyle w:val="StyleUnderline"/>
        </w:rPr>
        <w:t>customization</w:t>
      </w:r>
      <w:r>
        <w:t xml:space="preserve"> – </w:t>
      </w:r>
      <w:r w:rsidRPr="00C30EA5">
        <w:rPr>
          <w:rStyle w:val="Emphasis"/>
        </w:rPr>
        <w:t xml:space="preserve">not centralization through national standards – </w:t>
      </w:r>
      <w:r w:rsidRPr="00C30EA5">
        <w:t>that</w:t>
      </w:r>
      <w:r w:rsidRPr="00C30EA5">
        <w:rPr>
          <w:rStyle w:val="Emphasis"/>
        </w:rPr>
        <w:t xml:space="preserve"> will truly empower parents and improve educational opportunity</w:t>
      </w:r>
      <w:r w:rsidRPr="00EF6374">
        <w:rPr>
          <w:rStyle w:val="StyleUnderline"/>
        </w:rPr>
        <w:t>.</w:t>
      </w:r>
      <w:r>
        <w:rPr>
          <w:rStyle w:val="StyleUnderline"/>
        </w:rPr>
        <w:t xml:space="preserve"> </w:t>
      </w:r>
      <w:r>
        <w:t xml:space="preserve">The educational system needs a dramatic overhaul. </w:t>
      </w:r>
      <w:r w:rsidRPr="00EF6374">
        <w:rPr>
          <w:rStyle w:val="StyleUnderline"/>
        </w:rPr>
        <w:t>Common Core is doubling down on a failed strategy. Let’s empower the local community, educators and parents to provide our children with the best possible education.</w:t>
      </w:r>
    </w:p>
    <w:p w:rsidR="007C2097" w:rsidRDefault="007C2097" w:rsidP="007C2097">
      <w:pPr>
        <w:pStyle w:val="Heading3"/>
      </w:pPr>
      <w:r>
        <w:t>Common Core Fails – Competiveness</w:t>
      </w:r>
    </w:p>
    <w:p w:rsidR="007C2097" w:rsidRDefault="007C2097" w:rsidP="007C2097">
      <w:pPr>
        <w:pStyle w:val="Heading4"/>
      </w:pPr>
      <w:r>
        <w:t>Competition is key to the future and requires creativity</w:t>
      </w:r>
    </w:p>
    <w:p w:rsidR="007C2097" w:rsidRPr="00695DF9" w:rsidRDefault="007C2097" w:rsidP="007C2097">
      <w:pPr>
        <w:rPr>
          <w:rStyle w:val="Style13ptBold"/>
        </w:rPr>
      </w:pPr>
      <w:r>
        <w:rPr>
          <w:rStyle w:val="Style13ptBold"/>
        </w:rPr>
        <w:t xml:space="preserve">Fleet and Winthrop 10 </w:t>
      </w:r>
      <w:r w:rsidRPr="00695DF9">
        <w:t>(Justin W. van Fleet and Rebecca Winthrop, Brookings, “To be Globally Competitive, We Must be Globally Competent” 9/29/10 Justin van Fleet was a nonresident fellow at the Center for Universal Education and is currently the director of the International Commission on Financing Global Education Opportunity https://www.brookings.edu/blog/up-front/2010/09/29/to-be-globally-competitive-we-must-be-globally-competent/) GG</w:t>
      </w:r>
    </w:p>
    <w:p w:rsidR="007C2097" w:rsidRDefault="007C2097" w:rsidP="007C2097">
      <w:r>
        <w:t xml:space="preserve">This week, NBC News launched “Education Nation” in an attempt to engage the public in thoughtful dialogue about how to provide every American with an opportunity to have the “best education in the world.” The discussion focuses on many important aspects of the American education system, including dismal dropout rates, poor performances in reading and math, the role of technology and global competitiveness. </w:t>
      </w:r>
      <w:r w:rsidRPr="00695DF9">
        <w:rPr>
          <w:rStyle w:val="StyleUnderline"/>
        </w:rPr>
        <w:t>While basic skill development and workforce preparation skills are important in the American education system, a paradigm shift must take place recognizing that in order to be truly globally competitive, we must be globally competent</w:t>
      </w:r>
      <w:r>
        <w:t xml:space="preserve">. </w:t>
      </w:r>
      <w:r w:rsidRPr="00695DF9">
        <w:rPr>
          <w:rStyle w:val="StyleUnderline"/>
        </w:rPr>
        <w:t>Educating young people to become global citizens will allow them to learn about the interdependence of the world’s systems</w:t>
      </w:r>
      <w:r>
        <w:t xml:space="preserve">, believe that solutions to global challenges are attainable, feel morally compelled to confront global injustices and take responsible action to promote a just, peaceful and sustainable world. </w:t>
      </w:r>
      <w:r w:rsidRPr="00695DF9">
        <w:rPr>
          <w:rStyle w:val="StyleUnderline"/>
        </w:rPr>
        <w:t>While at first glance a focus on global citizenship may seem secondary in a system where basic literacy remains a challenge for many, these skills are vital</w:t>
      </w:r>
      <w:r>
        <w:t xml:space="preserve">. If we truly aspire to have a world-class education system in America, we must engage with the world. The challenges that face the world today—from global poverty and climate change to financial systems and conflict—require globally-minded solutions. </w:t>
      </w:r>
      <w:r w:rsidRPr="00695DF9">
        <w:rPr>
          <w:rStyle w:val="StyleUnderline"/>
        </w:rPr>
        <w:t>Global competency skills are necessary so that young people can invent a future that appropriately addresses global challenges.</w:t>
      </w:r>
      <w:r>
        <w:rPr>
          <w:rStyle w:val="StyleUnderline"/>
        </w:rPr>
        <w:t xml:space="preserve"> </w:t>
      </w:r>
      <w:r>
        <w:t xml:space="preserve">The Longview Foundation estimates that 10 state school systems have passed legislation in support of global knowledge and skills, and the Partnership for 21st Century Skills, an initiative involving the U.S. Department of Education and various private companies and foundations, includes global awareness as a major curricular theme. Yet according to Lisa Swayhoover, global education specialist at the National Education Association, the scale, long-term impact and connection to classroom practice is somewhat unclear. </w:t>
      </w:r>
      <w:r w:rsidRPr="00695DF9">
        <w:rPr>
          <w:rStyle w:val="StyleUnderline"/>
        </w:rPr>
        <w:t xml:space="preserve">These advances come at a time when the Council of Chief State Schools Officers’ </w:t>
      </w:r>
      <w:r w:rsidRPr="00F87B94">
        <w:rPr>
          <w:rStyle w:val="Emphasis"/>
        </w:rPr>
        <w:t>Common Core Standards, currently adopted by over 30 states, fail to mention any global competency skills.</w:t>
      </w:r>
      <w:r>
        <w:rPr>
          <w:rStyle w:val="Emphasis"/>
        </w:rPr>
        <w:t xml:space="preserve"> </w:t>
      </w:r>
      <w:r>
        <w:t xml:space="preserve">The advent of technology and communication advancements have made global citizenship education a need rather than a luxury—and more feasible than ever before. Social entrepreneurs have developed models to integrate global citizenship education into formal and informal education opportunities for American youth. These initiatives, while developed at the individual level, are proven models that can be adopted and taken to scale. For example: Piloted in 2005 with a handful of students in New York City, the Global Citizen Corps program, an activity of Mercy Corps, has grown to develop 1,100 youth leaders and engage 24,000 young people around the world in eight countries. Students are able to use the internet, Web chats, and videoconferencing to have discussions, engage in dialogue and form friendships with peers from across the globe. The Global Citizen Year program is a cross-sector model that partners with high schools and colleges in the United States and NGOs around the world to create opportunities for emerging leaders to work as apprentices in Asia, Africa and Latin America in the year between high school and college. GCY has pledged to engage 1,000 young people in the program by 2015 to unleash a pipeline of emerging leaders to find innovative solutions to the global challenges of the 21st century. </w:t>
      </w:r>
      <w:r w:rsidRPr="00695DF9">
        <w:rPr>
          <w:rStyle w:val="StyleUnderline"/>
        </w:rPr>
        <w:t>Beyond formal programs, there are new opportunities emerging from online platforms that can augment a teacher’s innovation</w:t>
      </w:r>
      <w:r>
        <w:t xml:space="preserve"> when it comes to implementing global citizenship education. YouTube, Skype, Facebook and Twitter allow individuals around the world to connect in ways never before possible. And American youth can take direct action using technology; for example, Kiva.org, an online direct micro-lending platform, allows individuals in developed countries to make direct microloans to entrepreneurs and students in developing countries. </w:t>
      </w:r>
      <w:r w:rsidRPr="00695DF9">
        <w:rPr>
          <w:rStyle w:val="StyleUnderline"/>
        </w:rPr>
        <w:t xml:space="preserve">Creativity is the only barrier to the educational possibilities; yet, the curricular flexibility and mandate from the top must be present in order to support and </w:t>
      </w:r>
      <w:r w:rsidRPr="00F87B94">
        <w:rPr>
          <w:rStyle w:val="Emphasis"/>
        </w:rPr>
        <w:t>value these educational innovations, not hinder them.</w:t>
      </w:r>
      <w:r>
        <w:rPr>
          <w:rStyle w:val="Emphasis"/>
        </w:rPr>
        <w:t xml:space="preserve"> </w:t>
      </w:r>
      <w:r>
        <w:t>As we aim to reinvent America as the “Education Nation,” we must reinvent our notion of the necessary skills to succeed in the 21st century, which go beyond reading, writing and math to include global citizenship and competency. Then, American education will be “world class.”</w:t>
      </w:r>
    </w:p>
    <w:p w:rsidR="007C2097" w:rsidRDefault="007C2097" w:rsidP="007C2097"/>
    <w:p w:rsidR="007C2097" w:rsidRPr="00695DF9" w:rsidRDefault="007C2097" w:rsidP="007C2097"/>
    <w:p w:rsidR="007C2097" w:rsidRDefault="007C2097" w:rsidP="007C2097">
      <w:pPr>
        <w:pStyle w:val="Heading3"/>
      </w:pPr>
      <w:r>
        <w:t>Common Core Fails – NAEP</w:t>
      </w:r>
    </w:p>
    <w:p w:rsidR="007C2097" w:rsidRDefault="007C2097" w:rsidP="007C2097">
      <w:pPr>
        <w:pStyle w:val="Heading4"/>
      </w:pPr>
      <w:r>
        <w:t>Hurts NAEP Scores</w:t>
      </w:r>
    </w:p>
    <w:p w:rsidR="007C2097" w:rsidRPr="00C30EA5" w:rsidRDefault="007C2097" w:rsidP="007C2097">
      <w:pPr>
        <w:rPr>
          <w:rStyle w:val="Style13ptBold"/>
        </w:rPr>
      </w:pPr>
      <w:r>
        <w:rPr>
          <w:rStyle w:val="Style13ptBold"/>
        </w:rPr>
        <w:t xml:space="preserve">Kane 15 </w:t>
      </w:r>
      <w:r w:rsidRPr="00F14886">
        <w:t>(Thomas J. Kane, Brookings, “Did the Common Core assessments cause the decline in NAEP scores?” 11/5/15 Thomas Kane is a former Nonresident Senior Fellow at the Brookings Institution where he was a contributor to the Evidence Speaks project, and formerly a Senior Fellow at the Brown Center on Education Policy. Kane is an economist and Walter H. Gale Professor of Education at the Harvard Graduate School of Education. He is faculty director of the Center for Education Policy Research, a university-wide research center that works with school districts and state agencies on pressing education policy issues. https://www.brookings.edu/research/did-the-common-core-assessments-cause-the-decline-in-naep-scores/) GG</w:t>
      </w:r>
    </w:p>
    <w:p w:rsidR="007C2097" w:rsidRPr="00C30EA5" w:rsidRDefault="007C2097" w:rsidP="007C2097">
      <w:pPr>
        <w:rPr>
          <w:sz w:val="10"/>
        </w:rPr>
      </w:pPr>
      <w:r w:rsidRPr="00C30EA5">
        <w:rPr>
          <w:rStyle w:val="StyleUnderline"/>
        </w:rPr>
        <w:t>When the NAEP scores were released</w:t>
      </w:r>
      <w:r w:rsidRPr="00C30EA5">
        <w:rPr>
          <w:sz w:val="10"/>
        </w:rPr>
        <w:t xml:space="preserve"> last week, </w:t>
      </w:r>
      <w:r w:rsidRPr="00C30EA5">
        <w:rPr>
          <w:rStyle w:val="StyleUnderline"/>
        </w:rPr>
        <w:t>math achievement had fallen by 1.3 points</w:t>
      </w:r>
      <w:r w:rsidRPr="00C30EA5">
        <w:rPr>
          <w:sz w:val="10"/>
        </w:rPr>
        <w:t xml:space="preserve"> in fourth grade </w:t>
      </w:r>
      <w:r w:rsidRPr="00C30EA5">
        <w:rPr>
          <w:rStyle w:val="StyleUnderline"/>
        </w:rPr>
        <w:t>and 2.4 points in eighth grade.</w:t>
      </w:r>
      <w:r>
        <w:rPr>
          <w:rStyle w:val="StyleUnderline"/>
        </w:rPr>
        <w:t xml:space="preserve"> </w:t>
      </w:r>
      <w:r w:rsidRPr="00C30EA5">
        <w:rPr>
          <w:rStyle w:val="StyleUnderline"/>
        </w:rPr>
        <w:t>It was the first time that math achievement had fallen in either fourth grade or eighth grade scores since 1990</w:t>
      </w:r>
      <w:r w:rsidRPr="00C30EA5">
        <w:rPr>
          <w:sz w:val="10"/>
        </w:rPr>
        <w:t xml:space="preserve">. </w:t>
      </w:r>
      <w:r w:rsidRPr="00C30EA5">
        <w:rPr>
          <w:rStyle w:val="StyleUnderline"/>
        </w:rPr>
        <w:t>Given</w:t>
      </w:r>
      <w:r w:rsidRPr="00C30EA5">
        <w:rPr>
          <w:sz w:val="10"/>
        </w:rPr>
        <w:t xml:space="preserve"> the </w:t>
      </w:r>
      <w:r w:rsidRPr="00C30EA5">
        <w:rPr>
          <w:rStyle w:val="StyleUnderline"/>
        </w:rPr>
        <w:t>controversy surrounding the Common Core State Standards</w:t>
      </w:r>
      <w:r w:rsidRPr="00C30EA5">
        <w:rPr>
          <w:sz w:val="10"/>
        </w:rPr>
        <w:t>, and the Partnership for Assessment of Readiness for College and Careers (</w:t>
      </w:r>
      <w:r w:rsidRPr="00C30EA5">
        <w:rPr>
          <w:rStyle w:val="StyleUnderline"/>
        </w:rPr>
        <w:t>PARCC</w:t>
      </w:r>
      <w:r w:rsidRPr="00C30EA5">
        <w:rPr>
          <w:sz w:val="10"/>
        </w:rPr>
        <w:t xml:space="preserve">) and Smarter Balanced Assessment Consortium (SBAC) exams aligned to them, </w:t>
      </w:r>
      <w:r w:rsidRPr="00C30EA5">
        <w:rPr>
          <w:rStyle w:val="StyleUnderline"/>
        </w:rPr>
        <w:t>many commentators have been asking</w:t>
      </w:r>
      <w:r w:rsidRPr="00C30EA5">
        <w:rPr>
          <w:sz w:val="10"/>
        </w:rPr>
        <w:t xml:space="preserve"> two questions: </w:t>
      </w:r>
      <w:r w:rsidRPr="00C30EA5">
        <w:rPr>
          <w:rStyle w:val="StyleUnderline"/>
        </w:rPr>
        <w:t>Did the states taking the PARCC or SBAC assessments underperform other states with similar prior achievement?</w:t>
      </w:r>
      <w:r>
        <w:rPr>
          <w:rStyle w:val="StyleUnderline"/>
        </w:rPr>
        <w:t xml:space="preserve"> </w:t>
      </w:r>
      <w:r w:rsidRPr="00C30EA5">
        <w:rPr>
          <w:sz w:val="10"/>
        </w:rPr>
        <w:t xml:space="preserve">Could PARCC/SBAC participation explain the decline? The answer to the first question, regarding whether the PARCC/SBAC participants had a larger decline than expected, is a tentative “yes.” </w:t>
      </w:r>
      <w:r w:rsidRPr="00C30EA5">
        <w:rPr>
          <w:rStyle w:val="StyleUnderline"/>
        </w:rPr>
        <w:t>The states which administered the PARCC or SBAC tests scored lower in 2015 relative to states with similar 2013 scores</w:t>
      </w:r>
      <w:r w:rsidRPr="00C30EA5">
        <w:rPr>
          <w:sz w:val="10"/>
        </w:rPr>
        <w:t xml:space="preserve">. However, the difference was small, less than one scale score point. As a result, the answer to the second question is “no.” Even taking the estimated underperformance as a causal effect, the difference between PARCC/SBAC participants and other states accounted for less than one-third of the absolute decline in math achievement between 2013 and 2015. Many states—not just the PARCC and SBAC participants– saw a decline in math achievement between 2013 and 2015. Trends Figure 1 reports trends in fourth and eighth grade math and reading scores, relative to 1990 and 1992 respectively on the main NAEP assessment. Although the cumulative magnitude is not widely appreciated, math scores on the main NAEP assessment have risen steadily since 1990, rising by roughly .9 student-level standard deviations in fourth grade and .6 standard deviations in eighth grade over the past two and a half decades. However, math scores in both grades dipped in 2015. </w:t>
      </w:r>
      <w:r w:rsidRPr="00C30EA5">
        <w:rPr>
          <w:rStyle w:val="StyleUnderline"/>
        </w:rPr>
        <w:t>The scores also dipped in eighth grade reading.</w:t>
      </w:r>
      <w:r>
        <w:rPr>
          <w:rStyle w:val="StyleUnderline"/>
        </w:rPr>
        <w:t xml:space="preserve"> </w:t>
      </w:r>
      <w:r w:rsidRPr="00C30EA5">
        <w:rPr>
          <w:rStyle w:val="StyleUnderline"/>
        </w:rPr>
        <w:t>However, that dip was much less anomalous</w:t>
      </w:r>
      <w:r w:rsidRPr="00C30EA5">
        <w:rPr>
          <w:sz w:val="10"/>
        </w:rPr>
        <w:t xml:space="preserve">, since the cumulative increases in reading scores have been smaller and the biennial changes less consistent over time. Figure 1 Figures 2 and 3 report the trend in subscale scores in fourth and eighth grade math respectively. In fourth grade, the decline in 2015 was statistically significant for three subscales, with scores on numbers/operations and measurement remaining largely unchanged. In eighth grade, the 2015 decline occurred in all five subscales. (The declines for Algebra, Geometry, Data Analysis and Numbers/Operations were all statistically significant at the .05 level. The decline for measurement was significant at the .10 level.) In both fourth grade and eighth grade, the largest declines were measured in the data analysis subscale. Figure 2 Figure 3 In the spring of 2015, 28 states plus the District of Columbia administered either the PARCC or SBAC exams. Because 2015 was the first full administration of either assessment, teachers in those states were likely to have been particularly focused on shifting their instruction to address the new standards. In an Evidence Speaks article last week, Russ Whitehurst compared the change in scores in the PARCC and SBAC states to the remaining states. For his test score measure, he used the average of the fourth and eighth grade math scores in 2013 and 2015. He found that the average combined math score fell by approximately one scale score point more in the PARCC/SBAC states than in the remaining states. In Table 1, I perform a similar exercise, regressing the 2015 score on the 2013 score and an indicator for whether or not the state participated in PARCC or SBAC in 2015. In the interest of transparency and to explore the robustness of the findings, I repeat the analysis for multiple outcomes and a variety of student subgroups. Using the average score of fourth grade and eighth grade scores, the PARCC/SBAC states underperformed states with similar 2013 scores by .8 scale score points (p-value=.059). The estimate in Table 1 is largely consistent with that reported by Whitehurst (although, due to the use of robust standard errors, the estimated precision is somewhat lower.) As reported in the columns on the right of Table 1, the estimates are similar in magnitude (albeit less precise) when estimated for fourth and eighth grade separately. Impact of Exclusion and Accommodation Rates In NAEP, when sampled students are identified in school files as having disabilities or as English Language Learners, they can either be offered appropriate accommodations or, in some cases, excluded from the sample. Large changes in either the exclusion or accommodation rates could lead to changes in mean reported scores, even if there were no change in the mean score for the underlying population. As a result, in Table 2, I compare the changes over time in both accommodation and exclusion rates in the two groups of states. Table 2 Between 2013 and 2015, the exclusion rates in the PARCC/SBAC states started out at less than two percent and increased by .25 and .10 percentage points in the PARCC/SBAC states and other states respectively. The exclusion rates were low to begin with and the changes were similar in the non-participating states. The percentage of fourth grade students offered accommodations rose by 1.14 points in the PARCC/SBAC states and fell by 2.11 percentage points in the other states, yielding a differential increase in accommodation percentages in the PARCC/SBAC states of 3.25 points. That is the only statistically significant difference in Table 2. However, to the extent that such accommodations allow students more time or have the exams read aloud, we might expect such an increase to have led to increases in performance in the PARCC/SBAC states. Although such a small change in the accommodation rate may not have generated a large impact, it would have favored the PARCC/SBAC states and thus cannot explain the decline. Discussion The above results confirm the finding, first reported by Whitehurst, that the states participating in the PARCC/SBAC exams scored roughly .8 scale score points lower than non-participating states with similar achievement on the 2013 exam. </w:t>
      </w:r>
      <w:r w:rsidRPr="00C30EA5">
        <w:rPr>
          <w:rStyle w:val="StyleUnderline"/>
        </w:rPr>
        <w:t>One possible explanation is a short-term disruption, as schools were struggling to retool themselves to deliver on the Common Core.</w:t>
      </w:r>
      <w:r>
        <w:rPr>
          <w:rStyle w:val="StyleUnderline"/>
        </w:rPr>
        <w:t xml:space="preserve"> </w:t>
      </w:r>
      <w:r w:rsidRPr="00C30EA5">
        <w:rPr>
          <w:rStyle w:val="StyleUnderline"/>
        </w:rPr>
        <w:t>There was a tremendous amount of retooling going on.</w:t>
      </w:r>
      <w:r>
        <w:rPr>
          <w:rStyle w:val="StyleUnderline"/>
        </w:rPr>
        <w:t xml:space="preserve"> </w:t>
      </w:r>
      <w:r w:rsidRPr="00C30EA5">
        <w:rPr>
          <w:rStyle w:val="StyleUnderline"/>
        </w:rPr>
        <w:t>In a forthcoming report from the Center on Education Policy Research at Harvard on implementation of the Common Core in five PARCC and SBAC states</w:t>
      </w:r>
      <w:r w:rsidRPr="00C30EA5">
        <w:rPr>
          <w:sz w:val="10"/>
        </w:rPr>
        <w:t xml:space="preserve">, </w:t>
      </w:r>
      <w:r w:rsidRPr="00C30EA5">
        <w:rPr>
          <w:sz w:val="10"/>
          <w:szCs w:val="8"/>
        </w:rPr>
        <w:t xml:space="preserve">we learned that more than half of elementary teachers and two-fifths of middle school teachers reported having changed more than three-quarters of their classroom instruction. Two-thirds of elementary math teachers report changing three-quarters or more of their instructional materials. Nearly half of elementary math teachers and more than one-third of middle school math teachers reported adopting a new textbook in 2013-14 or 2014-15. (Keep an eye out for the report to be released in December at http://cepr.harvard.edu/.) However, even if we were to take such an estimate as reflecting the short-term impact of preparing for the PARCC/SBAC exams, how much of the decline in the national average could it explain? (By asking this question, I do not mean to imply that Russ Whitehurst suggested that PARCC/SBAC did explain it all. He did not. On the contrary, he described the decline as “modest” and pointed out that even those not participating in PARCC/SBAC had declines too. However, it’s important for the discussion to try to quantify the magnitude of the contribution.) The states participating in PARCC and SBAC represent roughly 48 percent of all public elementary and secondary schools in the United States. That means that if we were to add .8 points to the scores in each of the PARCC and SBAC states, it would boost national achievement by .38 points (.8 times .48). Such a boost would have eliminated 29 percent of the 1.3 point decline in fourth grade math and 19 percent of the 2.4 point decline in eighth grade math. In other words, the majority of the decline would have remained. Let’s hope the small decline which occurred in the PARCC/SBAC states in 2015 was a short-term phenomenon, caused by many thousands of schools undertaking major instructional changes at the same time. However, given the combination of high standards and use of many more open-ended items on the PARCC and SBAC tests, requiring students to explain their thinking, to write coherently and to demonstrate conceptual understanding, perhaps we will see an acceleration of progress in student achievement, in literacy as well as math. Unfortunately, regarding the reasonableness of that hope, the NAEP scores don’t shed any light in either direction at this point. Table 1 Figure 4 provides a helpful visual summary of the evidence as it stands. On the vertical axis is the average of each state’s fourth and eighth grade math score in 2015. On the horizontal axis is the average state score in 2013. The orange dots correspond to the PARCC-SBAC states, with the blue dots representing the remaining states. The distance between the fitted lines corresponds to the estimated coefficient on PARCC-SBAC participation in the first row of Table 1. Although many of the blue dots lie above the orange dots, there is also overlap and the difference is small. (In fact, the difference in the two lines is just large enough as to be unlikely to have occurred by chance.) The figure also contains a 45 degree line, along which scores would have been unchanged between 2013 and 2015. Only a few of the orange or blue dots are above the 45 degree line, implying that most states—whether they be PARCC-SBAC participants or not—saw declines. Figure 4 The subsequent rows of Table 1 report estimates for various subgroups of students. For instance, when looking at combined scores, white students in PARCC/SBAC states underperformed white students in states with similar prior achievement by 1.229 points (p-value=.010). Hispanic students and students who were eligible for the Free/Reduced Price Lunch program underperformed by 1.917 (p-value=.006) and 1.262 (p-value=.005) points respectively. Sarah Lubienski, a professor of mathematics education at the University of Illinois, noted the larger decline in the data analytics subscale score and suggested that </w:t>
      </w:r>
      <w:r w:rsidRPr="00C30EA5">
        <w:rPr>
          <w:rStyle w:val="StyleUnderline"/>
        </w:rPr>
        <w:t>the Common Core delays the study of data analysis/statistics until sixth grade.</w:t>
      </w:r>
      <w:r>
        <w:rPr>
          <w:rStyle w:val="StyleUnderline"/>
        </w:rPr>
        <w:t xml:space="preserve"> </w:t>
      </w:r>
      <w:r w:rsidRPr="00C30EA5">
        <w:rPr>
          <w:rStyle w:val="StyleUnderline"/>
        </w:rPr>
        <w:t>As a result, I redid the analysis above for fourth and eighth grade data analysis subscale scores.</w:t>
      </w:r>
      <w:r>
        <w:rPr>
          <w:rStyle w:val="StyleUnderline"/>
        </w:rPr>
        <w:t xml:space="preserve"> </w:t>
      </w:r>
      <w:r w:rsidRPr="00C30EA5">
        <w:rPr>
          <w:rStyle w:val="StyleUnderline"/>
        </w:rPr>
        <w:t xml:space="preserve">The estimated effect of PARCC/SBAC participation in fourth grade was -1.32 points </w:t>
      </w:r>
      <w:r w:rsidRPr="00C30EA5">
        <w:rPr>
          <w:sz w:val="10"/>
        </w:rPr>
        <w:t>(p-value=.055)—larger than the point estimate for the composite scores. The estimated effect of PARCC/SBAC participation was -.8 in eighth grade data analytics (p-value=.46). Given that we would have expected effects on fourth grade, but not eighth grade, this is at least partially consistent with Dr. Lubienski’s hypothesis. To some extent the decline may be due a shifting of the standards across grades. But should we care if data analytic scores declined in fourth grade in the PARCC/SBAC states if those content standards have been moved?</w:t>
      </w:r>
    </w:p>
    <w:p w:rsidR="007C2097" w:rsidRPr="007C2097" w:rsidRDefault="007C2097" w:rsidP="007C2097"/>
    <w:p w:rsidR="00C47278" w:rsidRPr="00AA0D15" w:rsidRDefault="00C47278" w:rsidP="00C47278">
      <w:pPr>
        <w:pStyle w:val="Heading2"/>
        <w:rPr>
          <w:rFonts w:cs="Times New Roman"/>
        </w:rPr>
      </w:pPr>
      <w:r w:rsidRPr="00AA0D15">
        <w:rPr>
          <w:rFonts w:cs="Times New Roman"/>
        </w:rPr>
        <w:t>TITLE 1</w:t>
      </w:r>
    </w:p>
    <w:p w:rsidR="00C47278" w:rsidRPr="00AA0D15" w:rsidRDefault="00C47278" w:rsidP="00C47278">
      <w:pPr>
        <w:pStyle w:val="Heading3"/>
        <w:rPr>
          <w:rFonts w:cs="Times New Roman"/>
        </w:rPr>
      </w:pPr>
      <w:r w:rsidRPr="00AA0D15">
        <w:rPr>
          <w:rFonts w:cs="Times New Roman"/>
        </w:rPr>
        <w:t>1nc solvency</w:t>
      </w:r>
    </w:p>
    <w:p w:rsidR="00C47278" w:rsidRPr="00AA0D15" w:rsidRDefault="00C47278" w:rsidP="00C47278">
      <w:pPr>
        <w:pStyle w:val="Heading4"/>
        <w:rPr>
          <w:rFonts w:cs="Times New Roman"/>
        </w:rPr>
      </w:pPr>
      <w:r w:rsidRPr="00AA0D15">
        <w:rPr>
          <w:rFonts w:cs="Times New Roman"/>
        </w:rPr>
        <w:t xml:space="preserve">2016 reauthorization of ESSA changed the framework for Title I K-12 Funding - states now have the flexibility for how they use aid </w:t>
      </w:r>
    </w:p>
    <w:p w:rsidR="00C47278" w:rsidRPr="00AA0D15" w:rsidRDefault="00C47278" w:rsidP="00C47278">
      <w:r w:rsidRPr="00AA0D15">
        <w:rPr>
          <w:rStyle w:val="Style13ptBold"/>
        </w:rPr>
        <w:t>Ujifusa 16</w:t>
      </w:r>
      <w:r w:rsidRPr="00AA0D15">
        <w:t xml:space="preserve"> (Andrew Ujifusa, “Funding Flexibility Enhanced Under New K-12 Law” Education Week, Ujifusa covers education policy at the federal and state levels and writes for the Politics K-12, Vol. 35, Issue 15, Pages 12-13) GG</w:t>
      </w:r>
    </w:p>
    <w:p w:rsidR="00C47278" w:rsidRPr="00AA0D15" w:rsidRDefault="00C47278" w:rsidP="00C47278">
      <w:pPr>
        <w:tabs>
          <w:tab w:val="left" w:pos="2304"/>
        </w:tabs>
      </w:pPr>
      <w:r w:rsidRPr="00AA0D15">
        <w:t xml:space="preserve">Funding issues weren't often at the forefront of the controversies surrounding the Every Student Succeeds Act as Congress forged its way to a rare bipartisan agreement last month. But </w:t>
      </w:r>
      <w:r w:rsidRPr="00AA0D15">
        <w:rPr>
          <w:rStyle w:val="StyleUnderline"/>
        </w:rPr>
        <w:t xml:space="preserve">the </w:t>
      </w:r>
      <w:r w:rsidRPr="00AA0D15">
        <w:t xml:space="preserve">newly </w:t>
      </w:r>
      <w:r w:rsidRPr="00AA0D15">
        <w:rPr>
          <w:rStyle w:val="StyleUnderline"/>
        </w:rPr>
        <w:t>reauthorized version of the main federal K-12 law does make significant changes in how schools can use dollars</w:t>
      </w:r>
      <w:r w:rsidRPr="00AA0D15">
        <w:t xml:space="preserve"> set aside for economically disadvantaged students. </w:t>
      </w:r>
      <w:r w:rsidRPr="00AA0D15">
        <w:rPr>
          <w:rStyle w:val="StyleUnderline"/>
        </w:rPr>
        <w:t>Those</w:t>
      </w:r>
      <w:r w:rsidRPr="00AA0D15">
        <w:t xml:space="preserve"> and other </w:t>
      </w:r>
      <w:r w:rsidRPr="00AA0D15">
        <w:rPr>
          <w:rStyle w:val="StyleUnderline"/>
        </w:rPr>
        <w:t>changes give states and districts more flexibility</w:t>
      </w:r>
      <w:r w:rsidRPr="00AA0D15">
        <w:t xml:space="preserve"> </w:t>
      </w:r>
      <w:r w:rsidRPr="00AA0D15">
        <w:rPr>
          <w:rStyle w:val="StyleUnderline"/>
        </w:rPr>
        <w:t xml:space="preserve">in general—and </w:t>
      </w:r>
      <w:r w:rsidRPr="00AA0D15">
        <w:rPr>
          <w:rStyle w:val="Emphasis"/>
        </w:rPr>
        <w:t>particularly in how they use Title I aid.</w:t>
      </w:r>
      <w:r w:rsidRPr="00AA0D15">
        <w:t xml:space="preserve"> </w:t>
      </w:r>
      <w:r w:rsidRPr="00AA0D15">
        <w:rPr>
          <w:rStyle w:val="StyleUnderline"/>
        </w:rPr>
        <w:t>Around four dozen districts will also get the chance to create a new funding formula, using federal dollars, that's intended to target more money directly to students from low-income backgrounds</w:t>
      </w:r>
      <w:r w:rsidRPr="00AA0D15">
        <w:t xml:space="preserve"> and other students, like English-language learners, who may have disadvantages. At the same time, several highly contested changes that were discussed during congressional negotiations—such as making Title I money "portable" to public schools of parents' choice, or revisions making the Title I formula more favorable to states in the South and West—did not make it into the final bill. </w:t>
      </w:r>
      <w:r w:rsidRPr="00AA0D15">
        <w:rPr>
          <w:rStyle w:val="StyleUnderline"/>
        </w:rPr>
        <w:t>And because it is an authorization and not an appropriations measure, ESSA does not by itself increase or decrease federal funding levels for various programs</w:t>
      </w:r>
      <w:r w:rsidRPr="00AA0D15">
        <w:t xml:space="preserve">. In addition, changes to the administration of noncompetitive formula-grant programs like Title I won't occur until the 2017-18 school year. The fiscal 2016 federal budget signed by President Barack Obama last month does include a $1.2 billion increase for the U.S. Department of Education, bringing its funding up to about $68 billion a year. The increase includes an additional $500 million for Title I, the department's largest single K-12 grant program. That raises the funding for Title I—targeted to students from low-income backgrounds—to $14.9 billion a year. </w:t>
      </w:r>
      <w:r w:rsidRPr="00AA0D15">
        <w:rPr>
          <w:rStyle w:val="StyleUnderline"/>
        </w:rPr>
        <w:t>The new law contains two potentially big changes to the way Title I money works that</w:t>
      </w:r>
      <w:r w:rsidRPr="00AA0D15">
        <w:t xml:space="preserve"> together </w:t>
      </w:r>
      <w:r w:rsidRPr="00AA0D15">
        <w:rPr>
          <w:rStyle w:val="StyleUnderline"/>
        </w:rPr>
        <w:t>could greatly increase state discretion over</w:t>
      </w:r>
      <w:r w:rsidRPr="00AA0D15">
        <w:t xml:space="preserve"> the </w:t>
      </w:r>
      <w:r w:rsidRPr="00AA0D15">
        <w:rPr>
          <w:rStyle w:val="StyleUnderline"/>
        </w:rPr>
        <w:t>federal funds</w:t>
      </w:r>
      <w:r w:rsidRPr="00AA0D15">
        <w:t xml:space="preserve"> for low-income students. </w:t>
      </w:r>
      <w:r w:rsidRPr="00AA0D15">
        <w:rPr>
          <w:rStyle w:val="StyleUnderline"/>
        </w:rPr>
        <w:t>The changes could also dramatically expand the freedom schools have over how that money is used</w:t>
      </w:r>
      <w:r w:rsidRPr="00AA0D15">
        <w:t xml:space="preserve">. Under ESSA, states will receive the power to grant waivers from the requirement that only schools in which students from low-income backgrounds are at least 40 percent of enrollment can use Title I aid for schoolwide purposes. States would be allowed to grant those waivers after considering "how a schoolwide program will best serve the needs of the students ... in improving academic achievement and other factors." According to a Brookings Institution analysis published in November, just under half of students go to schools below the 40 percent threshold. </w:t>
      </w:r>
      <w:r w:rsidRPr="00AA0D15">
        <w:rPr>
          <w:rStyle w:val="StyleUnderline"/>
        </w:rPr>
        <w:t xml:space="preserve">In addition, ESSA makes changes to the federal "supplement not supplant" rule, which says that schools can't use Title I money for anything their states </w:t>
      </w:r>
      <w:r w:rsidRPr="00AA0D15">
        <w:t>already</w:t>
      </w:r>
      <w:r w:rsidRPr="00AA0D15">
        <w:rPr>
          <w:rStyle w:val="StyleUnderline"/>
        </w:rPr>
        <w:t xml:space="preserve"> required them to spend money on.</w:t>
      </w:r>
      <w:r w:rsidRPr="00AA0D15">
        <w:t xml:space="preserve"> Under the No Child Left Behind Act—the version of the federal K-12 law that ESSA replaces—</w:t>
      </w:r>
      <w:r w:rsidRPr="00AA0D15">
        <w:rPr>
          <w:rStyle w:val="StyleUnderline"/>
        </w:rPr>
        <w:t xml:space="preserve">schools have had to itemize the cost of services and programs to show </w:t>
      </w:r>
      <w:r w:rsidRPr="00AA0D15">
        <w:t>that</w:t>
      </w:r>
      <w:r w:rsidRPr="00AA0D15">
        <w:rPr>
          <w:rStyle w:val="StyleUnderline"/>
        </w:rPr>
        <w:t xml:space="preserve"> Title I aid was providing supplemental services. But under ESSA, schools don't have to identify those </w:t>
      </w:r>
      <w:r w:rsidRPr="00AA0D15">
        <w:t>individual</w:t>
      </w:r>
      <w:r w:rsidRPr="00AA0D15">
        <w:rPr>
          <w:rStyle w:val="StyleUnderline"/>
        </w:rPr>
        <w:t xml:space="preserve"> costs</w:t>
      </w:r>
      <w:r w:rsidRPr="00AA0D15">
        <w:t>—</w:t>
      </w:r>
      <w:r w:rsidRPr="00AA0D15">
        <w:rPr>
          <w:rStyle w:val="StyleUnderline"/>
        </w:rPr>
        <w:t xml:space="preserve">they only have to show in fiscal terms that the Title I dollars supplement state and local dollars, and they don't need a waiver </w:t>
      </w:r>
      <w:r w:rsidRPr="00AA0D15">
        <w:t>to do so</w:t>
      </w:r>
      <w:r w:rsidRPr="00AA0D15">
        <w:rPr>
          <w:rStyle w:val="StyleUnderline"/>
        </w:rPr>
        <w:t>. Districts no longer have to worry about showing whether each expenditure is a core service or supplemental for Title I purposes. The upshot is a greatly different landscape for how Title I funds can be used</w:t>
      </w:r>
      <w:r w:rsidRPr="00AA0D15">
        <w:t>, said Sheara Krvaric, a lawyer for the Federal Education Group, which studies K-12 funding. Now, many districts will be freer to look at paying for broader initiatives—a new K-3 reading curriculum or enhanced educational technology, for example. "That opens up the door to more comprehensive services," Krvaric said.</w:t>
      </w:r>
    </w:p>
    <w:p w:rsidR="00C47278" w:rsidRPr="00AA0D15" w:rsidRDefault="00C47278" w:rsidP="00C47278">
      <w:pPr>
        <w:tabs>
          <w:tab w:val="left" w:pos="2304"/>
        </w:tabs>
      </w:pPr>
    </w:p>
    <w:p w:rsidR="00C47278" w:rsidRPr="00AA0D15" w:rsidRDefault="00C47278" w:rsidP="00C47278">
      <w:pPr>
        <w:pStyle w:val="Heading3"/>
        <w:rPr>
          <w:rFonts w:cs="Times New Roman"/>
        </w:rPr>
      </w:pPr>
      <w:r w:rsidRPr="00AA0D15">
        <w:rPr>
          <w:rFonts w:cs="Times New Roman"/>
        </w:rPr>
        <w:t>2nc solvency – vouchers</w:t>
      </w:r>
    </w:p>
    <w:p w:rsidR="00C47278" w:rsidRPr="00AA0D15" w:rsidRDefault="00C47278" w:rsidP="00C47278">
      <w:pPr>
        <w:pStyle w:val="Heading4"/>
        <w:rPr>
          <w:rFonts w:cs="Times New Roman"/>
        </w:rPr>
      </w:pPr>
      <w:r w:rsidRPr="00AA0D15">
        <w:rPr>
          <w:rFonts w:cs="Times New Roman"/>
        </w:rPr>
        <w:t>States are starting to be able to divert Title I funds through ESEA</w:t>
      </w:r>
    </w:p>
    <w:p w:rsidR="00C47278" w:rsidRPr="00AA0D15" w:rsidRDefault="00C47278" w:rsidP="00C47278">
      <w:pPr>
        <w:rPr>
          <w:rStyle w:val="Style13ptBold"/>
        </w:rPr>
      </w:pPr>
      <w:r w:rsidRPr="00AA0D15">
        <w:rPr>
          <w:rStyle w:val="Style13ptBold"/>
        </w:rPr>
        <w:t xml:space="preserve">Gordon 17 </w:t>
      </w:r>
      <w:r w:rsidRPr="00AA0D15">
        <w:t>(Nora Gordan, Brookings, “What Title I portability would mean for the distribution of federal education aid” 2/23/17 Nora Gordon is a Nonresident Senior Fellow at the Brookings Institution, where she contributes to the Evidence Speaks project. Gordon is an associate professor at Georgetown University’s McCourt School of Public Policy and a research associate of the National Bureau of Economic Research. She holds a B.A. from Swarthmore College and a Ph.D. from Harvard University, both in economics. Gordon’s research focuses on fiscal federalism in American education policy and especially the current and historical federal role in elementary and secondary education. She also has studied the causes and consequences of school desegregation, state school finance reforms, and school district consolidation. Her current projects include a study of school-based Medicaid billing for special education, and one of historical trends in how states use categorical versus general aid for education. https://www.brookings.edu/research/what-title-i-portability-would-mean-for-the-distribution-of-federal-education-aid/) GG</w:t>
      </w:r>
    </w:p>
    <w:p w:rsidR="00C47278" w:rsidRPr="00AA0D15" w:rsidRDefault="00C47278" w:rsidP="00C47278">
      <w:pPr>
        <w:rPr>
          <w:rStyle w:val="StyleUnderline"/>
        </w:rPr>
      </w:pPr>
      <w:r w:rsidRPr="00AA0D15">
        <w:rPr>
          <w:rStyle w:val="StyleUnderline"/>
        </w:rPr>
        <w:t xml:space="preserve">Congressional attempts in the last few years to allow states to divert their Title I funds through the Elementary and Secondary Education Act into vouchers </w:t>
      </w:r>
      <w:r w:rsidRPr="00AA0D15">
        <w:t>that would follow individual poor students to the public or private schools of their choice—Title I “portability”—</w:t>
      </w:r>
      <w:r w:rsidRPr="00AA0D15">
        <w:rPr>
          <w:rStyle w:val="StyleUnderline"/>
        </w:rPr>
        <w:t>were unsuccessful</w:t>
      </w:r>
      <w:r w:rsidRPr="00AA0D15">
        <w:t xml:space="preserve">. </w:t>
      </w:r>
      <w:r w:rsidRPr="00AA0D15">
        <w:rPr>
          <w:rStyle w:val="Emphasis"/>
        </w:rPr>
        <w:t>Such vouchers are now a far more politically realistic possibility</w:t>
      </w:r>
      <w:r w:rsidRPr="00AA0D15">
        <w:t xml:space="preserve">. It seems most likely that </w:t>
      </w:r>
      <w:r w:rsidRPr="00AA0D15">
        <w:rPr>
          <w:rStyle w:val="StyleUnderline"/>
        </w:rPr>
        <w:t xml:space="preserve">policy choices around vouchers would </w:t>
      </w:r>
      <w:r w:rsidRPr="00AA0D15">
        <w:rPr>
          <w:rStyle w:val="Emphasis"/>
        </w:rPr>
        <w:t>be made at the state level</w:t>
      </w:r>
      <w:r w:rsidRPr="00AA0D15">
        <w:rPr>
          <w:rStyle w:val="StyleUnderline"/>
        </w:rPr>
        <w:t>.</w:t>
      </w:r>
      <w:r w:rsidRPr="00AA0D15">
        <w:t xml:space="preserve"> While this reassured many senators during Secretary DeVos’ confirmation process, it may not reassure those at the local level. </w:t>
      </w:r>
      <w:r w:rsidRPr="00AA0D15">
        <w:rPr>
          <w:rStyle w:val="StyleUnderline"/>
        </w:rPr>
        <w:t>Current Title I rules allow school districts to concentrate their federal funds in their poorest schools, while under a portability state option, school districts would be forced to distribute those funds uniformly</w:t>
      </w:r>
      <w:r w:rsidRPr="00AA0D15">
        <w:t xml:space="preserve"> per poor pupil. </w:t>
      </w:r>
      <w:r w:rsidRPr="00AA0D15">
        <w:rPr>
          <w:rStyle w:val="StyleUnderline"/>
        </w:rPr>
        <w:t>This shift in allocation rules means that portability would affect the distribution of funds not only across districts, but also within them</w:t>
      </w:r>
      <w:r w:rsidRPr="00AA0D15">
        <w:t xml:space="preserve">—and that this shift would happen among public schools even in districts where few, if any, students chose to take Title I funds to private schools. </w:t>
      </w:r>
      <w:r w:rsidRPr="00AA0D15">
        <w:rPr>
          <w:sz w:val="10"/>
          <w:szCs w:val="10"/>
        </w:rPr>
        <w:t xml:space="preserve">The unprecedented public interest in the DeVos nomination reflects great interest in how Congress and the Trump administration might try to promote school choice via the federal role. The administration has not offered a school choice policy proposal with any specific details to date, and education policy watchers are looking to past proposals and state level policies. One relatively fleshed-out policy proposal in the mix is the concept of Title I “portability,” proposed in the House and Senate prior to the passage of the Every Student Succeeds Act (ESSA).[1] The basic concept of making federal funds “portable” is often explained with the analogy of putting the federal cash into a student’s backpack that moves with the student to whatever school he or she attends, public or private.[2] As with any school finance policy, however, the specific details of any portability proposal would be critical. Absent an unlikely considerable influx of new federal funds, portability would fill students’ backpacks using at least in part cash that used to be appropriated to school districts through Title I funds. Much of the policy discussion focuses on the highly salient fact that these vouchers could be used in private schools, prompting many questions. Would vouchers on the order of $1,400 per pupil allow poor students access to private schools?[3] Would poor students using vouchers to attend private schools do better than if they remained in their public systems?[4] Would the competitive pressure from private schools improve public schools in the absence of resource changes?[5] Are public schools spending Title I funds effectively now, and what would change in their absence?[6] The evidence base for these questions is emerging, and answers often depend on local context. These are critical questions, but this discussion of portability misses an important point. Any voucher-type proposal that relies on funds currently appropriated to Title I would not simply shift funds from public to private schools—it would significantly redistribute federal funds within states across school districts, and within districts across public schools, reducing progressivity. This redistribution would spread federal dollars more uniformly across schools rather than concentrating funds in the highest poverty schools within districts, and districts within states, even if few students chose to take their federal dollars to private schools. Districts with few private schools could still feel the impact of portability if their states choose to take it up. In this report, I focus on the short-run fiscal impact of portability, showing how it would affect the distribution of federal funds across school districts within a state, and across schools within a district. I describe a hypothetical portability policy quite similar to that proposed by members of Congress in recent years, in which state-level Title I allocations would remain the same as in the current regime. I use Maryland as an example due to its small number of school districts. If no students took their backpacks of cash to private school, the difference between Title I and the recent portability proposals boils down to whether you think poor students should get the same amount of federal funds no matter where they live and go to school.[7] There are theoretical arguments to be made on both sides of this issue. The current research consensus points to high-poverty schools facing disproportionate challenges: that is, to get the same outcome, they need more resources per student—and per poor student. This would argue for progressive funding based on the poverty level at the school level. However, any formula that offers higher-poverty schools—or districts—greater funding per poor pupil provides an incentive for economic segregation of students in order to maximize federal funding. This is particularly relevant at the school building level, as school district policies—and other local government decisions about zoning, development, and transportation—can affect how economically segregated a district’s public schools are. Just last year, parents in Loudoun County Public Schools in Virginia argued—ultimately unsuccessfully—to revise school attendance boundaries to make more segregated schools.[8] Proponents of the segregation plan argue that the creation of higher needs schools would generate more funds for disadvantaged students. A flat per-poor-pupil grant (such as through portability) would neither incentivize economic segregation, nor provide high-poverty schools additional funds for meeting their disproportionate needs; Title I does both. Weighing these tradeoffs requires some assumption about how responsive parties will be to incentives to segregate. In this piece, I provide an analysis of the short-run partial equilibrium effects of portability on school-level Title I revenues. I assume that no students would move within or between districts as a result of portability, and assess how it would change the amount of Title I revenue per poor student enrolled in a school. </w:t>
      </w:r>
      <w:r w:rsidRPr="00AA0D15">
        <w:t xml:space="preserve">Because portability yields a flat distribution of funds per poor student, the impact of the change would be a direct function of current funding mechanisms. </w:t>
      </w:r>
      <w:r w:rsidRPr="00AA0D15">
        <w:rPr>
          <w:rStyle w:val="StyleUnderline"/>
        </w:rPr>
        <w:t>While the Every Student Succeeds Act of 2015 made many changes to its predecessor</w:t>
      </w:r>
      <w:r w:rsidRPr="00AA0D15">
        <w:t xml:space="preserve">, the No Child Left Behind Act, </w:t>
      </w:r>
      <w:r w:rsidRPr="00AA0D15">
        <w:rPr>
          <w:rStyle w:val="StyleUnderline"/>
        </w:rPr>
        <w:t>it</w:t>
      </w:r>
      <w:r w:rsidRPr="00AA0D15">
        <w:t xml:space="preserve"> </w:t>
      </w:r>
      <w:r w:rsidRPr="00AA0D15">
        <w:rPr>
          <w:rStyle w:val="StyleUnderline"/>
        </w:rPr>
        <w:t>did not change the formulas for Title I Part A.</w:t>
      </w:r>
      <w:r w:rsidRPr="00AA0D15">
        <w:t xml:space="preserve"> </w:t>
      </w:r>
      <w:r w:rsidRPr="00AA0D15">
        <w:rPr>
          <w:rStyle w:val="StyleUnderline"/>
        </w:rPr>
        <w:t>These formulas send some funds on a uniform, per-disadvantaged-child basis, but direct close to half of federal dollars in a way that recognizes high-poverty districts face greater challenges, using weights to allocate per-eligible funds progressively with respect to a district’s poverty rate</w:t>
      </w:r>
      <w:r w:rsidRPr="00AA0D15">
        <w:t>.[9] These weights mean two states with the same number of poor and non-poor students would get more Title I funds if those students are economically segregated across school districts</w:t>
      </w:r>
      <w:r w:rsidRPr="00AA0D15">
        <w:rPr>
          <w:rStyle w:val="StyleUnderline"/>
        </w:rPr>
        <w:t>. District decisions about how to distribute Title I funds across their schools do not change the total district allocation.</w:t>
      </w:r>
      <w:r w:rsidRPr="00AA0D15">
        <w:t xml:space="preserve"> </w:t>
      </w:r>
      <w:r w:rsidRPr="00AA0D15">
        <w:rPr>
          <w:rStyle w:val="StyleUnderline"/>
        </w:rPr>
        <w:t>Different districts</w:t>
      </w:r>
      <w:r w:rsidRPr="00AA0D15">
        <w:t xml:space="preserve">, even within a given state, </w:t>
      </w:r>
      <w:r w:rsidRPr="00AA0D15">
        <w:rPr>
          <w:rStyle w:val="StyleUnderline"/>
        </w:rPr>
        <w:t xml:space="preserve">wind up with highly variable amounts of Title I funds </w:t>
      </w:r>
      <w:r w:rsidRPr="00AA0D15">
        <w:t xml:space="preserve">per eligible child.[10] Some aspects of this variance are visible in the design of the four formulas, while others are less transparent. The formulas are complex and opaque: in the Every Student Succeeds Act, Congress asked the Institute of Education Sciences to issue a report explaining how the current formulas affect different types of districts and school attendance areas. More details on Title I formulas </w:t>
      </w:r>
      <w:r w:rsidRPr="00AA0D15">
        <w:rPr>
          <w:rStyle w:val="StyleUnderline"/>
        </w:rPr>
        <w:t>Title I Part A has four formulas that send different funding levels per Title I-eligible</w:t>
      </w:r>
      <w:r w:rsidRPr="00AA0D15">
        <w:t xml:space="preserve"> (essentially, poor) child </w:t>
      </w:r>
      <w:r w:rsidRPr="00AA0D15">
        <w:rPr>
          <w:rStyle w:val="StyleUnderline"/>
        </w:rPr>
        <w:t>depending on state education spending levels</w:t>
      </w:r>
      <w:r w:rsidRPr="00AA0D15">
        <w:t xml:space="preserve">. Basic </w:t>
      </w:r>
      <w:r w:rsidRPr="00AA0D15">
        <w:rPr>
          <w:rStyle w:val="StyleUnderline"/>
        </w:rPr>
        <w:t>grants</w:t>
      </w:r>
      <w:r w:rsidRPr="00AA0D15">
        <w:t xml:space="preserve"> </w:t>
      </w:r>
      <w:r w:rsidRPr="00AA0D15">
        <w:rPr>
          <w:rStyle w:val="StyleUnderline"/>
        </w:rPr>
        <w:t>send the same amount per eligible child to each district within a state</w:t>
      </w:r>
      <w:r w:rsidRPr="00AA0D15">
        <w:t xml:space="preserve">, provided the district meets very minimal standards (at ten poor children and at least two percent child poverty rate). </w:t>
      </w:r>
      <w:r w:rsidRPr="00AA0D15">
        <w:rPr>
          <w:rStyle w:val="StyleUnderline"/>
        </w:rPr>
        <w:t>Concentration grants do the same, but only for districts with a higher minimum threshold child poverty population</w:t>
      </w:r>
      <w:r w:rsidRPr="00AA0D15">
        <w:t xml:space="preserve"> (over 6,500) or rate (at least 15 percent). Targeted grants are designed to send more funds per poor student to districts with greater rates or counts of child poverty. </w:t>
      </w:r>
      <w:r w:rsidRPr="00AA0D15">
        <w:rPr>
          <w:rStyle w:val="StyleUnderline"/>
        </w:rPr>
        <w:t>And the Education Finance Incentive Grants are an attempt to make states spend more, and more equally, on their schools</w:t>
      </w:r>
      <w:r w:rsidRPr="00AA0D15">
        <w:t xml:space="preserve">. The four formulas also have their own hold-harmless provisions, which, in combination with appropriations that have fallen short of full funding in each year after the program’s first, 1965, mean that historical funding levels continue to influence current ones. </w:t>
      </w:r>
      <w:r w:rsidRPr="00AA0D15">
        <w:rPr>
          <w:rStyle w:val="StyleUnderline"/>
        </w:rPr>
        <w:t>Two districts with similar demographics can have different Title I allocations because of differences in their past funding levels</w:t>
      </w:r>
      <w:r w:rsidRPr="00AA0D15">
        <w:t xml:space="preserve">. And </w:t>
      </w:r>
      <w:r w:rsidRPr="00AA0D15">
        <w:rPr>
          <w:rStyle w:val="StyleUnderline"/>
        </w:rPr>
        <w:t>small-state minimum provisions in the formulas guarantee minimum allocations to each state</w:t>
      </w:r>
      <w:r w:rsidRPr="00AA0D15">
        <w:t xml:space="preserve">, </w:t>
      </w:r>
      <w:r w:rsidRPr="00AA0D15">
        <w:rPr>
          <w:rStyle w:val="StyleUnderline"/>
        </w:rPr>
        <w:t>no matter how few funds they would otherwise qualify for—this generates visibly higher allocations for low population states.</w:t>
      </w:r>
    </w:p>
    <w:p w:rsidR="00C47278" w:rsidRPr="00AA0D15" w:rsidRDefault="00C47278" w:rsidP="00C47278">
      <w:pPr>
        <w:pStyle w:val="Heading3"/>
        <w:rPr>
          <w:rFonts w:cs="Times New Roman"/>
        </w:rPr>
      </w:pPr>
      <w:r w:rsidRPr="00AA0D15">
        <w:rPr>
          <w:rFonts w:cs="Times New Roman"/>
        </w:rPr>
        <w:t>2nc – disadvantaged pop’s</w:t>
      </w:r>
    </w:p>
    <w:p w:rsidR="00C47278" w:rsidRPr="00AA0D15" w:rsidRDefault="00C47278" w:rsidP="00C47278">
      <w:pPr>
        <w:pStyle w:val="Heading4"/>
        <w:rPr>
          <w:rFonts w:cs="Times New Roman"/>
        </w:rPr>
      </w:pPr>
      <w:r w:rsidRPr="00AA0D15">
        <w:rPr>
          <w:rFonts w:cs="Times New Roman"/>
        </w:rPr>
        <w:t>States can do whatever they want with Title I Funds making It impossible to ensure it serves low income students and diversity issues</w:t>
      </w:r>
    </w:p>
    <w:p w:rsidR="00C47278" w:rsidRPr="00AA0D15" w:rsidRDefault="00C47278" w:rsidP="00C47278">
      <w:r w:rsidRPr="00AA0D15">
        <w:rPr>
          <w:rStyle w:val="Style13ptBold"/>
        </w:rPr>
        <w:t xml:space="preserve">Hinson 15 </w:t>
      </w:r>
      <w:r w:rsidRPr="00AA0D15">
        <w:t>(Elizabeth K. Hinson, Mainstreaming Equality in Federal Budgeting: Addressing Educational Inequities With Regard to the States, 20 Mich. J. Race &amp; L. 377 [2015]) GG</w:t>
      </w:r>
    </w:p>
    <w:p w:rsidR="00C47278" w:rsidRPr="00AA0D15" w:rsidRDefault="00C47278" w:rsidP="00C47278">
      <w:r w:rsidRPr="00AA0D15">
        <w:rPr>
          <w:rStyle w:val="StyleUnderline"/>
        </w:rPr>
        <w:t xml:space="preserve">Congress required that ESEA maintain a </w:t>
      </w:r>
      <w:r w:rsidRPr="00AA0D15">
        <w:rPr>
          <w:rStyle w:val="Emphasis"/>
        </w:rPr>
        <w:t>balance between federal power and local responsibility</w:t>
      </w:r>
      <w:r w:rsidRPr="00AA0D15">
        <w:t xml:space="preserve"> in order to pass both houses in a post-Brown political environment. Yet for decades since, this concept of local control has undermined the very intent of the Congressional legislation and has at the same time justified the wide disparities caused by local property taxes. State high courts that have invalidated property-tax finance systems properly held that expenditure disparities create wealth-based differences in educational opportunities. </w:t>
      </w:r>
      <w:r w:rsidRPr="00AA0D15">
        <w:rPr>
          <w:rStyle w:val="StyleUnderline"/>
        </w:rPr>
        <w:t>While the legislative responses to these decisions have given poor districts more revenue in order to reduce spending variations</w:t>
      </w:r>
      <w:r w:rsidRPr="00AA0D15">
        <w:t xml:space="preserve"> and enrich educational programs, some of the modified funding formulas do not ensure that substantive change will occur due to other obstacles at the local level </w:t>
      </w:r>
      <w:r w:rsidRPr="00AA0D15">
        <w:rPr>
          <w:rStyle w:val="Emphasis"/>
        </w:rPr>
        <w:t>Title I’s provision for state coordination to serve disadvantaged populations has little force of its own</w:t>
      </w:r>
      <w:r w:rsidRPr="00AA0D15">
        <w:t xml:space="preserve"> because </w:t>
      </w:r>
      <w:r w:rsidRPr="00AA0D15">
        <w:rPr>
          <w:rStyle w:val="Emphasis"/>
        </w:rPr>
        <w:t>even if states have the resources for such coordination, their participation is at their own election</w:t>
      </w:r>
      <w:r w:rsidRPr="00AA0D15">
        <w:t xml:space="preserve">.193 </w:t>
      </w:r>
      <w:r w:rsidRPr="00AA0D15">
        <w:rPr>
          <w:rStyle w:val="Emphasis"/>
        </w:rPr>
        <w:t>The statute does not mandate that states receiving Title I funds use those funds to serve low-income students in specific ways, but rather, the statute permits various uses for the funds and uses general terms such as “provide services.”</w:t>
      </w:r>
      <w:r w:rsidRPr="00AA0D15">
        <w:t xml:space="preserve">194 </w:t>
      </w:r>
      <w:r w:rsidRPr="00AA0D15">
        <w:rPr>
          <w:rStyle w:val="StyleUnderline"/>
        </w:rPr>
        <w:t xml:space="preserve">In many cases, states work at </w:t>
      </w:r>
      <w:r w:rsidRPr="00AA0D15">
        <w:rPr>
          <w:rStyle w:val="Emphasis"/>
        </w:rPr>
        <w:t>different capacities</w:t>
      </w:r>
      <w:r w:rsidRPr="00AA0D15">
        <w:rPr>
          <w:rStyle w:val="StyleUnderline"/>
        </w:rPr>
        <w:t xml:space="preserve"> in terms of implementing the systems</w:t>
      </w:r>
      <w:r w:rsidRPr="00AA0D15">
        <w:t xml:space="preserve"> </w:t>
      </w:r>
      <w:r w:rsidRPr="00AA0D15">
        <w:rPr>
          <w:rStyle w:val="StyleUnderline"/>
        </w:rPr>
        <w:t>required</w:t>
      </w:r>
      <w:r w:rsidRPr="00AA0D15">
        <w:t xml:space="preserve"> to enforce the federal legislation. Again,</w:t>
      </w:r>
      <w:r w:rsidRPr="00AA0D15">
        <w:rPr>
          <w:rStyle w:val="StyleUnderline"/>
        </w:rPr>
        <w:t xml:space="preserve"> these frustrations often go to inadequate funding and insufficient human resources. Due to tensions over local control, other state education agencies are still reluctant to intrude too much in local schools, even lowperforming ones.195 </w:t>
      </w:r>
      <w:r w:rsidRPr="00AA0D15">
        <w:t xml:space="preserve">A new approach is required to combat the paralysis of poverty originally targeted by Title I legislation in 1965. However, the United States must reevaluate its definition of poverty and acknowledge that poverty in the United States is intricately linked to disadvantage as it relates to race and class and other discriminatory systems.196 A federal mainstreaming equality school funding scheme will create a moral imperative and mission at the federal level. The funding scheme will contribute the lion’s share of funding to those schools serving students categorized as disadvantaged. States will receive weighted funds based on this disadvantage, of which one consideration would be interstate disparities. </w:t>
      </w:r>
      <w:r w:rsidRPr="00AA0D15">
        <w:rPr>
          <w:rStyle w:val="StyleUnderline"/>
        </w:rPr>
        <w:t>To ensure fair interstate disbursement federal funds should be disbursed within states based on each individual schools’ assessed disadvantage rather than disadvantage by school district due to the extreme disparities</w:t>
      </w:r>
      <w:r w:rsidRPr="00AA0D15">
        <w:t xml:space="preserve"> which often exist within districts. This method will require school districts to change their budgeting methods. Instead of reporting district spending based on district averages and average per pupil expenditures, school districts will report actual spending for each school. As a result, targeted federal funds will arrive not at schools with already rich resources, such as veteran and high-paid teachers, but in the accounts of the most needy institutions. Through the implementation of a mainstreaming school funding scheme based on layered disadvantage and its multiplicative effects, long-time disparities between public schools in the United States may at last be countered and corrected.</w:t>
      </w:r>
    </w:p>
    <w:p w:rsidR="00C47278" w:rsidRPr="00AA0D15" w:rsidRDefault="00C47278" w:rsidP="00C47278">
      <w:pPr>
        <w:pStyle w:val="Heading4"/>
        <w:rPr>
          <w:rFonts w:cs="Times New Roman"/>
        </w:rPr>
      </w:pPr>
      <w:r w:rsidRPr="00AA0D15">
        <w:rPr>
          <w:rFonts w:cs="Times New Roman"/>
        </w:rPr>
        <w:t>States allocate title I funds</w:t>
      </w:r>
    </w:p>
    <w:p w:rsidR="00C47278" w:rsidRPr="00AA0D15" w:rsidRDefault="00C47278" w:rsidP="00C47278">
      <w:pPr>
        <w:rPr>
          <w:rStyle w:val="Style13ptBold"/>
        </w:rPr>
      </w:pPr>
      <w:r w:rsidRPr="00AA0D15">
        <w:rPr>
          <w:rStyle w:val="Style13ptBold"/>
        </w:rPr>
        <w:t xml:space="preserve">DOE 2 </w:t>
      </w:r>
      <w:r w:rsidRPr="00AA0D15">
        <w:t>(“Title I — Improving The Academic Achievement Of The Disadvantaged” Last Modified: 12/06/2010, Public Law 107–110 107th Congress H.R. 1 No Child Left Behind Act of 2001. Education. Intergovernmental Relations 20 USC 6301 note) GG</w:t>
      </w:r>
    </w:p>
    <w:p w:rsidR="00C47278" w:rsidRPr="00AA0D15" w:rsidRDefault="00C47278" w:rsidP="00C47278">
      <w:r w:rsidRPr="00AA0D15">
        <w:t>(a) STATE RESERVATIONS- Each State shall reserve 2 percent of the amount the State receives under subpart 2 of part A for fiscal years 2002 and 2003, and 4 percent of the amount received under such subpart for fiscal years 2004 through 2007, to carry out subsection (b) and to carry out the State's responsibilities under sections 1116 and 1117, including carrying out the State educational agency's statewide system of technical assistance and support for local educational agencies.</w:t>
      </w:r>
    </w:p>
    <w:p w:rsidR="00C47278" w:rsidRPr="00AA0D15" w:rsidRDefault="00C47278" w:rsidP="00C47278">
      <w:r w:rsidRPr="00AA0D15">
        <w:t>(b) USES- Of the amount reserved under subsection (a) for any fiscal year</w:t>
      </w:r>
      <w:r w:rsidRPr="00AA0D15">
        <w:rPr>
          <w:rStyle w:val="StyleUnderline"/>
        </w:rPr>
        <w:t>, the State educational agency</w:t>
      </w:r>
      <w:r w:rsidRPr="00AA0D15">
        <w:t xml:space="preserve"> —</w:t>
      </w:r>
    </w:p>
    <w:p w:rsidR="00C47278" w:rsidRPr="00AA0D15" w:rsidRDefault="00C47278" w:rsidP="00C47278">
      <w:r w:rsidRPr="00AA0D15">
        <w:t xml:space="preserve">(1) </w:t>
      </w:r>
      <w:r w:rsidRPr="00AA0D15">
        <w:rPr>
          <w:rStyle w:val="StyleUnderline"/>
        </w:rPr>
        <w:t xml:space="preserve">shall allocate not less than 95 percent of that amount directly to local educational agencies for schools identified for school improvement, corrective action, and restructuring, for activities under section 1116(b); </w:t>
      </w:r>
      <w:r w:rsidRPr="00AA0D15">
        <w:t>or</w:t>
      </w:r>
    </w:p>
    <w:p w:rsidR="00C47278" w:rsidRPr="00AA0D15" w:rsidRDefault="00C47278" w:rsidP="00C47278">
      <w:r w:rsidRPr="00AA0D15">
        <w:t xml:space="preserve">(2) may, </w:t>
      </w:r>
      <w:r w:rsidRPr="00AA0D15">
        <w:rPr>
          <w:rStyle w:val="StyleUnderline"/>
        </w:rPr>
        <w:t xml:space="preserve">with the approval of the local educational agency, directly provide for these activities or arrange for their provision through other entities such as </w:t>
      </w:r>
      <w:r w:rsidRPr="00AA0D15">
        <w:t xml:space="preserve">school support teams or </w:t>
      </w:r>
      <w:r w:rsidRPr="00AA0D15">
        <w:rPr>
          <w:rStyle w:val="StyleUnderline"/>
        </w:rPr>
        <w:t>educational service agencies</w:t>
      </w:r>
      <w:r w:rsidRPr="00AA0D15">
        <w:t>.</w:t>
      </w:r>
    </w:p>
    <w:p w:rsidR="00C47278" w:rsidRPr="00AA0D15" w:rsidRDefault="00C47278" w:rsidP="00C47278">
      <w:r w:rsidRPr="00AA0D15">
        <w:t>(c) PRIORITY- The State educational agency, in allocating funds to local educational agencies under this section, shall give priority to local educational agencies that —</w:t>
      </w:r>
    </w:p>
    <w:p w:rsidR="00C47278" w:rsidRPr="00AA0D15" w:rsidRDefault="00C47278" w:rsidP="00C47278">
      <w:r w:rsidRPr="00AA0D15">
        <w:t>(1) serve the lowest-achieving schools;</w:t>
      </w:r>
    </w:p>
    <w:p w:rsidR="00C47278" w:rsidRPr="00AA0D15" w:rsidRDefault="00C47278" w:rsidP="00C47278">
      <w:r w:rsidRPr="00AA0D15">
        <w:t>(2) demonstrate the greatest need for such funds; and</w:t>
      </w:r>
    </w:p>
    <w:p w:rsidR="00C47278" w:rsidRPr="00AA0D15" w:rsidRDefault="00C47278" w:rsidP="00C47278">
      <w:r w:rsidRPr="00AA0D15">
        <w:t>(3) demonstrate the strongest commitment to ensuring that such funds are used to enable the lowest-achieving schools to meet the progress goals in school improvement plans under section 1116 (b)(3)(A)(v).</w:t>
      </w:r>
    </w:p>
    <w:p w:rsidR="00C47278" w:rsidRPr="00AA0D15" w:rsidRDefault="00C47278" w:rsidP="00C47278">
      <w:pPr>
        <w:rPr>
          <w:rStyle w:val="StyleUnderline"/>
        </w:rPr>
      </w:pPr>
      <w:r w:rsidRPr="00AA0D15">
        <w:t xml:space="preserve">(d) UNUSED FUNDS- </w:t>
      </w:r>
      <w:r w:rsidRPr="00AA0D15">
        <w:rPr>
          <w:rStyle w:val="StyleUnderline"/>
        </w:rPr>
        <w:t>If</w:t>
      </w:r>
      <w:r w:rsidRPr="00AA0D15">
        <w:t xml:space="preserve">, after consultation with local educational agencies in the State, </w:t>
      </w:r>
      <w:r w:rsidRPr="00AA0D15">
        <w:rPr>
          <w:rStyle w:val="StyleUnderline"/>
        </w:rPr>
        <w:t xml:space="preserve">the State educational agency determines that the amount of funds reserved to carry out subsection </w:t>
      </w:r>
      <w:r w:rsidRPr="00AA0D15">
        <w:t xml:space="preserve">(b) </w:t>
      </w:r>
      <w:r w:rsidRPr="00AA0D15">
        <w:rPr>
          <w:rStyle w:val="StyleUnderline"/>
        </w:rPr>
        <w:t>is greater than the amount needed to provide the assistance described in that subsection, the State educational agency shall allocate the excess amount to local educational agencies in accordance with —</w:t>
      </w:r>
    </w:p>
    <w:p w:rsidR="00C47278" w:rsidRPr="00AA0D15" w:rsidRDefault="00C47278" w:rsidP="00C47278">
      <w:r w:rsidRPr="00AA0D15">
        <w:t xml:space="preserve">(1) </w:t>
      </w:r>
      <w:r w:rsidRPr="00AA0D15">
        <w:rPr>
          <w:rStyle w:val="StyleUnderline"/>
        </w:rPr>
        <w:t>the relative allocations the State educational agency</w:t>
      </w:r>
      <w:r w:rsidRPr="00AA0D15">
        <w:t xml:space="preserve"> made to those agencies </w:t>
      </w:r>
      <w:r w:rsidRPr="00AA0D15">
        <w:rPr>
          <w:rStyle w:val="StyleUnderline"/>
        </w:rPr>
        <w:t>for that fiscal year under subpart 2 of part A; or</w:t>
      </w:r>
    </w:p>
    <w:p w:rsidR="00C47278" w:rsidRPr="00AA0D15" w:rsidRDefault="00C47278" w:rsidP="00C47278">
      <w:r w:rsidRPr="00AA0D15">
        <w:t>(2) section 1126(c).</w:t>
      </w:r>
    </w:p>
    <w:p w:rsidR="00C47278" w:rsidRPr="00AA0D15" w:rsidRDefault="00C47278" w:rsidP="00C47278">
      <w:r w:rsidRPr="00AA0D15">
        <w:t xml:space="preserve">(e) SPECIAL RULE- </w:t>
      </w:r>
      <w:r w:rsidRPr="00AA0D15">
        <w:rPr>
          <w:rStyle w:val="StyleUnderline"/>
        </w:rPr>
        <w:t xml:space="preserve">Notwithstanding any other provision of this section, the amount of funds reserved by the State educational agency </w:t>
      </w:r>
      <w:r w:rsidRPr="00AA0D15">
        <w:t xml:space="preserve">under subsection (a) in any fiscal year </w:t>
      </w:r>
      <w:r w:rsidRPr="00AA0D15">
        <w:rPr>
          <w:rStyle w:val="StyleUnderline"/>
        </w:rPr>
        <w:t>shall not decrease the amount of funds each local educational agency receives under subpart 2 below the amount received by such local educational agency</w:t>
      </w:r>
      <w:r w:rsidRPr="00AA0D15">
        <w:t xml:space="preserve"> under such subpart for the preceding fiscal year.</w:t>
      </w:r>
    </w:p>
    <w:p w:rsidR="00C47278" w:rsidRPr="00AA0D15" w:rsidRDefault="00C47278" w:rsidP="00C47278">
      <w:r w:rsidRPr="00AA0D15">
        <w:t>(f) REPORTING- The State educational agency shall make publicly available a list of those schools that have received funds or services pursuant to subsection (b) and the percentage of students from each school from families with incomes below the poverty line.</w:t>
      </w:r>
    </w:p>
    <w:p w:rsidR="00C47278" w:rsidRPr="00AA0D15" w:rsidRDefault="00C47278" w:rsidP="00C47278">
      <w:r w:rsidRPr="00AA0D15">
        <w:t>(g) ASSISTANCE FOR LOCAL SCHOOL IMPROVEMENT-</w:t>
      </w:r>
    </w:p>
    <w:p w:rsidR="00C47278" w:rsidRPr="00AA0D15" w:rsidRDefault="00C47278" w:rsidP="00C47278">
      <w:r w:rsidRPr="00AA0D15">
        <w:t xml:space="preserve">(1) PROGRAM AUTHORIZED- </w:t>
      </w:r>
      <w:r w:rsidRPr="00AA0D15">
        <w:rPr>
          <w:rStyle w:val="StyleUnderline"/>
        </w:rPr>
        <w:t>The Secretary shall award grants to States to enable the States to provide subgrants to local educational agencies</w:t>
      </w:r>
      <w:r w:rsidRPr="00AA0D15">
        <w:t xml:space="preserve"> for the purpose of providing assistance for school improvement consistent with section 1116.</w:t>
      </w:r>
    </w:p>
    <w:p w:rsidR="00C47278" w:rsidRPr="00AA0D15" w:rsidRDefault="00C47278" w:rsidP="00C47278">
      <w:r w:rsidRPr="00AA0D15">
        <w:t xml:space="preserve">(2) STATE ALLOTMENTS- </w:t>
      </w:r>
      <w:r w:rsidRPr="00AA0D15">
        <w:rPr>
          <w:rStyle w:val="StyleUnderline"/>
        </w:rPr>
        <w:t>Such grants shall be allotted among States</w:t>
      </w:r>
      <w:r w:rsidRPr="00AA0D15">
        <w:t>, the Bureau of Indian Affairs, and the outlying areas, in proportion to the funds received by the States, the Bureau of Indian Affairs, and the outlying areas, respectively, for the fiscal year under parts A, C, and D of this title. The Secretary shall expeditiously allot a portion of such funds to States for the purpose of assisting local educational agencies and schools that were in school improvement status on the date preceding the date of enactment of the No Child Left Behind Act of 2001.</w:t>
      </w:r>
    </w:p>
    <w:p w:rsidR="00C47278" w:rsidRPr="00AA0D15" w:rsidRDefault="00C47278" w:rsidP="00C47278">
      <w:r w:rsidRPr="00AA0D15">
        <w:t xml:space="preserve">(3) REALLOCATIONS- </w:t>
      </w:r>
      <w:r w:rsidRPr="00AA0D15">
        <w:rPr>
          <w:rStyle w:val="StyleUnderline"/>
        </w:rPr>
        <w:t>If a State does not receive funds under this subsection, the Secretary shall reallocate such funds to other States in the same proportion funds are allocated under paragraph</w:t>
      </w:r>
      <w:r w:rsidRPr="00AA0D15">
        <w:t xml:space="preserve"> (2).</w:t>
      </w:r>
    </w:p>
    <w:p w:rsidR="00C47278" w:rsidRPr="00AA0D15" w:rsidRDefault="00C47278" w:rsidP="00C47278">
      <w:pPr>
        <w:rPr>
          <w:rStyle w:val="StyleUnderline"/>
        </w:rPr>
      </w:pPr>
      <w:r w:rsidRPr="00AA0D15">
        <w:t xml:space="preserve">(4) STATE APPLICATIONS- </w:t>
      </w:r>
      <w:r w:rsidRPr="00AA0D15">
        <w:rPr>
          <w:rStyle w:val="StyleUnderline"/>
        </w:rPr>
        <w:t>Each State educational agency that desires to receive funds</w:t>
      </w:r>
      <w:r w:rsidRPr="00AA0D15">
        <w:t xml:space="preserve"> under this subsection </w:t>
      </w:r>
      <w:r w:rsidRPr="00AA0D15">
        <w:rPr>
          <w:rStyle w:val="StyleUnderline"/>
        </w:rPr>
        <w:t xml:space="preserve">shall submit an application to the Secretary </w:t>
      </w:r>
      <w:r w:rsidRPr="00AA0D15">
        <w:t xml:space="preserve">at such time, and containing such information, as the Secretary shall reasonably require, except that such requirement shall be waived if a State educational agency submitted such information as part of its State plan under this part. </w:t>
      </w:r>
      <w:r w:rsidRPr="00AA0D15">
        <w:rPr>
          <w:rStyle w:val="StyleUnderline"/>
        </w:rPr>
        <w:t>Each State application shall describe how the State educational agency will allocate such funds in order to assist the State educational agency and local educational agencies in complying with school improvement</w:t>
      </w:r>
      <w:r w:rsidRPr="00AA0D15">
        <w:t xml:space="preserve">, </w:t>
      </w:r>
      <w:r w:rsidRPr="00AA0D15">
        <w:rPr>
          <w:rStyle w:val="StyleUnderline"/>
        </w:rPr>
        <w:t>corrective action, and restructuring requirements of section 1116.</w:t>
      </w:r>
    </w:p>
    <w:p w:rsidR="00C47278" w:rsidRPr="00AA0D15" w:rsidRDefault="00C47278" w:rsidP="00C47278">
      <w:r w:rsidRPr="00AA0D15">
        <w:t>(5) LOCAL EDUCATIONAL AGENCY GRANTS- A grant to a local educational agency under this subsection shall be —</w:t>
      </w:r>
    </w:p>
    <w:p w:rsidR="00C47278" w:rsidRPr="00AA0D15" w:rsidRDefault="00C47278" w:rsidP="00C47278">
      <w:r w:rsidRPr="00AA0D15">
        <w:t>(A) of sufficient size and scope to support the activities required under sections 1116 and 1117, but not less than $50,000 and not more than $500,000 for each participating school;</w:t>
      </w:r>
    </w:p>
    <w:p w:rsidR="00C47278" w:rsidRPr="00AA0D15" w:rsidRDefault="00C47278" w:rsidP="00C47278">
      <w:r w:rsidRPr="00AA0D15">
        <w:t>(B) integrated with other funds awarded by the State under this Act; and</w:t>
      </w:r>
    </w:p>
    <w:p w:rsidR="00C47278" w:rsidRPr="00AA0D15" w:rsidRDefault="00C47278" w:rsidP="00C47278">
      <w:r w:rsidRPr="00AA0D15">
        <w:t>(C) renewable for two additional 1-year periods if schools are meeting the goals in their school improvement plans developed under section 1116.</w:t>
      </w:r>
    </w:p>
    <w:p w:rsidR="00C47278" w:rsidRPr="00AA0D15" w:rsidRDefault="00C47278" w:rsidP="00C47278">
      <w:r w:rsidRPr="00AA0D15">
        <w:t>(6) PRIORITY- The State, in awarding such grants, shall give priority to local educational agencies with the lowest-achieving schools that demonstrate —</w:t>
      </w:r>
    </w:p>
    <w:p w:rsidR="00C47278" w:rsidRPr="00AA0D15" w:rsidRDefault="00C47278" w:rsidP="00C47278">
      <w:r w:rsidRPr="00AA0D15">
        <w:t>(A) the greatest need for such funds; and</w:t>
      </w:r>
    </w:p>
    <w:p w:rsidR="00C47278" w:rsidRPr="00AA0D15" w:rsidRDefault="00C47278" w:rsidP="00C47278">
      <w:r w:rsidRPr="00AA0D15">
        <w:t>(B) the strongest commitment to ensuring that such funds are used to provide adequate resources to enable the lowest-achieving schools to meet the goals under school and local educational agency improvement, corrective action, and restructuring plans under section 1116.</w:t>
      </w:r>
    </w:p>
    <w:p w:rsidR="00C47278" w:rsidRPr="00AA0D15" w:rsidRDefault="00C47278" w:rsidP="00C47278">
      <w:r w:rsidRPr="00AA0D15">
        <w:t xml:space="preserve">(7) ALLOCATION- </w:t>
      </w:r>
      <w:r w:rsidRPr="00AA0D15">
        <w:rPr>
          <w:rStyle w:val="StyleUnderline"/>
        </w:rPr>
        <w:t>A State educational agency that receives a grant under this subsection shall allocate at least 95 percent of the grant funds directly to local educational agencies for schools identified for school improvement, corrective action, or restructuring to carry out activities under section 1116(b),</w:t>
      </w:r>
      <w:r w:rsidRPr="00AA0D15">
        <w:t xml:space="preserve"> or may, with the approval of the local educational agency, directly provide for these activities or arrange for their provision through other entities such as school support teams or educational service agencies.</w:t>
      </w:r>
    </w:p>
    <w:p w:rsidR="00C47278" w:rsidRPr="00AA0D15" w:rsidRDefault="00C47278" w:rsidP="00C47278">
      <w:pPr>
        <w:rPr>
          <w:rStyle w:val="StyleUnderline"/>
        </w:rPr>
      </w:pPr>
      <w:r w:rsidRPr="00AA0D15">
        <w:t xml:space="preserve">(8) ADMINISTRATIVE COSTS- </w:t>
      </w:r>
      <w:r w:rsidRPr="00AA0D15">
        <w:rPr>
          <w:rStyle w:val="StyleUnderline"/>
        </w:rPr>
        <w:t>A State educational agency that receives a grant award under this subsection may reserve not more than 5 percent of such grant funds for administration, evaluation, and technical assistance expenses.</w:t>
      </w:r>
    </w:p>
    <w:p w:rsidR="00C47278" w:rsidRPr="00AA0D15" w:rsidRDefault="00C47278" w:rsidP="00C47278">
      <w:r w:rsidRPr="00AA0D15">
        <w:t>(9) LOCAL AWARDS- Each local educational agency that applies for assistance under this subsection shall describe how it will provide the lowest-achieving schools the resources necessary to meet goals under school and local educational agency improvement, corrective action, and restructuring plans under section 1116.</w:t>
      </w:r>
    </w:p>
    <w:p w:rsidR="00C47278" w:rsidRPr="00AA0D15" w:rsidRDefault="00C47278" w:rsidP="00C47278">
      <w:pPr>
        <w:pStyle w:val="Heading2"/>
        <w:rPr>
          <w:rFonts w:cs="Times New Roman"/>
        </w:rPr>
      </w:pPr>
      <w:r w:rsidRPr="00AA0D15">
        <w:rPr>
          <w:rFonts w:cs="Times New Roman"/>
        </w:rPr>
        <w:t>IMMIGRATION</w:t>
      </w:r>
    </w:p>
    <w:p w:rsidR="00C47278" w:rsidRPr="00AA0D15" w:rsidRDefault="00C47278" w:rsidP="00C47278">
      <w:pPr>
        <w:pStyle w:val="Heading3"/>
        <w:rPr>
          <w:rFonts w:cs="Times New Roman"/>
        </w:rPr>
      </w:pPr>
      <w:r w:rsidRPr="00AA0D15">
        <w:rPr>
          <w:rFonts w:cs="Times New Roman"/>
        </w:rPr>
        <w:t>Solvency</w:t>
      </w:r>
    </w:p>
    <w:p w:rsidR="00C47278" w:rsidRPr="00AA0D15" w:rsidRDefault="00C47278" w:rsidP="00C47278">
      <w:pPr>
        <w:pStyle w:val="Heading4"/>
        <w:rPr>
          <w:rFonts w:cs="Times New Roman"/>
        </w:rPr>
      </w:pPr>
      <w:r w:rsidRPr="00AA0D15">
        <w:rPr>
          <w:rFonts w:cs="Times New Roman"/>
        </w:rPr>
        <w:t>The counterplan solves – states can act on immigration</w:t>
      </w:r>
    </w:p>
    <w:p w:rsidR="00C47278" w:rsidRPr="00AA0D15" w:rsidRDefault="00C47278" w:rsidP="00C47278">
      <w:r w:rsidRPr="00AA0D15">
        <w:rPr>
          <w:rStyle w:val="Style13ptBold"/>
        </w:rPr>
        <w:t>Gonzales 16</w:t>
      </w:r>
      <w:r w:rsidRPr="00AA0D15">
        <w:t xml:space="preserve"> (Richard Gonzales, John S. Knight Fellow Journalism at Stanford University., 2-16-2016, "States Step Up As Washington Stalls On Immigration," NPR.org, http://www.npr.org/sections/thetwo-way/2016/02/16/466989955/states-step-up-as-washington-stalls-on-immigration, Accessed: 6-27-2017 /Kent Denver-NK)</w:t>
      </w:r>
    </w:p>
    <w:p w:rsidR="00C47278" w:rsidRPr="00AA0D15" w:rsidRDefault="00C47278" w:rsidP="00C47278">
      <w:r w:rsidRPr="00AA0D15">
        <w:t xml:space="preserve">Maybe it's understandable </w:t>
      </w:r>
      <w:r w:rsidRPr="00AA0D15">
        <w:rPr>
          <w:rStyle w:val="StyleUnderline"/>
        </w:rPr>
        <w:t>that immigration reform remains stalled in Congress</w:t>
      </w:r>
      <w:r w:rsidRPr="00AA0D15">
        <w:t xml:space="preserve"> during an election year. And that the fate of President Obama's executive actions on immigration before the U.S. Supreme Court remains unclear, especially in the aftermath of the death of Justice Antonin Scalia.</w:t>
      </w:r>
    </w:p>
    <w:p w:rsidR="00C47278" w:rsidRPr="00AA0D15" w:rsidRDefault="00C47278" w:rsidP="00C47278">
      <w:r w:rsidRPr="00AA0D15">
        <w:t xml:space="preserve">But </w:t>
      </w:r>
      <w:r w:rsidRPr="00AA0D15">
        <w:rPr>
          <w:rStyle w:val="StyleUnderline"/>
        </w:rPr>
        <w:t>lawmakers in virtually every state in the union aren't waiting for Washington</w:t>
      </w:r>
      <w:r w:rsidRPr="00AA0D15">
        <w:t xml:space="preserve">. </w:t>
      </w:r>
      <w:r w:rsidRPr="00AA0D15">
        <w:rPr>
          <w:rStyle w:val="StyleUnderline"/>
        </w:rPr>
        <w:t>The number of states taking action by passing immigration-related laws is growing — by 26 percent last yea</w:t>
      </w:r>
      <w:r w:rsidRPr="00AA0D15">
        <w:t>r, according to a new study released Tuesday by the National Conference of State Legislatures.</w:t>
      </w:r>
    </w:p>
    <w:p w:rsidR="00C47278" w:rsidRPr="00AA0D15" w:rsidRDefault="00C47278" w:rsidP="00C47278">
      <w:r w:rsidRPr="00AA0D15">
        <w:t xml:space="preserve">Last year, </w:t>
      </w:r>
      <w:r w:rsidRPr="00AA0D15">
        <w:rPr>
          <w:rStyle w:val="StyleUnderline"/>
        </w:rPr>
        <w:t>216 immigration laws were enacted as opposed to 171 laws in 2014. Texas and California led the pack. In all, 49 states and Puerto Rico enacted new laws and resolutions on immigration.</w:t>
      </w:r>
      <w:r w:rsidRPr="00AA0D15">
        <w:t xml:space="preserve"> Alaska was the only state that did not act.</w:t>
      </w:r>
    </w:p>
    <w:p w:rsidR="00C47278" w:rsidRPr="00AA0D15" w:rsidRDefault="00C47278" w:rsidP="00C47278">
      <w:pPr>
        <w:rPr>
          <w:rStyle w:val="StyleUnderline"/>
        </w:rPr>
      </w:pPr>
      <w:r w:rsidRPr="00AA0D15">
        <w:rPr>
          <w:rStyle w:val="StyleUnderline"/>
        </w:rPr>
        <w:t>The new laws cover</w:t>
      </w:r>
      <w:r w:rsidRPr="00AA0D15">
        <w:t xml:space="preserve"> health, </w:t>
      </w:r>
      <w:r w:rsidRPr="00AA0D15">
        <w:rPr>
          <w:rStyle w:val="StyleUnderline"/>
        </w:rPr>
        <w:t>education</w:t>
      </w:r>
      <w:r w:rsidRPr="00AA0D15">
        <w:t xml:space="preserve">, employment </w:t>
      </w:r>
      <w:r w:rsidRPr="00AA0D15">
        <w:rPr>
          <w:rStyle w:val="StyleUnderline"/>
        </w:rPr>
        <w:t>and licensing issues.</w:t>
      </w:r>
    </w:p>
    <w:p w:rsidR="00C47278" w:rsidRPr="00AA0D15" w:rsidRDefault="00C47278" w:rsidP="00C47278">
      <w:r w:rsidRPr="00AA0D15">
        <w:t xml:space="preserve">In some cases, </w:t>
      </w:r>
      <w:r w:rsidRPr="00AA0D15">
        <w:rPr>
          <w:rStyle w:val="StyleUnderline"/>
        </w:rPr>
        <w:t>the laws expand rights for immigrants, legal or otherwise</w:t>
      </w:r>
      <w:r w:rsidRPr="00AA0D15">
        <w:t>. For example, California allows health care for all children regardless of their immigration status. In other instances, some states impose more restrictive measures, such as Idaho, where an applicant for a driver's license must provide proof of U.S. citizenship or lawful permanent residency.</w:t>
      </w:r>
    </w:p>
    <w:p w:rsidR="00C47278" w:rsidRPr="00AA0D15" w:rsidRDefault="00C47278" w:rsidP="00C47278">
      <w:pPr>
        <w:rPr>
          <w:rStyle w:val="StyleUnderline"/>
        </w:rPr>
      </w:pPr>
      <w:r w:rsidRPr="00AA0D15">
        <w:t xml:space="preserve">Here are some other examples </w:t>
      </w:r>
      <w:r w:rsidRPr="00AA0D15">
        <w:rPr>
          <w:rStyle w:val="StyleUnderline"/>
        </w:rPr>
        <w:t>contained in the report:</w:t>
      </w:r>
    </w:p>
    <w:p w:rsidR="00C47278" w:rsidRPr="00AA0D15" w:rsidRDefault="00C47278" w:rsidP="00C47278">
      <w:pPr>
        <w:rPr>
          <w:rStyle w:val="StyleUnderline"/>
        </w:rPr>
      </w:pPr>
      <w:r w:rsidRPr="00AA0D15">
        <w:rPr>
          <w:rStyle w:val="StyleUnderline"/>
        </w:rPr>
        <w:t>Education</w:t>
      </w:r>
    </w:p>
    <w:p w:rsidR="00C47278" w:rsidRPr="00AA0D15" w:rsidRDefault="00C47278" w:rsidP="00C47278">
      <w:r w:rsidRPr="00AA0D15">
        <w:t xml:space="preserve">— </w:t>
      </w:r>
      <w:r w:rsidRPr="00AA0D15">
        <w:rPr>
          <w:rStyle w:val="StyleUnderline"/>
        </w:rPr>
        <w:t>An Oregon law allows students in the country without valid visas to apply for state-funded financial aid programs.</w:t>
      </w:r>
    </w:p>
    <w:p w:rsidR="00C47278" w:rsidRPr="00AA0D15" w:rsidRDefault="00C47278" w:rsidP="00C47278">
      <w:pPr>
        <w:rPr>
          <w:rStyle w:val="StyleUnderline"/>
        </w:rPr>
      </w:pPr>
      <w:r w:rsidRPr="00AA0D15">
        <w:rPr>
          <w:rStyle w:val="StyleUnderline"/>
        </w:rPr>
        <w:t>— A West Virginia law establishes that only U.S. citizens are eligible for teacher's certificates. However, an allowance is permitted to a person who is an exchange teacher fro</w:t>
      </w:r>
      <w:r w:rsidR="002439A5">
        <w:rPr>
          <w:rStyle w:val="StyleUnderline"/>
        </w:rPr>
        <w:t>m a foreign country.</w:t>
      </w:r>
    </w:p>
    <w:p w:rsidR="00C47278" w:rsidRPr="00AA0D15" w:rsidRDefault="00C47278" w:rsidP="00C47278">
      <w:pPr>
        <w:pStyle w:val="Heading4"/>
        <w:rPr>
          <w:rFonts w:cs="Times New Roman"/>
        </w:rPr>
      </w:pPr>
      <w:r w:rsidRPr="00AA0D15">
        <w:rPr>
          <w:rFonts w:cs="Times New Roman"/>
        </w:rPr>
        <w:t>Counterplan solves – immigration law should be updated at the state level – federal efforts fail</w:t>
      </w:r>
    </w:p>
    <w:p w:rsidR="00C47278" w:rsidRPr="00AA0D15" w:rsidRDefault="00C47278" w:rsidP="00C47278">
      <w:r w:rsidRPr="00AA0D15">
        <w:rPr>
          <w:rStyle w:val="Style13ptBold"/>
        </w:rPr>
        <w:t>AIC 16</w:t>
      </w:r>
      <w:r w:rsidRPr="00AA0D15">
        <w:t xml:space="preserve"> (American Immigration Council, 10-24-2016, "Public Education for Immigrant Students: Understanding Plyler v. Doe," American Immigration Council, https://www.americanimmigrationcouncil.org/research/plyler-v-doe-public-education-immigrant-students, Accessed: 6-28-2017 /Kent Denver-NK)</w:t>
      </w:r>
    </w:p>
    <w:p w:rsidR="00C47278" w:rsidRPr="00AA0D15" w:rsidRDefault="00C47278" w:rsidP="00C47278">
      <w:r w:rsidRPr="00AA0D15">
        <w:t xml:space="preserve">In June 1982, </w:t>
      </w:r>
      <w:r w:rsidRPr="00AA0D15">
        <w:rPr>
          <w:rStyle w:val="StyleUnderline"/>
        </w:rPr>
        <w:t>the Supreme Court issued Plyler v. Doe, a landmark decision holding that states cannot constitutionally deny students a free public education on account of their immigration status.</w:t>
      </w:r>
      <w:r w:rsidRPr="00AA0D15">
        <w:t xml:space="preserve"> By a 5-4 vote, the Court found that any resources which might be saved from excluding undocumented children from public schools were far outweighed by the harms imposed on society at large from denying them an education.</w:t>
      </w:r>
    </w:p>
    <w:p w:rsidR="00C47278" w:rsidRPr="00AA0D15" w:rsidRDefault="00C47278" w:rsidP="00C47278">
      <w:r w:rsidRPr="00AA0D15">
        <w:t xml:space="preserve">For more than thirty years, </w:t>
      </w:r>
      <w:r w:rsidRPr="00AA0D15">
        <w:rPr>
          <w:rStyle w:val="StyleUnderline"/>
        </w:rPr>
        <w:t>Plyler has ensured equal access to education for children regardless of status, but anti-immigrant sentiment continues to threaten that right. States and localities have passed measures and adopted unofficial policies that violate the spirit</w:t>
      </w:r>
      <w:r w:rsidRPr="00AA0D15">
        <w:t xml:space="preserve">—if not the letter—of the Court’s decision. For example, in 2011 </w:t>
      </w:r>
      <w:r w:rsidRPr="00AA0D15">
        <w:rPr>
          <w:rStyle w:val="StyleUnderline"/>
        </w:rPr>
        <w:t>the state of Alabama enacted a law requiring school administrators to determine the immigration status of newly enrolling students</w:t>
      </w:r>
      <w:r w:rsidRPr="00AA0D15">
        <w:t>, which in turn resulted in markedly higher rates of absenteeism for Latino school children and caused much fear and confusion in schools. Supporters of the Alabama law wanted to challenge Plyler itself, claiming the Court implied that its ruling could change if sufficient evidence established that the enrollment of undocumented children harmed the overall quality of education, but that challenge was blocked by the Courts.</w:t>
      </w:r>
    </w:p>
    <w:p w:rsidR="00C47278" w:rsidRPr="00AA0D15" w:rsidRDefault="00C47278" w:rsidP="00C47278">
      <w:pPr>
        <w:rPr>
          <w:rStyle w:val="StyleUnderline"/>
        </w:rPr>
      </w:pPr>
      <w:r w:rsidRPr="00AA0D15">
        <w:rPr>
          <w:rStyle w:val="StyleUnderline"/>
        </w:rPr>
        <w:t>This fact sheet provides an overview of the Supreme Court’s decision in Plyler and subsequent efforts by states and localities to avoid compliance with the decision.</w:t>
      </w:r>
    </w:p>
    <w:p w:rsidR="00C47278" w:rsidRPr="00AA0D15" w:rsidRDefault="00C47278" w:rsidP="00C47278">
      <w:r w:rsidRPr="00AA0D15">
        <w:t>What were the facts of Plyler v. Doe?</w:t>
      </w:r>
    </w:p>
    <w:p w:rsidR="00C47278" w:rsidRPr="00AA0D15" w:rsidRDefault="00C47278" w:rsidP="00C47278">
      <w:r w:rsidRPr="00AA0D15">
        <w:t xml:space="preserve">In 1975, the </w:t>
      </w:r>
      <w:r w:rsidRPr="00AA0D15">
        <w:rPr>
          <w:rStyle w:val="StyleUnderline"/>
        </w:rPr>
        <w:t>Texas Legislature authorized local school districts to deny enrollment in public schools to foreign-born children who were not “legally admitted” to the United States</w:t>
      </w:r>
      <w:r w:rsidRPr="00AA0D15">
        <w:t>. Two years later, the TylerIndependentSchool District adopted a policy requiring foreign-born students to pay tuition if they were not “legally admitted.” Under the school district’s policy, children were considered “legally admitted” if (1) they possessed documentation showing that they were legally present in the United States, or (2) federal immigration authorities confirmed they were in the process of securing such documentation.</w:t>
      </w:r>
    </w:p>
    <w:p w:rsidR="00C47278" w:rsidRPr="00AA0D15" w:rsidRDefault="00C47278" w:rsidP="00C47278">
      <w:r w:rsidRPr="00AA0D15">
        <w:t>Shortly thereafter, a group of students from Mexico who could not establish that they were “legally admitted” brought a class action lawsuit challenging the policy. The district court, after making extensive findings of fact, held that the policy violated the Constitution and was also “preempted” by federal immigration law. A federal appeals court upheld the injunction, although its decision rested on constitutional rather than preemption grounds. The school district then filed a petition with the Supreme Court, which granted the case for review.</w:t>
      </w:r>
    </w:p>
    <w:p w:rsidR="00C47278" w:rsidRPr="00AA0D15" w:rsidRDefault="00C47278" w:rsidP="00C47278">
      <w:r w:rsidRPr="00AA0D15">
        <w:t>What was the basis for the Supreme Court’s ruling?</w:t>
      </w:r>
    </w:p>
    <w:p w:rsidR="00C47278" w:rsidRPr="00AA0D15" w:rsidRDefault="00C47278" w:rsidP="00C47278">
      <w:r w:rsidRPr="00AA0D15">
        <w:t>The Court based its ruling on the Fourteenth Amendment of the U.S. Constitution, which says in part, “No State shall … deny to any person within its jurisdiction the equal protection of the laws.” (This provision is commonly known as the “Equal Protection Clause.”) Under this provision, the Court held that if states provide a free public education to U.S. citizens and lawfully present foreign-born children, they cannot deny such an education to undocumented children without “showing that it furthers some substantial state interest.”</w:t>
      </w:r>
    </w:p>
    <w:p w:rsidR="00C47278" w:rsidRPr="00AA0D15" w:rsidRDefault="00C47278" w:rsidP="00C47278">
      <w:r w:rsidRPr="00AA0D15">
        <w:t>The Court found that the school district had no rational basis to deny children a public education based on their immigration status, given the harm the policy would inflict on the children themselves and society as a whole. “By denying these children a basic education,” the Court said, “we deny them the ability to live within the structure of our civic institutions, and foreclose any realistic possibility that they will contribute in even the smallest way to the progress of our Nation.” The Court also said that holding children accountable for their parents’ actions “does not comport with fundamental conceptions of justice.”</w:t>
      </w:r>
    </w:p>
    <w:p w:rsidR="00C47278" w:rsidRPr="00AA0D15" w:rsidRDefault="00C47278" w:rsidP="00C47278">
      <w:r w:rsidRPr="00AA0D15">
        <w:t>Did the dissent suggest that undocumented children should be prevented from attending school?</w:t>
      </w:r>
    </w:p>
    <w:p w:rsidR="00C47278" w:rsidRPr="00AA0D15" w:rsidRDefault="00C47278" w:rsidP="00C47278">
      <w:r w:rsidRPr="00AA0D15">
        <w:t>No. To the contrary, the dissent acknowledged that it “is senseless for an enlightened society to deprive any children—including [unauthorized immigrants]—of an elementary education,” in part because “the long-range costs of excluding any children from the public schools may well outweigh the costs of educating them.” Instead, the dissent argued that the Court should defer to the school district’s policy because the Constitution does not officially prevent discrimination against unlawfully present immigrants.</w:t>
      </w:r>
    </w:p>
    <w:p w:rsidR="00C47278" w:rsidRPr="00AA0D15" w:rsidRDefault="00C47278" w:rsidP="00C47278">
      <w:r w:rsidRPr="00AA0D15">
        <w:t>Did the Court say its opinion would change if evidence existed that educating undocumented children reduces the quality of education for other students?</w:t>
      </w:r>
    </w:p>
    <w:p w:rsidR="00C47278" w:rsidRPr="00AA0D15" w:rsidRDefault="00C47278" w:rsidP="00C47278">
      <w:r w:rsidRPr="00AA0D15">
        <w:t xml:space="preserve">No. The majority noted that the record in the case did not support “the claim that exclusion of undocumented children is likely to improve the overall quality of education in the State.” However, the remark was not central to the Court’s reasoning or otherwise intended to leave open the question. The Court also said that even if barring one group of children from schools was likely to improve the overall quality of education, the school district would still have to justify applying the prohibition to undocumented children. Thus, there is no basis to believe the Court’s decision would have been different—or that a future Court would overrule Plyler—if evidence showed that educating undocumented school children reduces the quality of education for other students. </w:t>
      </w:r>
    </w:p>
    <w:p w:rsidR="00C47278" w:rsidRPr="00AA0D15" w:rsidRDefault="00C47278" w:rsidP="00C47278">
      <w:pPr>
        <w:rPr>
          <w:rStyle w:val="StyleUnderline"/>
        </w:rPr>
      </w:pPr>
      <w:r w:rsidRPr="00AA0D15">
        <w:rPr>
          <w:rStyle w:val="StyleUnderline"/>
        </w:rPr>
        <w:t>How have states and localities attempted to circumvent the Plyler decision?</w:t>
      </w:r>
    </w:p>
    <w:p w:rsidR="00C47278" w:rsidRPr="00AA0D15" w:rsidRDefault="00C47278" w:rsidP="00C47278">
      <w:r w:rsidRPr="00AA0D15">
        <w:t xml:space="preserve">In the three decades since the Plyler ruling was issued, </w:t>
      </w:r>
      <w:r w:rsidRPr="00AA0D15">
        <w:rPr>
          <w:rStyle w:val="StyleUnderline"/>
        </w:rPr>
        <w:t>states and localities have passed numerous measures and adopted unofficial policies that violate the spirit if not the letter of the decision</w:t>
      </w:r>
      <w:r w:rsidRPr="00AA0D15">
        <w:t>. For example:</w:t>
      </w:r>
    </w:p>
    <w:p w:rsidR="00C47278" w:rsidRPr="00AA0D15" w:rsidRDefault="00C47278" w:rsidP="00C47278">
      <w:r w:rsidRPr="00AA0D15">
        <w:t xml:space="preserve">In 1994, </w:t>
      </w:r>
      <w:r w:rsidRPr="00AA0D15">
        <w:rPr>
          <w:rStyle w:val="StyleUnderline"/>
        </w:rPr>
        <w:t>California voters enacted Proposition 187</w:t>
      </w:r>
      <w:r w:rsidRPr="00AA0D15">
        <w:t>, which prohibited public elementary and secondary schools from admitting any student who was not lawfully present in the United States, and which required schools to notify federal immigration authorities within 45 days of any student reasonably believed to be in violation of federal immigration laws. The measure was subsequently struck down in federal court for violating Plyler.</w:t>
      </w:r>
    </w:p>
    <w:p w:rsidR="00C47278" w:rsidRPr="00AA0D15" w:rsidRDefault="00C47278" w:rsidP="00C47278">
      <w:pPr>
        <w:rPr>
          <w:rStyle w:val="StyleUnderline"/>
        </w:rPr>
      </w:pPr>
      <w:r w:rsidRPr="00AA0D15">
        <w:t>In 2006, the school district in Elmwood Park, Illinois, denied enrollment to a student who had overstayed the tourist visa on which he had originally entered the country. The district ultimately permitted the student to enroll, however, after the Illinois State Board of Education threatened to withhold funding.</w:t>
      </w:r>
    </w:p>
    <w:p w:rsidR="00C47278" w:rsidRPr="00AA0D15" w:rsidRDefault="00C47278" w:rsidP="00C47278">
      <w:r w:rsidRPr="00AA0D15">
        <w:rPr>
          <w:rStyle w:val="StyleUnderline"/>
        </w:rPr>
        <w:t>In 2011, the Alabama legislature enacted a measure requiring school administrators to determine the immigration status of all newly enrolling students, and to submit an annual report to the state Board of Education setting forth all data obtained under the requirement</w:t>
      </w:r>
      <w:r w:rsidRPr="00AA0D15">
        <w:t>. The federal government and numerous private plaintiffs have sought to enjoin this provision as part of a larger challenge to H.B. 56, the omnibus measure in which it was enacted. A federal district court in Alabama declined to enter a preliminary injunction against the provision upon finding that none of the plaintiffs had standing to appeal. However, a federal appellate court subsequently blocked implementation of the provision pending resolution of an appeal. The provision was permanently blocked in October 2013 when Alabama agreed to a settlement in the lawsuit.</w:t>
      </w:r>
    </w:p>
    <w:p w:rsidR="00C47278" w:rsidRPr="00AA0D15" w:rsidRDefault="00C47278" w:rsidP="00C47278">
      <w:pPr>
        <w:pStyle w:val="Heading4"/>
        <w:rPr>
          <w:rFonts w:cs="Times New Roman"/>
        </w:rPr>
      </w:pPr>
      <w:r w:rsidRPr="00AA0D15">
        <w:rPr>
          <w:rFonts w:cs="Times New Roman"/>
        </w:rPr>
        <w:t>Immigration education is empirically an issue at the state level</w:t>
      </w:r>
    </w:p>
    <w:p w:rsidR="00C47278" w:rsidRPr="00AA0D15" w:rsidRDefault="00C47278" w:rsidP="00C47278">
      <w:pPr>
        <w:rPr>
          <w:rStyle w:val="Emphasis"/>
        </w:rPr>
      </w:pPr>
      <w:r w:rsidRPr="00AA0D15">
        <w:rPr>
          <w:rStyle w:val="Style13ptBold"/>
        </w:rPr>
        <w:t>Underwood 16</w:t>
      </w:r>
      <w:r w:rsidRPr="00AA0D15">
        <w:t xml:space="preserve"> (Julie Underwood, former dean of the University of Wisconsin School of Education, a nationally recognized authority on school law, January 2016, "Supreme Court guards education for undocumented immigrants," kappanonline.org, http://www.kappanonline.org/supreme-court-guards-education-undocumented-immigrants/, Accessed: 6-27-2017 /Kent Denver-NK)</w:t>
      </w:r>
    </w:p>
    <w:p w:rsidR="00C47278" w:rsidRPr="00AA0D15" w:rsidRDefault="00C47278" w:rsidP="00C47278">
      <w:r w:rsidRPr="00AA0D15">
        <w:rPr>
          <w:rStyle w:val="StyleUnderline"/>
        </w:rPr>
        <w:t>The right to a public education for those who are not U.S. citizens, legal residents, or living with their parents is not a clear and stable issue</w:t>
      </w:r>
      <w:r w:rsidRPr="00AA0D15">
        <w:t>. Children who enter the U.S. illegally with or without their parents are at the heart of this question.</w:t>
      </w:r>
    </w:p>
    <w:p w:rsidR="00C47278" w:rsidRPr="00AA0D15" w:rsidRDefault="00C47278" w:rsidP="00C47278">
      <w:pPr>
        <w:rPr>
          <w:rStyle w:val="StyleUnderline"/>
        </w:rPr>
      </w:pPr>
      <w:r w:rsidRPr="00AA0D15">
        <w:t xml:space="preserve">Let’s begin with the 1954 U.S. Supreme Court decision in </w:t>
      </w:r>
      <w:r w:rsidRPr="00AA0D15">
        <w:rPr>
          <w:rStyle w:val="StyleUnderline"/>
        </w:rPr>
        <w:t>Brown v. Board of Education</w:t>
      </w:r>
      <w:r w:rsidRPr="00AA0D15">
        <w:t xml:space="preserve">, where </w:t>
      </w:r>
      <w:r w:rsidRPr="00AA0D15">
        <w:rPr>
          <w:rStyle w:val="StyleUnderline"/>
        </w:rPr>
        <w:t>the court declared state laws denying access to public schools based on race to be unconstitutional under the Equal Protection clause:</w:t>
      </w:r>
    </w:p>
    <w:p w:rsidR="00C47278" w:rsidRPr="00AA0D15" w:rsidRDefault="00C47278" w:rsidP="00C47278">
      <w:r w:rsidRPr="00AA0D15">
        <w:rPr>
          <w:rStyle w:val="StyleUnderline"/>
        </w:rPr>
        <w:t>Today education is perhaps the most important function of state and local governments. Compulsory school attendance laws and the great expenditures for education both demonstrate our recognition of the importance of education to our democratic society</w:t>
      </w:r>
      <w:r w:rsidRPr="00AA0D15">
        <w:t>. It is required in the performance of our most basic public responsibilities, even service in the armed forces. 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of an education.</w:t>
      </w:r>
    </w:p>
    <w:p w:rsidR="00C47278" w:rsidRPr="00AA0D15" w:rsidRDefault="00C47278" w:rsidP="00C47278">
      <w:pPr>
        <w:rPr>
          <w:rStyle w:val="StyleUnderline"/>
        </w:rPr>
      </w:pPr>
      <w:r w:rsidRPr="00AA0D15">
        <w:t xml:space="preserve">But in 1973, in San Antonio Independent School District v. Rodriguez, </w:t>
      </w:r>
      <w:r w:rsidRPr="00AA0D15">
        <w:rPr>
          <w:rStyle w:val="StyleUnderline"/>
        </w:rPr>
        <w:t>the Supreme Court held that access to public education was not a constitutional right under the U.S. Constitution.</w:t>
      </w:r>
    </w:p>
    <w:p w:rsidR="00C47278" w:rsidRPr="00AA0D15" w:rsidRDefault="00C47278" w:rsidP="00C47278">
      <w:r w:rsidRPr="00AA0D15">
        <w:t>In another case, Chinese-American students with limited English language proficiency claimed the San Francisco school district’s failure to provide language accommodation and support for them violated the U.S. Constitution and Title VI of the Civil Rights Act. Finding in favor of the students, in Lau v. Nichols (1974), the Supreme Court focused not on the constitutional question but on the Civil Rights Act. Congress codified much of the decision shortly thereafter by passing the Equal Education Opportunities Act.</w:t>
      </w:r>
    </w:p>
    <w:p w:rsidR="00C47278" w:rsidRPr="00AA0D15" w:rsidRDefault="00C47278" w:rsidP="00C47278">
      <w:r w:rsidRPr="00AA0D15">
        <w:t>Plyler case</w:t>
      </w:r>
    </w:p>
    <w:p w:rsidR="00C47278" w:rsidRPr="00AA0D15" w:rsidRDefault="00C47278" w:rsidP="00C47278">
      <w:r w:rsidRPr="00AA0D15">
        <w:t xml:space="preserve">In 1982, in Plyler v. Doe, the Supreme Court held (5-4) that school districts could not deny access to a public education to resident children whose parents had entered the U.S. illegally. The case arose as a challenge to a 1975 Texas statute that withheld state funds from public school districts for expenses related to educating children who had not been legally admitted into the U.S. The statute also authorized public school districts to deny enrollment to such children (Tex. Educ. Code Ann. 21.031). </w:t>
      </w:r>
      <w:r w:rsidRPr="00AA0D15">
        <w:rPr>
          <w:rStyle w:val="StyleUnderline"/>
        </w:rPr>
        <w:t>The Court held that access to education, while not specifically a federal constitutional right, was a significant state benefit</w:t>
      </w:r>
      <w:r w:rsidRPr="00AA0D15">
        <w:t>. The Court said education “has a fundamental role in maintaining the fabric of our society” by preparing citizens to participate in a democracy. “[T]he public schools [are] a most vital civic institution for the preservation of a democratic system of government and . . . the primary vehicle for transmitting the values on which our society rests. . . . In sum, education has a fundamental role in maintaining the fabric of our society.”</w:t>
      </w:r>
    </w:p>
    <w:p w:rsidR="00C47278" w:rsidRPr="00AA0D15" w:rsidRDefault="00C47278" w:rsidP="00C47278">
      <w:r w:rsidRPr="00AA0D15">
        <w:rPr>
          <w:rStyle w:val="StyleUnderline"/>
        </w:rPr>
        <w:t>The Court noted that, if the state intends to deny such a benefit, it should have a sufficiently valid reason</w:t>
      </w:r>
      <w:r w:rsidRPr="00AA0D15">
        <w:t>. The Court found that denying children an education, not due to their own actions, but the actions of their parents, was not sufficiently compelling to deny children this important public benefit.</w:t>
      </w:r>
    </w:p>
    <w:p w:rsidR="00C47278" w:rsidRPr="00AA0D15" w:rsidRDefault="00C47278" w:rsidP="00C47278">
      <w:pPr>
        <w:rPr>
          <w:rStyle w:val="StyleUnderline"/>
        </w:rPr>
      </w:pPr>
      <w:r w:rsidRPr="00AA0D15">
        <w:t xml:space="preserve">In Martinez v. Bynum, 461 U.S. 321 (1983), the U.S. Supreme Court ruled (8 -1) on </w:t>
      </w:r>
      <w:r w:rsidRPr="00AA0D15">
        <w:rPr>
          <w:rStyle w:val="StyleUnderline"/>
        </w:rPr>
        <w:t>another Texas statute intended to close the schoolhouse doors to nonresident children</w:t>
      </w:r>
      <w:r w:rsidRPr="00AA0D15">
        <w:t xml:space="preserve">. The student was a U.S. citizen by birth. But, when he was a young child, he and his parents moved to Mexico, where his parents were citizens. When he was eight years old, he returned to Texas to live with his sister and attend public school. He was denied tuition-free admission because of a state statute (Tex. Educ. Code 21.031) that denied tuition-free access to students who were not living with their guardians or parents for the primary purpose of accessing an education. Unlike the statute in Plyler, this statute did not single out undocumented children but was written to apply to all. The U.S. Supreme Court upheld the statute as a bona fide residency requirement intended to protect the resources of the local school district. The Court stated, “The provision of primary and secondary education, of course, is one of the most important functions of local government. Absent residence requirements, there can be little doubt that the proper planning and operation of the schools would suffer significantly. Thus </w:t>
      </w:r>
      <w:r w:rsidRPr="00AA0D15">
        <w:rPr>
          <w:rStyle w:val="StyleUnderline"/>
        </w:rPr>
        <w:t>a district must offer services to all students who reside within its boundaries, unless they are there without the support of their parents or guardians solely for the purp</w:t>
      </w:r>
      <w:r w:rsidR="002439A5">
        <w:rPr>
          <w:rStyle w:val="StyleUnderline"/>
        </w:rPr>
        <w:t>ose of receiving an education.”</w:t>
      </w:r>
    </w:p>
    <w:p w:rsidR="00C47278" w:rsidRPr="00AA0D15" w:rsidRDefault="00C47278" w:rsidP="00C47278">
      <w:pPr>
        <w:pStyle w:val="Heading4"/>
        <w:rPr>
          <w:rFonts w:cs="Times New Roman"/>
        </w:rPr>
      </w:pPr>
      <w:r w:rsidRPr="00AA0D15">
        <w:rPr>
          <w:rFonts w:cs="Times New Roman"/>
        </w:rPr>
        <w:t>All children can attend K-12 public school in the US regardless of document status</w:t>
      </w:r>
    </w:p>
    <w:p w:rsidR="00C47278" w:rsidRPr="00AA0D15" w:rsidRDefault="00C47278" w:rsidP="00C47278">
      <w:r w:rsidRPr="00AA0D15">
        <w:rPr>
          <w:rStyle w:val="Style13ptBold"/>
        </w:rPr>
        <w:t>OSPI 15</w:t>
      </w:r>
      <w:r w:rsidRPr="00AA0D15">
        <w:t xml:space="preserve"> (Office Of Superintendent Of Public Instruction for the State of Washington, 3-24-2015, "Immigrant Student’s Rights to Attend Public Schools," Office Of Superintendent Of Public Instruction for the State of Washington, http://www.k12.wa.us/MigrantBilingual/ImmigrantRights.aspx, Accessed: 6-27-2017 /Kent Denver-NK)</w:t>
      </w:r>
    </w:p>
    <w:p w:rsidR="00C47278" w:rsidRPr="00AA0D15" w:rsidRDefault="00C47278" w:rsidP="00C47278">
      <w:r w:rsidRPr="00AA0D15">
        <w:rPr>
          <w:rStyle w:val="StyleUnderline"/>
        </w:rPr>
        <w:t>The U.S. Supreme Court ruled in Plyler vs. Doe (457 U.S. 202 (1982)) that undocumented children and young adults have the same right to attend public primary and secondary schools as do U.S. citizens and permanent residents</w:t>
      </w:r>
      <w:r w:rsidRPr="00AA0D15">
        <w:t xml:space="preserve">. Like other children, </w:t>
      </w:r>
      <w:r w:rsidRPr="00AA0D15">
        <w:rPr>
          <w:rStyle w:val="StyleUnderline"/>
        </w:rPr>
        <w:t>undocumented students are obliged under state law to attend school until they reach a mandated age</w:t>
      </w:r>
      <w:r w:rsidRPr="00AA0D15">
        <w:t>. As a result of the Plyler ruling</w:t>
      </w:r>
      <w:r w:rsidRPr="00AA0D15">
        <w:rPr>
          <w:rStyle w:val="StyleUnderline"/>
        </w:rPr>
        <w:t>, public schools may not:</w:t>
      </w:r>
    </w:p>
    <w:p w:rsidR="00C47278" w:rsidRPr="00AA0D15" w:rsidRDefault="00C47278" w:rsidP="00C47278">
      <w:pPr>
        <w:rPr>
          <w:rStyle w:val="StyleUnderline"/>
        </w:rPr>
      </w:pPr>
      <w:r w:rsidRPr="00AA0D15">
        <w:rPr>
          <w:rStyle w:val="StyleUnderline"/>
        </w:rPr>
        <w:t>Deny admission to a student during initial enrollment or at any other time on the basis of undocumented status.</w:t>
      </w:r>
    </w:p>
    <w:p w:rsidR="00C47278" w:rsidRPr="00AA0D15" w:rsidRDefault="00C47278" w:rsidP="00C47278">
      <w:pPr>
        <w:rPr>
          <w:rStyle w:val="StyleUnderline"/>
        </w:rPr>
      </w:pPr>
      <w:r w:rsidRPr="00AA0D15">
        <w:rPr>
          <w:rStyle w:val="StyleUnderline"/>
        </w:rPr>
        <w:t>Treat a student differently to determine residency.</w:t>
      </w:r>
    </w:p>
    <w:p w:rsidR="00C47278" w:rsidRPr="00AA0D15" w:rsidRDefault="00C47278" w:rsidP="00C47278">
      <w:pPr>
        <w:rPr>
          <w:rStyle w:val="StyleUnderline"/>
        </w:rPr>
      </w:pPr>
      <w:r w:rsidRPr="00AA0D15">
        <w:rPr>
          <w:rStyle w:val="StyleUnderline"/>
        </w:rPr>
        <w:t>Engage in any practices to "chill" the right of access to school.</w:t>
      </w:r>
    </w:p>
    <w:p w:rsidR="00C47278" w:rsidRPr="00AA0D15" w:rsidRDefault="00C47278" w:rsidP="00C47278">
      <w:pPr>
        <w:rPr>
          <w:rStyle w:val="StyleUnderline"/>
        </w:rPr>
      </w:pPr>
      <w:r w:rsidRPr="00AA0D15">
        <w:rPr>
          <w:rStyle w:val="StyleUnderline"/>
        </w:rPr>
        <w:t>Require students or parents to disclose or document their immigration status.</w:t>
      </w:r>
    </w:p>
    <w:p w:rsidR="00C47278" w:rsidRPr="00AA0D15" w:rsidRDefault="00C47278" w:rsidP="00C47278">
      <w:pPr>
        <w:rPr>
          <w:rStyle w:val="StyleUnderline"/>
        </w:rPr>
      </w:pPr>
      <w:r w:rsidRPr="00AA0D15">
        <w:rPr>
          <w:rStyle w:val="StyleUnderline"/>
        </w:rPr>
        <w:t>Make inquiries of students or parents that may expose their undocumented status.</w:t>
      </w:r>
    </w:p>
    <w:p w:rsidR="00C47278" w:rsidRPr="00AA0D15" w:rsidRDefault="00C47278" w:rsidP="00C47278">
      <w:pPr>
        <w:rPr>
          <w:rStyle w:val="StyleUnderline"/>
        </w:rPr>
      </w:pPr>
      <w:r w:rsidRPr="00AA0D15">
        <w:rPr>
          <w:rStyle w:val="StyleUnderline"/>
        </w:rPr>
        <w:t>Require social security numbers from all students, as this may expose undocumented status.</w:t>
      </w:r>
    </w:p>
    <w:p w:rsidR="00C47278" w:rsidRPr="00AA0D15" w:rsidRDefault="00C47278" w:rsidP="00C47278">
      <w:r w:rsidRPr="00AA0D15">
        <w:t>Students without social security numbers should be assigned a number generated by the school. Adults without social security numbers who are applying for a free lunch and/or breakfast program on behalf of a student need only indicate on the application that they do not have a social security number.</w:t>
      </w:r>
    </w:p>
    <w:p w:rsidR="00C47278" w:rsidRPr="00AA0D15" w:rsidRDefault="00C47278" w:rsidP="00C47278">
      <w:r w:rsidRPr="00AA0D15">
        <w:t>Changes in the F-1 (Student) Visa Program do not alter the Plyler obligations to undocumented children. These changes apply only to students who apply for a student visa from outside the U.S.</w:t>
      </w:r>
    </w:p>
    <w:p w:rsidR="00C47278" w:rsidRPr="00AA0D15" w:rsidRDefault="00C47278" w:rsidP="00C47278">
      <w:pPr>
        <w:rPr>
          <w:rStyle w:val="StyleUnderline"/>
        </w:rPr>
      </w:pPr>
      <w:r w:rsidRPr="00AA0D15">
        <w:rPr>
          <w:rStyle w:val="StyleUnderline"/>
        </w:rPr>
        <w:t>Finally, school personnel -- especially building principals and those involved with student intake activities -- should be aware that they have no legal obligation to enforce U.S. immigration laws. (U.S. Supreme Court, 1982)</w:t>
      </w:r>
    </w:p>
    <w:p w:rsidR="00C47278" w:rsidRPr="00AA0D15" w:rsidRDefault="00C47278" w:rsidP="00C47278">
      <w:pPr>
        <w:rPr>
          <w:rStyle w:val="StyleUnderline"/>
        </w:rPr>
      </w:pPr>
    </w:p>
    <w:p w:rsidR="00C47278" w:rsidRPr="00AA0D15" w:rsidRDefault="00C47278" w:rsidP="00C47278">
      <w:pPr>
        <w:pStyle w:val="Heading3"/>
        <w:rPr>
          <w:rFonts w:cs="Times New Roman"/>
        </w:rPr>
      </w:pPr>
      <w:r w:rsidRPr="00AA0D15">
        <w:rPr>
          <w:rFonts w:cs="Times New Roman"/>
        </w:rPr>
        <w:t>Federal solvency deficit</w:t>
      </w:r>
    </w:p>
    <w:p w:rsidR="00C47278" w:rsidRPr="00AA0D15" w:rsidRDefault="00C47278" w:rsidP="00C47278">
      <w:pPr>
        <w:pStyle w:val="Heading4"/>
        <w:rPr>
          <w:rFonts w:cs="Times New Roman"/>
        </w:rPr>
      </w:pPr>
      <w:r w:rsidRPr="00AA0D15">
        <w:rPr>
          <w:rFonts w:cs="Times New Roman"/>
        </w:rPr>
        <w:t xml:space="preserve">State backlash means fed fails at immigrant education reforms. The </w:t>
      </w:r>
      <w:r w:rsidRPr="00AA0D15">
        <w:rPr>
          <w:rFonts w:cs="Times New Roman"/>
          <w:u w:val="single"/>
        </w:rPr>
        <w:t>states</w:t>
      </w:r>
      <w:r w:rsidRPr="00AA0D15">
        <w:rPr>
          <w:rFonts w:cs="Times New Roman"/>
        </w:rPr>
        <w:t xml:space="preserve"> need to change.</w:t>
      </w:r>
    </w:p>
    <w:p w:rsidR="00C47278" w:rsidRPr="00AA0D15" w:rsidRDefault="00C47278" w:rsidP="00C47278">
      <w:r w:rsidRPr="00AA0D15">
        <w:rPr>
          <w:rStyle w:val="Style13ptBold"/>
        </w:rPr>
        <w:t>English 15</w:t>
      </w:r>
      <w:r w:rsidRPr="00AA0D15">
        <w:t xml:space="preserve"> (Elizabeth. | “Illegal immigration and K-12 education” in </w:t>
      </w:r>
      <w:r w:rsidRPr="00AA0D15">
        <w:rPr>
          <w:i/>
        </w:rPr>
        <w:t>AEIdeas</w:t>
      </w:r>
      <w:r w:rsidRPr="00AA0D15">
        <w:t xml:space="preserve">, 25 February 2015. </w:t>
      </w:r>
      <w:hyperlink r:id="rId114" w:history="1">
        <w:r w:rsidRPr="00AA0D15">
          <w:rPr>
            <w:rStyle w:val="Hyperlink"/>
          </w:rPr>
          <w:t>http://www.aei.org/publication/illegal-immigration-k-12-education/</w:t>
        </w:r>
      </w:hyperlink>
      <w:r w:rsidRPr="00AA0D15">
        <w:t xml:space="preserve"> )//tbrooks</w:t>
      </w:r>
    </w:p>
    <w:p w:rsidR="00C47278" w:rsidRPr="002439A5" w:rsidRDefault="00C47278" w:rsidP="00C47278">
      <w:r w:rsidRPr="002439A5">
        <w:t xml:space="preserve">Last week, </w:t>
      </w:r>
      <w:r w:rsidRPr="002439A5">
        <w:rPr>
          <w:sz w:val="22"/>
          <w:u w:val="single"/>
        </w:rPr>
        <w:t>a</w:t>
      </w:r>
      <w:r w:rsidRPr="002439A5">
        <w:t xml:space="preserve"> federal </w:t>
      </w:r>
      <w:r w:rsidRPr="002439A5">
        <w:rPr>
          <w:sz w:val="22"/>
          <w:u w:val="single"/>
        </w:rPr>
        <w:t xml:space="preserve">judge in Texas temporarily </w:t>
      </w:r>
      <w:hyperlink r:id="rId115" w:tgtFrame="_blank" w:history="1">
        <w:r w:rsidRPr="002439A5">
          <w:rPr>
            <w:rStyle w:val="Hyperlink"/>
            <w:sz w:val="22"/>
            <w:u w:val="single"/>
          </w:rPr>
          <w:t>blocked</w:t>
        </w:r>
      </w:hyperlink>
      <w:r w:rsidRPr="002439A5">
        <w:rPr>
          <w:sz w:val="22"/>
          <w:u w:val="single"/>
        </w:rPr>
        <w:t xml:space="preserve"> President Obama’s executive actions on immigration</w:t>
      </w:r>
      <w:r w:rsidRPr="002439A5">
        <w:t xml:space="preserve">, bringing the question of illegal immigration back to the headlines. Since November, there have been impassioned debates about what tax credits and social services would be made available to those covered by the directives, but </w:t>
      </w:r>
      <w:r w:rsidRPr="002439A5">
        <w:rPr>
          <w:sz w:val="22"/>
          <w:u w:val="single"/>
        </w:rPr>
        <w:t>debate over</w:t>
      </w:r>
      <w:r w:rsidRPr="002439A5">
        <w:t xml:space="preserve"> their effect on </w:t>
      </w:r>
      <w:r w:rsidRPr="002439A5">
        <w:rPr>
          <w:sz w:val="22"/>
          <w:u w:val="single"/>
        </w:rPr>
        <w:t xml:space="preserve">K-12 education has been conspicuous by its absence. </w:t>
      </w:r>
      <w:r w:rsidRPr="002439A5">
        <w:t xml:space="preserve">This is partly because most </w:t>
      </w:r>
      <w:r w:rsidRPr="002439A5">
        <w:rPr>
          <w:sz w:val="22"/>
          <w:u w:val="single"/>
        </w:rPr>
        <w:t>politicians</w:t>
      </w:r>
      <w:r w:rsidRPr="002439A5">
        <w:t xml:space="preserve"> would </w:t>
      </w:r>
      <w:r w:rsidRPr="002439A5">
        <w:rPr>
          <w:sz w:val="22"/>
          <w:u w:val="single"/>
        </w:rPr>
        <w:t>prefer to politely sidestep the issue</w:t>
      </w:r>
      <w:r w:rsidRPr="002439A5">
        <w:t xml:space="preserve">, but it’s also due to the fact that </w:t>
      </w:r>
      <w:r w:rsidRPr="002439A5">
        <w:rPr>
          <w:sz w:val="22"/>
          <w:u w:val="single"/>
        </w:rPr>
        <w:t>Obama’s actions change</w:t>
      </w:r>
      <w:r w:rsidRPr="002439A5">
        <w:t xml:space="preserve"> virtually </w:t>
      </w:r>
      <w:r w:rsidRPr="002439A5">
        <w:rPr>
          <w:sz w:val="22"/>
          <w:u w:val="single"/>
        </w:rPr>
        <w:t>nothing for K-12 schools</w:t>
      </w:r>
      <w:r w:rsidRPr="002439A5">
        <w:t xml:space="preserve">, and reliable data on the question is difficult to come by. The Supreme Court’s 1982 </w:t>
      </w:r>
      <w:r w:rsidRPr="002439A5">
        <w:rPr>
          <w:sz w:val="22"/>
          <w:u w:val="single"/>
        </w:rPr>
        <w:t>Plyer v. Doe ruling requires schools to educate every student living in the United States. It also prohibits them from inquiring into a student’s immigration status</w:t>
      </w:r>
      <w:r w:rsidRPr="002439A5">
        <w:t xml:space="preserve">, making undocumented students’ impact on American schools a relatively untouched topic. So what do we know? According to the Pew Research Center, </w:t>
      </w:r>
      <w:r w:rsidRPr="002439A5">
        <w:rPr>
          <w:sz w:val="22"/>
          <w:u w:val="single"/>
        </w:rPr>
        <w:t xml:space="preserve">from 1995 to 2012, the percentage of K-12 students with at least one undocumented immigrant parent </w:t>
      </w:r>
      <w:hyperlink r:id="rId116" w:tgtFrame="_blank" w:history="1">
        <w:r w:rsidRPr="002439A5">
          <w:rPr>
            <w:rStyle w:val="Hyperlink"/>
            <w:sz w:val="22"/>
            <w:u w:val="single"/>
          </w:rPr>
          <w:t>rose</w:t>
        </w:r>
      </w:hyperlink>
      <w:r w:rsidRPr="002439A5">
        <w:rPr>
          <w:sz w:val="22"/>
          <w:u w:val="single"/>
        </w:rPr>
        <w:t xml:space="preserve"> from 3.2 to 6.9%. In California, this figure was 13.2%, and 17.7% in Nevada—the highest in the country. In New York, almost 12% of public school students are undocumented minors</w:t>
      </w:r>
      <w:r w:rsidRPr="002439A5">
        <w:t xml:space="preserve">, according to a New York Post </w:t>
      </w:r>
      <w:hyperlink r:id="rId117" w:tgtFrame="_blank" w:history="1">
        <w:r w:rsidRPr="002439A5">
          <w:rPr>
            <w:rStyle w:val="Hyperlink"/>
          </w:rPr>
          <w:t>article</w:t>
        </w:r>
      </w:hyperlink>
      <w:r w:rsidRPr="002439A5">
        <w:t xml:space="preserve">. A report by the Federation for American Immigration Reform (FAIR) </w:t>
      </w:r>
      <w:hyperlink r:id="rId118" w:tgtFrame="_blank" w:history="1">
        <w:r w:rsidRPr="002439A5">
          <w:rPr>
            <w:rStyle w:val="Hyperlink"/>
          </w:rPr>
          <w:t>estimates</w:t>
        </w:r>
      </w:hyperlink>
      <w:r w:rsidRPr="002439A5">
        <w:t xml:space="preserve"> the state will spend over $147 million in the 2014-2015 school year educating undocumented minors from the border crisis in 2014, a cost of $35,520 per pupil. </w:t>
      </w:r>
      <w:r w:rsidRPr="002439A5">
        <w:rPr>
          <w:sz w:val="22"/>
          <w:u w:val="single"/>
        </w:rPr>
        <w:t xml:space="preserve">California </w:t>
      </w:r>
      <w:hyperlink r:id="rId119" w:tgtFrame="_blank" w:history="1">
        <w:r w:rsidRPr="002439A5">
          <w:rPr>
            <w:rStyle w:val="Hyperlink"/>
            <w:sz w:val="22"/>
            <w:u w:val="single"/>
          </w:rPr>
          <w:t>enrolls</w:t>
        </w:r>
      </w:hyperlink>
      <w:r w:rsidRPr="002439A5">
        <w:rPr>
          <w:sz w:val="22"/>
          <w:u w:val="single"/>
        </w:rPr>
        <w:t xml:space="preserve"> the highest amount of the nation’s 5 million English Language Learners</w:t>
      </w:r>
      <w:r w:rsidRPr="002439A5">
        <w:t xml:space="preserve"> (ELL) </w:t>
      </w:r>
      <w:r w:rsidRPr="002439A5">
        <w:rPr>
          <w:sz w:val="22"/>
          <w:u w:val="single"/>
        </w:rPr>
        <w:t xml:space="preserve">with nearly 1.5 million, and </w:t>
      </w:r>
      <w:hyperlink r:id="rId120" w:tgtFrame="_blank" w:history="1">
        <w:r w:rsidRPr="002439A5">
          <w:rPr>
            <w:rStyle w:val="Hyperlink"/>
            <w:sz w:val="22"/>
            <w:u w:val="single"/>
          </w:rPr>
          <w:t>spends</w:t>
        </w:r>
      </w:hyperlink>
      <w:r w:rsidRPr="002439A5">
        <w:rPr>
          <w:sz w:val="22"/>
          <w:u w:val="single"/>
        </w:rPr>
        <w:t xml:space="preserve"> an estimated $12.3 billion annually educating children of undocumented immigrants.</w:t>
      </w:r>
      <w:r w:rsidRPr="002439A5">
        <w:t xml:space="preserve"> In 2013, just 26% of the state’s eight-graders </w:t>
      </w:r>
      <w:hyperlink r:id="rId121" w:tgtFrame="_blank" w:history="1">
        <w:r w:rsidRPr="002439A5">
          <w:rPr>
            <w:rStyle w:val="Hyperlink"/>
          </w:rPr>
          <w:t>scored</w:t>
        </w:r>
      </w:hyperlink>
      <w:r w:rsidRPr="002439A5">
        <w:t xml:space="preserve"> “proficient” on the NAEP in reading, while just 21% of 4th graders </w:t>
      </w:r>
      <w:hyperlink r:id="rId122" w:tgtFrame="_blank" w:history="1">
        <w:r w:rsidRPr="002439A5">
          <w:rPr>
            <w:rStyle w:val="Hyperlink"/>
          </w:rPr>
          <w:t>did so</w:t>
        </w:r>
      </w:hyperlink>
      <w:r w:rsidRPr="002439A5">
        <w:t xml:space="preserve">. Fourth grade Hispanic students had an average reading score that was 31 points below that of their white counterparts. Even still, it’s impossible to tell the breakdown in performance between unlawfully present youth and second generation immigrants. As the immigration debate lingers on, what should we keep in mind for K-12 education? Two things. First, it’s easy to make sense of why </w:t>
      </w:r>
      <w:hyperlink r:id="rId123" w:tgtFrame="_blank" w:history="1">
        <w:r w:rsidRPr="002439A5">
          <w:rPr>
            <w:rStyle w:val="Hyperlink"/>
            <w:sz w:val="22"/>
            <w:u w:val="single"/>
          </w:rPr>
          <w:t>over half</w:t>
        </w:r>
      </w:hyperlink>
      <w:r w:rsidRPr="002439A5">
        <w:rPr>
          <w:sz w:val="22"/>
          <w:u w:val="single"/>
        </w:rPr>
        <w:t xml:space="preserve"> of states have taken Obama’s executive actions to court. States and localities </w:t>
      </w:r>
      <w:hyperlink r:id="rId124" w:tgtFrame="_blank" w:history="1">
        <w:r w:rsidRPr="002439A5">
          <w:rPr>
            <w:rStyle w:val="Hyperlink"/>
            <w:sz w:val="22"/>
            <w:u w:val="single"/>
          </w:rPr>
          <w:t>account</w:t>
        </w:r>
      </w:hyperlink>
      <w:r w:rsidRPr="002439A5">
        <w:rPr>
          <w:sz w:val="22"/>
          <w:u w:val="single"/>
        </w:rPr>
        <w:t xml:space="preserve"> for almost 88% of K-12 funding</w:t>
      </w:r>
      <w:r w:rsidRPr="002439A5">
        <w:t xml:space="preserve">, and </w:t>
      </w:r>
      <w:r w:rsidRPr="002439A5">
        <w:rPr>
          <w:sz w:val="22"/>
          <w:u w:val="single"/>
        </w:rPr>
        <w:t>the growing number of undocumented immigrant students represents a significant burden on layers of government that have no control over the influx of illegal immigration</w:t>
      </w:r>
      <w:r w:rsidRPr="002439A5">
        <w:t xml:space="preserve">. In 2011, Alabama’s HB 56— regarded as the most restrictive state immigration law to date—received criticism from the mainstream media, but it’s difficult not to sympathize with a state’s desire “to forecast and plan for any impact that the presence such population may have on publicly funded education,” as the bill’s text </w:t>
      </w:r>
      <w:hyperlink r:id="rId125" w:tgtFrame="_blank" w:history="1">
        <w:r w:rsidRPr="002439A5">
          <w:rPr>
            <w:rStyle w:val="Hyperlink"/>
          </w:rPr>
          <w:t>outlines</w:t>
        </w:r>
      </w:hyperlink>
      <w:r w:rsidRPr="002439A5">
        <w:t xml:space="preserve">. Obama’s actions wouldn’t add an immediate cost for schools, but the prospect of increased illegal immigration leaves state policymakers and budget forecasters with a whole lot of guesswork. </w:t>
      </w:r>
      <w:r w:rsidRPr="002439A5">
        <w:rPr>
          <w:sz w:val="22"/>
          <w:u w:val="single"/>
        </w:rPr>
        <w:t>State lawmakers are feeling this pressure, and they’re beginning to fight ferociously against it. Obama’s executive actions won’t mean anything new for K-12 education.</w:t>
      </w:r>
      <w:r w:rsidRPr="002439A5">
        <w:t xml:space="preserve"> Thus far, they haven’t even sparked a public conversation on the strain that illegal immigration places on American schools. That’s a shame, because no matter where you come down on the merits, it’s clear that there’s a lot to be discussed.</w:t>
      </w:r>
    </w:p>
    <w:p w:rsidR="00C47278" w:rsidRPr="00AA0D15" w:rsidRDefault="00C47278" w:rsidP="00C47278"/>
    <w:p w:rsidR="00C47278" w:rsidRPr="00AA0D15" w:rsidRDefault="00C47278" w:rsidP="00C47278">
      <w:pPr>
        <w:pStyle w:val="Heading2"/>
        <w:rPr>
          <w:rFonts w:cs="Times New Roman"/>
        </w:rPr>
      </w:pPr>
      <w:r w:rsidRPr="00AA0D15">
        <w:rPr>
          <w:rFonts w:cs="Times New Roman"/>
        </w:rPr>
        <w:t>BATHROOMS</w:t>
      </w:r>
    </w:p>
    <w:p w:rsidR="00C47278" w:rsidRPr="00AA0D15" w:rsidRDefault="00C47278" w:rsidP="00C47278">
      <w:pPr>
        <w:pStyle w:val="Heading3"/>
        <w:rPr>
          <w:rFonts w:cs="Times New Roman"/>
        </w:rPr>
      </w:pPr>
      <w:r w:rsidRPr="00AA0D15">
        <w:rPr>
          <w:rFonts w:cs="Times New Roman"/>
        </w:rPr>
        <w:t>1nc – courts</w:t>
      </w:r>
    </w:p>
    <w:p w:rsidR="00C47278" w:rsidRPr="00AA0D15" w:rsidRDefault="00C47278" w:rsidP="00C47278">
      <w:pPr>
        <w:pStyle w:val="Heading4"/>
        <w:rPr>
          <w:rFonts w:cs="Times New Roman"/>
        </w:rPr>
      </w:pPr>
      <w:r w:rsidRPr="00AA0D15">
        <w:rPr>
          <w:rFonts w:cs="Times New Roman"/>
        </w:rPr>
        <w:t xml:space="preserve">The 50 states and U.S. territories should rule that transgender students have a right to use the bathroom that corresponds with their gender identity in line with their right to education as per State Constitutions. </w:t>
      </w:r>
    </w:p>
    <w:p w:rsidR="00C47278" w:rsidRPr="00AA0D15" w:rsidRDefault="00C47278" w:rsidP="00C47278">
      <w:pPr>
        <w:pStyle w:val="Heading4"/>
        <w:rPr>
          <w:rFonts w:cs="Times New Roman"/>
        </w:rPr>
      </w:pPr>
      <w:r w:rsidRPr="00AA0D15">
        <w:rPr>
          <w:rFonts w:cs="Times New Roman"/>
        </w:rPr>
        <w:t>Because of Education being a positive right, only state courts can solve for queer individuals</w:t>
      </w:r>
    </w:p>
    <w:p w:rsidR="00C47278" w:rsidRPr="00AA0D15" w:rsidRDefault="00C47278" w:rsidP="00C47278">
      <w:pPr>
        <w:rPr>
          <w:rStyle w:val="Style13ptBold"/>
        </w:rPr>
      </w:pPr>
      <w:r w:rsidRPr="00AA0D15">
        <w:rPr>
          <w:rStyle w:val="Style13ptBold"/>
        </w:rPr>
        <w:t>Dennis and Harlow 1985</w:t>
      </w:r>
    </w:p>
    <w:p w:rsidR="00C47278" w:rsidRPr="00AA0D15" w:rsidRDefault="00C47278" w:rsidP="00C47278">
      <w:r w:rsidRPr="00AA0D15">
        <w:t xml:space="preserve">(Donna I., B.A. from Yale College, since publication: J.D. from Yale Law School, Ph.D. in History from Princeton University, Whiting Fellowship in the Humanities, Professor of Law and Justice Frederick W. Hall Scholar at Rutgers, author of “Licentious Gotham: Erotic Publishing and Its Prosecution in Nineteenth Century New York,” and Ruth E., B.A. from Yale College, since publication: a partner in the Litigation and Dispute Resolution Department of Pepper Hamilton LLP,“Gay Youth and the Right to Education,” Yale Law and Policy Review, Volume 4, Issue 2, Article 8, </w:t>
      </w:r>
      <w:hyperlink r:id="rId126" w:history="1">
        <w:r w:rsidRPr="00AA0D15">
          <w:rPr>
            <w:rStyle w:val="Hyperlink"/>
          </w:rPr>
          <w:t>http://digitalcommons.law.yale.edu/cgi/viewcontent.cgi?article=1085&amp;context=ylpr</w:t>
        </w:r>
      </w:hyperlink>
      <w:r w:rsidRPr="00AA0D15">
        <w:t>, Date Accessed: 6/26/17 – KSA)</w:t>
      </w:r>
    </w:p>
    <w:p w:rsidR="00C47278" w:rsidRPr="00AA0D15" w:rsidRDefault="00C47278" w:rsidP="00C47278">
      <w:pPr>
        <w:rPr>
          <w:rStyle w:val="StyleUnderline"/>
        </w:rPr>
      </w:pPr>
      <w:r w:rsidRPr="00AA0D15">
        <w:t xml:space="preserve">Const;utions in forty-eight states explicitly require a system of public education for their children and teenagers. 57 </w:t>
      </w:r>
      <w:r w:rsidRPr="00AA0D15">
        <w:rPr>
          <w:rStyle w:val="StyleUnderline"/>
        </w:rPr>
        <w:t>The constitu tional provisions range from a simple declaration that the state shall provide for free elementary and secondary schools 58 to language that strongly commits the state to public education of the highest quality</w:t>
      </w:r>
      <w:r w:rsidRPr="00AA0D15">
        <w:t xml:space="preserve">. 59 </w:t>
      </w:r>
      <w:r w:rsidRPr="00AA0D15">
        <w:rPr>
          <w:rStyle w:val="StyleUnderline"/>
        </w:rPr>
        <w:t xml:space="preserve">Courts in ten states, interpreting both simple and more detailed state education clauses, have already declared education to be a state-bestowed right. </w:t>
      </w:r>
      <w:r w:rsidRPr="00AA0D15">
        <w:t xml:space="preserve">60 These state decisions </w:t>
      </w:r>
      <w:r w:rsidRPr="00AA0D15">
        <w:rPr>
          <w:rStyle w:val="StyleUnderline"/>
        </w:rPr>
        <w:t>came in response to</w:t>
      </w:r>
      <w:r w:rsidRPr="00AA0D15">
        <w:t xml:space="preserve"> San Antonio Independent School District v. </w:t>
      </w:r>
      <w:r w:rsidRPr="00AA0D15">
        <w:rPr>
          <w:rStyle w:val="StyleUnderline"/>
        </w:rPr>
        <w:t>Rodriguez</w:t>
      </w:r>
      <w:r w:rsidRPr="00AA0D15">
        <w:t xml:space="preserve">, 6 1 a 1973 public school financing case in which the United States Supreme Court declined to name education a fundamental right under the federal Constitution. </w:t>
      </w:r>
      <w:r w:rsidRPr="00AA0D15">
        <w:rPr>
          <w:rStyle w:val="StyleUnderline"/>
        </w:rPr>
        <w:t>Several factors justify the activism of state courts in enforcing a right to education</w:t>
      </w:r>
      <w:r w:rsidRPr="00AA0D15">
        <w:t xml:space="preserve">. Explicit references to education in state constitutions and the absence of any counterpart in the federal Constitution render state courts logical forums for protecting a right to education. </w:t>
      </w:r>
      <w:r w:rsidRPr="00AA0D15">
        <w:rPr>
          <w:rStyle w:val="StyleUnderline"/>
        </w:rPr>
        <w:t>62 A state-based right to education also follows the tradition of education as a state responsibility</w:t>
      </w:r>
      <w:r w:rsidRPr="00AA0D15">
        <w:t xml:space="preserve">. </w:t>
      </w:r>
      <w:r w:rsidRPr="00AA0D15">
        <w:rPr>
          <w:rStyle w:val="StyleUnderline"/>
        </w:rPr>
        <w:t>A major consideration in the Supreme Court's unwillingness to declare education a fundamental right under the U.S. Constitution was deference to this history of state control over educatio</w:t>
      </w:r>
      <w:r w:rsidRPr="00AA0D15">
        <w:t>n. 63 The Court had earlier stated that "[p]roviding public schools ranks at the very apex of the function of a State." 64 Moreover, the states themselves have found the provision of education to be one of their most important tasks. 65 In addition to constitutional language and the history of state responsibility</w:t>
      </w:r>
      <w:r w:rsidRPr="00AA0D15">
        <w:rPr>
          <w:rStyle w:val="StyleUnderline"/>
        </w:rPr>
        <w:t>, the importance of education in the scheme of personal liberties justifies state courts in protecting this right.</w:t>
      </w:r>
      <w:r w:rsidRPr="00AA0D15">
        <w:t xml:space="preserve"> 66 The central right to education promotes vital state interests that are tied to an educated citizenry. 67 B. Realizing Gay Students' State Right to Education </w:t>
      </w:r>
      <w:r w:rsidRPr="00AA0D15">
        <w:rPr>
          <w:rStyle w:val="StyleUnderline"/>
        </w:rPr>
        <w:t>To allow gay students equal access to public education, class action suits should be brought in state courts.</w:t>
      </w:r>
      <w:r w:rsidRPr="00AA0D15">
        <w:t xml:space="preserve">68 </w:t>
      </w:r>
      <w:r w:rsidRPr="00AA0D15">
        <w:rPr>
          <w:rStyle w:val="StyleUnderline"/>
        </w:rPr>
        <w:t>Advocates for gay youth should argue, relying on the equal protection and education clauses of state constitutions, that the right to education is one of primary importance</w:t>
      </w:r>
      <w:r w:rsidRPr="00AA0D15">
        <w:t xml:space="preserve"> in state constitutional law.69 Once a court agrees that education is a primary right, </w:t>
      </w:r>
      <w:r w:rsidRPr="00AA0D15">
        <w:rPr>
          <w:rStyle w:val="StyleUnderline"/>
        </w:rPr>
        <w:t>the state court must examine any infringement of that right with the closest scrutiny.</w:t>
      </w:r>
      <w:r w:rsidRPr="00AA0D15">
        <w:t xml:space="preserve"> Only a significant, narrowly tailored state purpose can survive such exam- ination.70 No sufficient state purpose exists, however, to justify interference with gay teenagers' right to education. 71 </w:t>
      </w:r>
      <w:r w:rsidRPr="00AA0D15">
        <w:rPr>
          <w:rStyle w:val="StyleUnderline"/>
        </w:rPr>
        <w:t xml:space="preserve">When presented with evidence of the discriminatory acts and omissions by school officials that now systematically obstruct gay students' public education, courts should recognize education's importance and render judgments to remedy this destructive treatment of gay students. </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1nc – cali modeling</w:t>
      </w:r>
    </w:p>
    <w:p w:rsidR="00C47278" w:rsidRPr="00AA0D15" w:rsidRDefault="00C47278" w:rsidP="00C47278">
      <w:pPr>
        <w:pStyle w:val="Heading4"/>
        <w:rPr>
          <w:rFonts w:cs="Times New Roman"/>
        </w:rPr>
      </w:pPr>
      <w:r w:rsidRPr="00AA0D15">
        <w:rPr>
          <w:rFonts w:cs="Times New Roman"/>
        </w:rPr>
        <w:t xml:space="preserve">The States of Texas, Arkansas, Mississippi, North Carolina, Tennessee, Michigan, New York, Washington, Oklahoma, Hawaii, Illinois, Indiana, Kansas, Kentucky, Minnesota, Missouri, Oregon, South Carolina, South Dakota, Virginia, Wisconsin and Wyoming should model California legislation to allow trans access to bathrooms in schools. </w:t>
      </w:r>
    </w:p>
    <w:p w:rsidR="00C47278" w:rsidRPr="00AA0D15" w:rsidRDefault="00C47278" w:rsidP="00C47278">
      <w:pPr>
        <w:pStyle w:val="Heading4"/>
        <w:rPr>
          <w:rFonts w:cs="Times New Roman"/>
        </w:rPr>
      </w:pPr>
      <w:r w:rsidRPr="00AA0D15">
        <w:rPr>
          <w:rFonts w:cs="Times New Roman"/>
        </w:rPr>
        <w:t>Individual states are the issue – not the country at large</w:t>
      </w:r>
    </w:p>
    <w:p w:rsidR="00C47278" w:rsidRPr="00AA0D15" w:rsidRDefault="00C47278" w:rsidP="00C47278">
      <w:pPr>
        <w:rPr>
          <w:rStyle w:val="Style13ptBold"/>
        </w:rPr>
      </w:pPr>
      <w:r w:rsidRPr="00AA0D15">
        <w:rPr>
          <w:rStyle w:val="Style13ptBold"/>
        </w:rPr>
        <w:t>Pearson 8/23/16</w:t>
      </w:r>
    </w:p>
    <w:p w:rsidR="00C47278" w:rsidRPr="00AA0D15" w:rsidRDefault="00C47278" w:rsidP="00C47278">
      <w:pPr>
        <w:rPr>
          <w:rStyle w:val="Style13ptBold"/>
          <w:b w:val="0"/>
        </w:rPr>
      </w:pPr>
      <w:r w:rsidRPr="00AA0D15">
        <w:rPr>
          <w:rStyle w:val="Style13ptBold"/>
          <w:b w:val="0"/>
        </w:rPr>
        <w:t>(Michael, Senior Communications Specialist for Karna LLC, previously freelance news editor for CNN, Owner and Chief Storyteller at Instory, and Reporter at the Atlanta Journal-Constitution, Graphic Design Certificate from Emory University, BA in political science from the University of Missouri – Saint Louis,  “LGBT Rights: The National Battle of the Bathroom,”  http://www.cnn.com/2016/08/23/us/transgender-bathroom-policies/index.html, Date Accessed: 6/25/17 - KSA)</w:t>
      </w:r>
    </w:p>
    <w:p w:rsidR="00C47278" w:rsidRPr="00AA0D15" w:rsidRDefault="00C47278" w:rsidP="00C47278">
      <w:r w:rsidRPr="00AA0D15">
        <w:t xml:space="preserve">At least </w:t>
      </w:r>
      <w:r w:rsidRPr="00AA0D15">
        <w:rPr>
          <w:rStyle w:val="StyleUnderline"/>
        </w:rPr>
        <w:t>four states have laws that either restrict bathroom access</w:t>
      </w:r>
      <w:r w:rsidRPr="00AA0D15">
        <w:t xml:space="preserve"> or restrict local jurisdictions from writing laws that would allow it</w:t>
      </w:r>
    </w:p>
    <w:p w:rsidR="00C47278" w:rsidRPr="00AA0D15" w:rsidRDefault="00C47278" w:rsidP="00C47278">
      <w:r w:rsidRPr="00AA0D15">
        <w:rPr>
          <w:rStyle w:val="StyleUnderline"/>
        </w:rPr>
        <w:t>Arkansas</w:t>
      </w:r>
      <w:r w:rsidRPr="00AA0D15">
        <w:t xml:space="preserve"> -- A state law passed in 2015 prohibits local jurisdictions from passing anti-discrimination legislation more restrictive than the state's, which does not ban discrimination based on gender identity.</w:t>
      </w:r>
    </w:p>
    <w:p w:rsidR="00C47278" w:rsidRPr="00AA0D15" w:rsidRDefault="00C47278" w:rsidP="00C47278">
      <w:r w:rsidRPr="00AA0D15">
        <w:rPr>
          <w:rStyle w:val="StyleUnderline"/>
        </w:rPr>
        <w:t>Mississippi</w:t>
      </w:r>
      <w:r w:rsidRPr="00AA0D15">
        <w:t xml:space="preserve"> -- HB 1523, signed into law in April, does not explicitly regulate bathroom access, but grants immunity to those who wish to set policies.</w:t>
      </w:r>
    </w:p>
    <w:p w:rsidR="00C47278" w:rsidRPr="00AA0D15" w:rsidRDefault="00C47278" w:rsidP="00C47278">
      <w:r w:rsidRPr="00AA0D15">
        <w:rPr>
          <w:rStyle w:val="StyleUnderline"/>
        </w:rPr>
        <w:t>North Carolina</w:t>
      </w:r>
      <w:r w:rsidRPr="00AA0D15">
        <w:t xml:space="preserve"> -- HB 2, signed in March, bans individuals from using public bathrooms that do not correspond to their biological sex.</w:t>
      </w:r>
    </w:p>
    <w:p w:rsidR="00C47278" w:rsidRPr="00AA0D15" w:rsidRDefault="00C47278" w:rsidP="00C47278">
      <w:r w:rsidRPr="00AA0D15">
        <w:rPr>
          <w:rStyle w:val="StyleUnderline"/>
        </w:rPr>
        <w:t>Tennessee</w:t>
      </w:r>
      <w:r w:rsidRPr="00AA0D15">
        <w:t xml:space="preserve"> -- Legislation signed into law in 2011 prohibits local jurisdictions from passing anti-discrimination legislation more restrictive than the state's, which does not ban discrimination based on gender identity.</w:t>
      </w:r>
    </w:p>
    <w:p w:rsidR="00C47278" w:rsidRPr="00AA0D15" w:rsidRDefault="00C47278" w:rsidP="00C47278">
      <w:pPr>
        <w:rPr>
          <w:rStyle w:val="StyleUnderline"/>
        </w:rPr>
      </w:pPr>
      <w:r w:rsidRPr="00AA0D15">
        <w:rPr>
          <w:rStyle w:val="StyleUnderline"/>
        </w:rPr>
        <w:t>Legislation has been introduced in many states to regulate bathroom access</w:t>
      </w:r>
    </w:p>
    <w:p w:rsidR="00C47278" w:rsidRPr="00AA0D15" w:rsidRDefault="00C47278" w:rsidP="00C47278">
      <w:r w:rsidRPr="00AA0D15">
        <w:t>While some of these proposals may not be enacted, they help underscore the national scope of the discussion over the issue:</w:t>
      </w:r>
    </w:p>
    <w:p w:rsidR="00C47278" w:rsidRPr="00AA0D15" w:rsidRDefault="00C47278" w:rsidP="00C47278">
      <w:r w:rsidRPr="00AA0D15">
        <w:rPr>
          <w:rStyle w:val="StyleUnderline"/>
        </w:rPr>
        <w:t>Michigan</w:t>
      </w:r>
      <w:r w:rsidRPr="00AA0D15">
        <w:t xml:space="preserve"> -- A bill currently in committee would urge the state's Board of Education to ignore recently issued guidance on LGBT students, including allowing them to use the restrooms of their choice.</w:t>
      </w:r>
    </w:p>
    <w:p w:rsidR="00C47278" w:rsidRPr="00AA0D15" w:rsidRDefault="00C47278" w:rsidP="00C47278">
      <w:r w:rsidRPr="00AA0D15">
        <w:rPr>
          <w:rStyle w:val="StyleUnderline"/>
        </w:rPr>
        <w:t>New</w:t>
      </w:r>
      <w:r w:rsidRPr="00AA0D15">
        <w:t xml:space="preserve"> </w:t>
      </w:r>
      <w:r w:rsidRPr="00AA0D15">
        <w:rPr>
          <w:rStyle w:val="StyleUnderline"/>
        </w:rPr>
        <w:t>York</w:t>
      </w:r>
      <w:r w:rsidRPr="00AA0D15">
        <w:t xml:space="preserve"> -- Proposed legislation would require schools to segregate restrooms.</w:t>
      </w:r>
    </w:p>
    <w:p w:rsidR="00C47278" w:rsidRPr="00AA0D15" w:rsidRDefault="00C47278" w:rsidP="00C47278">
      <w:r w:rsidRPr="00AA0D15">
        <w:rPr>
          <w:rStyle w:val="StyleUnderline"/>
        </w:rPr>
        <w:t>Washington</w:t>
      </w:r>
      <w:r w:rsidRPr="00AA0D15">
        <w:t xml:space="preserve"> -- A ballot initiative would repeal the state's anti-discrimination law.</w:t>
      </w:r>
    </w:p>
    <w:p w:rsidR="00C47278" w:rsidRPr="00AA0D15" w:rsidRDefault="00C47278" w:rsidP="00C47278">
      <w:r w:rsidRPr="00AA0D15">
        <w:rPr>
          <w:rStyle w:val="StyleUnderline"/>
        </w:rPr>
        <w:t>Oklahoma</w:t>
      </w:r>
      <w:r w:rsidRPr="00AA0D15">
        <w:t xml:space="preserve"> -- A bill seeks the impeachment of President Barack Obama over the federal Department of Education's recent guidance to school districts on transgender issues, including bathroom access.</w:t>
      </w:r>
    </w:p>
    <w:p w:rsidR="00C47278" w:rsidRPr="00AA0D15" w:rsidRDefault="00C47278" w:rsidP="00C47278">
      <w:r w:rsidRPr="00AA0D15">
        <w:t xml:space="preserve">Other states where </w:t>
      </w:r>
      <w:r w:rsidRPr="00AA0D15">
        <w:rPr>
          <w:rStyle w:val="StyleUnderline"/>
        </w:rPr>
        <w:t xml:space="preserve">legislation has been proposed or is under consideration include Hawaii, Illinois, Indiana, Kansas, Kentucky, Minnesota, Missouri, Oregon, South Carolina, South Dakota, </w:t>
      </w:r>
      <w:r w:rsidRPr="00AA0D15">
        <w:t>Tennessee</w:t>
      </w:r>
      <w:r w:rsidRPr="00AA0D15">
        <w:rPr>
          <w:rStyle w:val="StyleUnderline"/>
        </w:rPr>
        <w:t>, Virginia, Wisconsin and Wyoming</w:t>
      </w:r>
      <w:r w:rsidRPr="00AA0D15">
        <w:t>, according to the Transgender Equality Center.</w:t>
      </w:r>
    </w:p>
    <w:p w:rsidR="00C47278" w:rsidRPr="00AA0D15" w:rsidRDefault="00C47278" w:rsidP="00C47278">
      <w:r w:rsidRPr="00AA0D15">
        <w:t>Finally, several states have sued, challenging the federal government over its transgender directive for school districts</w:t>
      </w:r>
    </w:p>
    <w:p w:rsidR="00C47278" w:rsidRPr="00AA0D15" w:rsidRDefault="00C47278" w:rsidP="00C47278">
      <w:pPr>
        <w:pStyle w:val="Heading4"/>
        <w:rPr>
          <w:rFonts w:cs="Times New Roman"/>
        </w:rPr>
      </w:pPr>
      <w:r w:rsidRPr="00AA0D15">
        <w:rPr>
          <w:rFonts w:cs="Times New Roman"/>
        </w:rPr>
        <w:t>Policies in California should be modeled by other states because they are conscious of queer rights</w:t>
      </w:r>
    </w:p>
    <w:p w:rsidR="00C47278" w:rsidRPr="00AA0D15" w:rsidRDefault="00C47278" w:rsidP="00C47278">
      <w:pPr>
        <w:rPr>
          <w:rStyle w:val="Style13ptBold"/>
        </w:rPr>
      </w:pPr>
      <w:r w:rsidRPr="00AA0D15">
        <w:rPr>
          <w:rStyle w:val="Style13ptBold"/>
        </w:rPr>
        <w:t xml:space="preserve">The Mercury News 9/9/16 </w:t>
      </w:r>
    </w:p>
    <w:p w:rsidR="00C47278" w:rsidRPr="00AA0D15" w:rsidRDefault="00C47278" w:rsidP="00C47278">
      <w:pPr>
        <w:rPr>
          <w:rStyle w:val="Style13ptBold"/>
          <w:b w:val="0"/>
        </w:rPr>
      </w:pPr>
      <w:r w:rsidRPr="00AA0D15">
        <w:rPr>
          <w:rStyle w:val="Style13ptBold"/>
          <w:b w:val="0"/>
        </w:rPr>
        <w:t xml:space="preserve">(“California: Unisex restrooms required by new single-stall law,” </w:t>
      </w:r>
      <w:hyperlink r:id="rId127" w:history="1">
        <w:r w:rsidRPr="00AA0D15">
          <w:rPr>
            <w:rStyle w:val="Hyperlink"/>
            <w:sz w:val="26"/>
          </w:rPr>
          <w:t>http://www.mercurynews.com/2016/09/29/california-unisex-restroom-single-stall-law-jerry-brown/</w:t>
        </w:r>
      </w:hyperlink>
      <w:r w:rsidRPr="00AA0D15">
        <w:rPr>
          <w:rStyle w:val="Style13ptBold"/>
        </w:rPr>
        <w:t>,</w:t>
      </w:r>
      <w:r w:rsidRPr="00AA0D15">
        <w:rPr>
          <w:rStyle w:val="Style13ptBold"/>
          <w:b w:val="0"/>
        </w:rPr>
        <w:t xml:space="preserve"> Date accessed: 6/24/17 – KSA)</w:t>
      </w:r>
    </w:p>
    <w:p w:rsidR="00C47278" w:rsidRPr="00AA0D15" w:rsidRDefault="00C47278" w:rsidP="00C47278">
      <w:pPr>
        <w:rPr>
          <w:rStyle w:val="StyleUnderline"/>
        </w:rPr>
      </w:pPr>
      <w:r w:rsidRPr="00AA0D15">
        <w:t xml:space="preserve">Gov. Jerry Brown on Thursday signed legislation that will require </w:t>
      </w:r>
      <w:r w:rsidRPr="00AA0D15">
        <w:rPr>
          <w:rStyle w:val="StyleUnderline"/>
        </w:rPr>
        <w:t>restrooms for single users to be designated all-gender, California’s latest move to bolster transgender rights even as much of the country moves in the opposite direction.</w:t>
      </w:r>
    </w:p>
    <w:p w:rsidR="00C47278" w:rsidRPr="00AA0D15" w:rsidRDefault="00C47278" w:rsidP="00C47278"/>
    <w:p w:rsidR="00C47278" w:rsidRPr="00AA0D15" w:rsidRDefault="00C47278" w:rsidP="00C47278">
      <w:r w:rsidRPr="00AA0D15">
        <w:t>“</w:t>
      </w:r>
      <w:r w:rsidRPr="00AA0D15">
        <w:rPr>
          <w:rStyle w:val="StyleUnderline"/>
        </w:rPr>
        <w:t xml:space="preserve">California is charting a new course for equality,” </w:t>
      </w:r>
      <w:r w:rsidRPr="00AA0D15">
        <w:t>said Assemblyman Phil Ting, D-San Francisco. “Restricting access to single-user restrooms by gender defies common sense and disproportionately burdens the LGBT community, women, and parents or caretakers of dependents of the opposite gender.”</w:t>
      </w:r>
    </w:p>
    <w:p w:rsidR="00C47278" w:rsidRPr="00AA0D15" w:rsidRDefault="00C47278" w:rsidP="00C47278">
      <w:r w:rsidRPr="00AA0D15">
        <w:rPr>
          <w:rStyle w:val="StyleUnderline"/>
        </w:rPr>
        <w:t>In signing Assembly Bill 1732, Brown vindicated activists</w:t>
      </w:r>
      <w:r w:rsidRPr="00AA0D15">
        <w:t xml:space="preserve"> who have made the right to use bathrooms matching their gender identities a new front in LGBT politics.</w:t>
      </w:r>
    </w:p>
    <w:p w:rsidR="00C47278" w:rsidRPr="00AA0D15" w:rsidRDefault="00C47278" w:rsidP="00C47278"/>
    <w:p w:rsidR="00C47278" w:rsidRPr="00AA0D15" w:rsidRDefault="00C47278" w:rsidP="00C47278">
      <w:pPr>
        <w:rPr>
          <w:rStyle w:val="StyleUnderline"/>
        </w:rPr>
      </w:pPr>
      <w:r w:rsidRPr="00AA0D15">
        <w:rPr>
          <w:rStyle w:val="StyleUnderline"/>
        </w:rPr>
        <w:t>California has continued down that path even as elected officials in other states, notably North Carolina, have moved to block transgender people from using the bathroom they are most comfortable using.</w:t>
      </w:r>
    </w:p>
    <w:p w:rsidR="00C47278" w:rsidRPr="00AA0D15" w:rsidRDefault="00C47278" w:rsidP="00C47278"/>
    <w:p w:rsidR="00C47278" w:rsidRPr="00AA0D15" w:rsidRDefault="00C47278" w:rsidP="00C47278">
      <w:r w:rsidRPr="00AA0D15">
        <w:t xml:space="preserve">“We now have a </w:t>
      </w:r>
      <w:r w:rsidRPr="00AA0D15">
        <w:rPr>
          <w:rStyle w:val="StyleUnderline"/>
        </w:rPr>
        <w:t>policy that gives everyone greater privacy and safety in public restrooms. It — and not hateful laws</w:t>
      </w:r>
      <w:r w:rsidRPr="00AA0D15">
        <w:t xml:space="preserve"> in North Carolina, Mississippi and elsewhere — </w:t>
      </w:r>
      <w:r w:rsidRPr="00AA0D15">
        <w:rPr>
          <w:rStyle w:val="StyleUnderline"/>
        </w:rPr>
        <w:t xml:space="preserve">should be the model for the nation,” </w:t>
      </w:r>
      <w:r w:rsidRPr="00AA0D15">
        <w:t>Equality California Executive Director Rick Zbur said in a statement.</w:t>
      </w:r>
    </w:p>
    <w:p w:rsidR="00C47278" w:rsidRPr="00AA0D15" w:rsidRDefault="00C47278" w:rsidP="00C47278"/>
    <w:p w:rsidR="00C47278" w:rsidRPr="00AA0D15" w:rsidRDefault="00C47278" w:rsidP="00C47278">
      <w:r w:rsidRPr="00AA0D15">
        <w:t>In 2013, Brown signed a bill allowing high school students to use the bathrooms and join sports teams that align with their gender identity. Earlier this week, he authorized legislation banning official state travel to states that discriminate against LGBT people.</w:t>
      </w:r>
    </w:p>
    <w:p w:rsidR="00C47278" w:rsidRPr="00AA0D15" w:rsidRDefault="00C47278" w:rsidP="00C47278"/>
    <w:p w:rsidR="00C47278" w:rsidRPr="00AA0D15" w:rsidRDefault="00C47278" w:rsidP="00C47278">
      <w:r w:rsidRPr="00AA0D15">
        <w:t>Pointing to the widespread discrimination and disproportionate risk of violence transgender people face, California legislators signed a pledge this year committing them to safeguarding the rights of transgender people.</w:t>
      </w:r>
    </w:p>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States are the primary actors and some are already acting</w:t>
      </w:r>
    </w:p>
    <w:p w:rsidR="00C47278" w:rsidRPr="00AA0D15" w:rsidRDefault="00C47278" w:rsidP="00C47278">
      <w:r w:rsidRPr="00AA0D15">
        <w:rPr>
          <w:rStyle w:val="Style13ptBold"/>
        </w:rPr>
        <w:t>Brown and Balingit 3/6</w:t>
      </w:r>
      <w:r w:rsidRPr="00AA0D15">
        <w:t xml:space="preserve"> (Emma Brown and Moriah Balingit, both are writers for the Washington Post, 3-6-2017, "Supreme Court’s decision to pass on transgender bathroom case leaves schools, parents without answers," https://www.washingtonpost.com/news/education/wp/2017/03/06/supreme-courts-decision-to-pass-on-transgender-bathroom-case-leaves-schools-parents-without-answers/, Accessed: 6-25-2017 /Kent Denver-NK)</w:t>
      </w:r>
    </w:p>
    <w:p w:rsidR="00C47278" w:rsidRPr="00AA0D15" w:rsidRDefault="00C47278" w:rsidP="00C47278">
      <w:r w:rsidRPr="00AA0D15">
        <w:t xml:space="preserve">In the absence of a Supreme Court decision and federal guidance, </w:t>
      </w:r>
      <w:r w:rsidRPr="00AA0D15">
        <w:rPr>
          <w:rStyle w:val="StyleUnderline"/>
        </w:rPr>
        <w:t xml:space="preserve">school officials </w:t>
      </w:r>
      <w:r w:rsidRPr="00AA0D15">
        <w:rPr>
          <w:rStyle w:val="Emphasis"/>
        </w:rPr>
        <w:t xml:space="preserve">will look to states </w:t>
      </w:r>
      <w:r w:rsidRPr="00AA0D15">
        <w:rPr>
          <w:rStyle w:val="StyleUnderline"/>
        </w:rPr>
        <w:t>to navigate</w:t>
      </w:r>
      <w:r w:rsidRPr="00AA0D15">
        <w:t xml:space="preserve"> what has proven to be a deeply divisive issue in many places, generating heated school board meetings and lawsuits</w:t>
      </w:r>
      <w:r w:rsidRPr="00AA0D15">
        <w:rPr>
          <w:rStyle w:val="StyleUnderline"/>
        </w:rPr>
        <w:t>. In 14 states and the District of Columbia, there are explicit protections for transgender students on the books.</w:t>
      </w:r>
      <w:r w:rsidRPr="00AA0D15">
        <w:t xml:space="preserve"> In North Carolina, transgender people are barred from using bathrooms that align with their gender identity. </w:t>
      </w:r>
      <w:r w:rsidRPr="00AA0D15">
        <w:rPr>
          <w:rStyle w:val="StyleUnderline"/>
        </w:rPr>
        <w:t xml:space="preserve">Several other </w:t>
      </w:r>
      <w:r w:rsidRPr="00AA0D15">
        <w:rPr>
          <w:rStyle w:val="Emphasis"/>
        </w:rPr>
        <w:t>states have floated similar legislation</w:t>
      </w:r>
      <w:r w:rsidRPr="00AA0D15">
        <w:rPr>
          <w:rStyle w:val="StyleUnderline"/>
        </w:rPr>
        <w:t>,</w:t>
      </w:r>
      <w:r w:rsidRPr="00AA0D15">
        <w:t xml:space="preserve"> some with financial penalties for schools that allow transgender students to use bathrooms of their choice.</w:t>
      </w:r>
    </w:p>
    <w:p w:rsidR="00C47278" w:rsidRPr="00AA0D15" w:rsidRDefault="00C47278" w:rsidP="00C47278">
      <w:r w:rsidRPr="00AA0D15">
        <w:rPr>
          <w:rStyle w:val="StyleUnderline"/>
        </w:rPr>
        <w:t xml:space="preserve">The uncertainty </w:t>
      </w:r>
      <w:r w:rsidRPr="00AA0D15">
        <w:rPr>
          <w:rStyle w:val="Emphasis"/>
        </w:rPr>
        <w:t>means that it up to states</w:t>
      </w:r>
      <w:r w:rsidRPr="00AA0D15">
        <w:rPr>
          <w:rStyle w:val="StyleUnderline"/>
        </w:rPr>
        <w:t>,</w:t>
      </w:r>
      <w:r w:rsidRPr="00AA0D15">
        <w:t xml:space="preserve"> school districts and sometimes individual principals t</w:t>
      </w:r>
      <w:r w:rsidRPr="00AA0D15">
        <w:rPr>
          <w:rStyle w:val="StyleUnderline"/>
        </w:rPr>
        <w:t>o decide which bathroom a transgender student uses.</w:t>
      </w:r>
      <w:r w:rsidRPr="00AA0D15">
        <w:t xml:space="preserve"> Many school districts have no policies and instead choose to accommodate students on a case-by-case basis, often sending them to unisex faculty or nurse bathrooms, apart from their classmates.</w:t>
      </w:r>
    </w:p>
    <w:p w:rsidR="00C47278" w:rsidRPr="00AA0D15" w:rsidRDefault="00C47278" w:rsidP="00C47278">
      <w:r w:rsidRPr="00AA0D15">
        <w:t>“</w:t>
      </w:r>
      <w:r w:rsidRPr="00AA0D15">
        <w:rPr>
          <w:rStyle w:val="Emphasis"/>
        </w:rPr>
        <w:t>Some states have already provided that clarity</w:t>
      </w:r>
      <w:r w:rsidRPr="00AA0D15">
        <w:rPr>
          <w:rStyle w:val="StyleUnderline"/>
        </w:rPr>
        <w:t>–even before the Obama-era guidance was issued,”</w:t>
      </w:r>
      <w:r w:rsidRPr="00AA0D15">
        <w:t xml:space="preserve"> said Farrace. “</w:t>
      </w:r>
      <w:r w:rsidRPr="00AA0D15">
        <w:rPr>
          <w:rStyle w:val="StyleUnderline"/>
        </w:rPr>
        <w:t>But most states have not</w:t>
      </w:r>
      <w:r w:rsidRPr="00AA0D15">
        <w:t>, leaving us with a patchwork of policies that treat transgender kids as inconsistently worthy of their rights.”</w:t>
      </w:r>
    </w:p>
    <w:p w:rsidR="00C47278" w:rsidRPr="00AA0D15" w:rsidRDefault="00C47278" w:rsidP="00C47278">
      <w:r w:rsidRPr="00AA0D15">
        <w:t xml:space="preserve">Ryan McElveen, who sits on the board of Fairfax County schools in </w:t>
      </w:r>
      <w:r w:rsidRPr="00AA0D15">
        <w:rPr>
          <w:rStyle w:val="StyleUnderline"/>
        </w:rPr>
        <w:t>Virginia</w:t>
      </w:r>
      <w:r w:rsidRPr="00AA0D15">
        <w:t xml:space="preserve">, said his board was awaiting word from the Supreme Court before it </w:t>
      </w:r>
      <w:r w:rsidRPr="00AA0D15">
        <w:rPr>
          <w:rStyle w:val="StyleUnderline"/>
        </w:rPr>
        <w:t>proceeded with regulations to affirm that transgender students have access to bathrooms of their choice</w:t>
      </w:r>
      <w:r w:rsidRPr="00AA0D15">
        <w:t>. The board in 2015 added gender identity to its non-discrimination policy and last year began to draft regulations spelling out how schools should accommodate transgender students. But it delayed a vote because some members wanted to hear from the Supreme Court.</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 xml:space="preserve">States can interpret federal law and avoid federal overreach - </w:t>
      </w:r>
    </w:p>
    <w:p w:rsidR="00C47278" w:rsidRPr="00AA0D15" w:rsidRDefault="00C47278" w:rsidP="00C47278">
      <w:r w:rsidRPr="00AA0D15">
        <w:rPr>
          <w:rStyle w:val="Style13ptBold"/>
        </w:rPr>
        <w:t>Danilova and Gurman 2/21</w:t>
      </w:r>
      <w:r w:rsidRPr="00AA0D15">
        <w:t xml:space="preserve"> (Maria Danilova and Sadie Gurman, staff writers, 2-21-2017, "States to decide on transgender students' protections," Salt Lake Tribune, http://www.sltrib.com/home/4971151-155/source-administration-to-lift-transgender-bathroom, Accessed: 6-25-2017 /Kent Denver-NK)</w:t>
      </w:r>
    </w:p>
    <w:p w:rsidR="00C47278" w:rsidRPr="00AA0D15" w:rsidRDefault="00C47278" w:rsidP="00C47278">
      <w:r w:rsidRPr="00AA0D15">
        <w:t>Washington • Transgender students on Wednesday lost federal protections that allowed them to use school restrooms and locker rooms matching their gender identities.</w:t>
      </w:r>
    </w:p>
    <w:p w:rsidR="00C47278" w:rsidRPr="00AA0D15" w:rsidRDefault="00C47278" w:rsidP="00C47278">
      <w:pPr>
        <w:rPr>
          <w:rStyle w:val="StyleUnderline"/>
        </w:rPr>
      </w:pPr>
      <w:r w:rsidRPr="00AA0D15">
        <w:rPr>
          <w:rStyle w:val="StyleUnderline"/>
        </w:rPr>
        <w:t xml:space="preserve">The administration came down </w:t>
      </w:r>
      <w:r w:rsidRPr="00AA0D15">
        <w:rPr>
          <w:rStyle w:val="Emphasis"/>
        </w:rPr>
        <w:t>on the side of states' rights</w:t>
      </w:r>
      <w:r w:rsidRPr="00AA0D15">
        <w:rPr>
          <w:rStyle w:val="StyleUnderline"/>
        </w:rPr>
        <w:t>, lifting Obama-era federal guidelines</w:t>
      </w:r>
      <w:r w:rsidRPr="00AA0D15">
        <w:t xml:space="preserve"> that had been </w:t>
      </w:r>
      <w:r w:rsidRPr="00AA0D15">
        <w:rPr>
          <w:rStyle w:val="StyleUnderline"/>
        </w:rPr>
        <w:t>characterized</w:t>
      </w:r>
      <w:r w:rsidRPr="00AA0D15">
        <w:t xml:space="preserve"> by Republicans </w:t>
      </w:r>
      <w:r w:rsidRPr="00AA0D15">
        <w:rPr>
          <w:rStyle w:val="StyleUnderline"/>
        </w:rPr>
        <w:t xml:space="preserve">as an example of </w:t>
      </w:r>
      <w:r w:rsidRPr="00AA0D15">
        <w:rPr>
          <w:rStyle w:val="Emphasis"/>
        </w:rPr>
        <w:t>overreach</w:t>
      </w:r>
      <w:r w:rsidRPr="00AA0D15">
        <w:rPr>
          <w:rStyle w:val="StyleUnderline"/>
        </w:rPr>
        <w:t>.</w:t>
      </w:r>
    </w:p>
    <w:p w:rsidR="00C47278" w:rsidRPr="00AA0D15" w:rsidRDefault="00C47278" w:rsidP="00C47278">
      <w:pPr>
        <w:rPr>
          <w:rStyle w:val="StyleUnderline"/>
        </w:rPr>
      </w:pPr>
      <w:r w:rsidRPr="00AA0D15">
        <w:rPr>
          <w:rStyle w:val="StyleUnderline"/>
        </w:rPr>
        <w:t>Without the Obama directive</w:t>
      </w:r>
      <w:r w:rsidRPr="00AA0D15">
        <w:rPr>
          <w:rStyle w:val="Emphasis"/>
        </w:rPr>
        <w:t>, it will be up to states</w:t>
      </w:r>
      <w:r w:rsidRPr="00AA0D15">
        <w:rPr>
          <w:rStyle w:val="StyleUnderline"/>
        </w:rPr>
        <w:t xml:space="preserve"> and school districts to interpret federal anti-discrimination law and determine whether students should have access to restrooms in accordance with their expressed gender identity and not just their biological sex.</w:t>
      </w:r>
    </w:p>
    <w:p w:rsidR="00C47278" w:rsidRPr="00AA0D15" w:rsidRDefault="00C47278" w:rsidP="00C47278">
      <w:r w:rsidRPr="00AA0D15">
        <w:t>"</w:t>
      </w:r>
      <w:r w:rsidRPr="00AA0D15">
        <w:rPr>
          <w:rStyle w:val="StyleUnderline"/>
        </w:rPr>
        <w:t xml:space="preserve">This is an issue </w:t>
      </w:r>
      <w:r w:rsidRPr="00AA0D15">
        <w:rPr>
          <w:rStyle w:val="Emphasis"/>
        </w:rPr>
        <w:t>best solved at the state</w:t>
      </w:r>
      <w:r w:rsidRPr="00AA0D15">
        <w:rPr>
          <w:rStyle w:val="StyleUnderline"/>
        </w:rPr>
        <w:t xml:space="preserve"> and local level</w:t>
      </w:r>
      <w:r w:rsidRPr="00AA0D15">
        <w:t xml:space="preserve">," Education Secretary Betsy </w:t>
      </w:r>
      <w:r w:rsidRPr="00AA0D15">
        <w:rPr>
          <w:rStyle w:val="StyleUnderline"/>
        </w:rPr>
        <w:t>DeVos said.</w:t>
      </w:r>
    </w:p>
    <w:p w:rsidR="00C47278" w:rsidRPr="00AA0D15" w:rsidRDefault="00C47278" w:rsidP="00C47278">
      <w:r w:rsidRPr="00AA0D15">
        <w:t>Anti-bullying safeguards would not be affected by the change, according to the letter. "All schools must ensure that all students, including LGBT students, are able to learn and thrive in a safe environment," it said.</w:t>
      </w:r>
    </w:p>
    <w:p w:rsidR="00C47278" w:rsidRPr="00AA0D15" w:rsidRDefault="00C47278" w:rsidP="00C47278">
      <w:r w:rsidRPr="00AA0D15">
        <w:t>It was not clear what immediate impact the change would have on schools, as a federal judge in Texas put a temporary hold on the Obama guidance soon after it was issued — after 13 states sued.</w:t>
      </w:r>
    </w:p>
    <w:p w:rsidR="00C47278" w:rsidRPr="00AA0D15" w:rsidRDefault="00C47278" w:rsidP="00C47278">
      <w:r w:rsidRPr="00AA0D15">
        <w:t xml:space="preserve">Even without that hold, the guidance carried no force of law. But transgender-rights advocates say it was useful and necessary to protect students from discrimination. </w:t>
      </w:r>
      <w:r w:rsidRPr="00AA0D15">
        <w:rPr>
          <w:rStyle w:val="StyleUnderline"/>
        </w:rPr>
        <w:t xml:space="preserve">Opponents argued </w:t>
      </w:r>
      <w:r w:rsidRPr="00AA0D15">
        <w:rPr>
          <w:rStyle w:val="Emphasis"/>
        </w:rPr>
        <w:t>it was federal overreach</w:t>
      </w:r>
      <w:r w:rsidRPr="00AA0D15">
        <w:t xml:space="preserve"> and violated the safety and privacy of other students.</w:t>
      </w:r>
    </w:p>
    <w:p w:rsidR="00C47278" w:rsidRPr="00AA0D15" w:rsidRDefault="00C47278" w:rsidP="00C47278">
      <w:pPr>
        <w:rPr>
          <w:rStyle w:val="StyleUnderline"/>
        </w:rPr>
      </w:pPr>
      <w:r w:rsidRPr="00AA0D15">
        <w:rPr>
          <w:rStyle w:val="StyleUnderline"/>
        </w:rPr>
        <w:t>The White House said "returning power to the states paves the way for an open and inclusive process to take place at the local level with input from parents, students, teachers and administrators."</w:t>
      </w:r>
    </w:p>
    <w:p w:rsidR="00C47278" w:rsidRPr="00AA0D15" w:rsidRDefault="00C47278" w:rsidP="00C47278">
      <w:r w:rsidRPr="00AA0D15">
        <w:t xml:space="preserve">Transgender-rights groups say </w:t>
      </w:r>
      <w:r w:rsidRPr="00AA0D15">
        <w:rPr>
          <w:rStyle w:val="StyleUnderline"/>
        </w:rPr>
        <w:t>federal law will still prohibit discrimination</w:t>
      </w:r>
      <w:r w:rsidRPr="00AA0D15">
        <w:t xml:space="preserve"> against students based on their gender or sexual orientation. Still, they say lifting the Obama directive puts children in harm's way.</w:t>
      </w:r>
    </w:p>
    <w:p w:rsidR="00C47278" w:rsidRPr="00AA0D15" w:rsidRDefault="00C47278" w:rsidP="00C47278">
      <w:r w:rsidRPr="00AA0D15">
        <w:t>"Reversing this guidance tells trans kids that it's OK with the Trump administration and the Department of Education for them to be abused and harassed at school for being trans," said American Federation of Teachers President Randi Weingarten.</w:t>
      </w:r>
    </w:p>
    <w:p w:rsidR="00C47278" w:rsidRPr="00AA0D15" w:rsidRDefault="00C47278" w:rsidP="00C47278">
      <w:r w:rsidRPr="00AA0D15">
        <w:t>Conservatives hailed the change, saying the Obama directives were illegal and violated the rights of fixed-gender students, especially girls who did not feel safe changing clothes or using restrooms next to anatomical males.</w:t>
      </w:r>
    </w:p>
    <w:p w:rsidR="00C47278" w:rsidRPr="00AA0D15" w:rsidRDefault="00C47278" w:rsidP="00C47278">
      <w:r w:rsidRPr="00AA0D15">
        <w:t>"Our daughters should never be forced to share private, intimate spaces with male classmates, even if those young men are struggling with these issues," said Vicki Wilson, a member of Students and Parents for Privacy. "It violates their right to privacy and harms their dignity."</w:t>
      </w:r>
    </w:p>
    <w:p w:rsidR="00C47278" w:rsidRPr="00AA0D15" w:rsidRDefault="00C47278" w:rsidP="00C47278">
      <w:r w:rsidRPr="00AA0D15">
        <w:t>The Church of Jesus Christ of Latter-day Saints joined other religious groups in an amicus brief to the U.S. Supreme Court opposing the Obama administration's directive allowing transgender students to use restrooms that match their gender identity. The Utah-based faith argued that such policies are best left to Congress and statehouses.</w:t>
      </w:r>
    </w:p>
    <w:p w:rsidR="00C47278" w:rsidRPr="00AA0D15" w:rsidRDefault="00C47278" w:rsidP="00C47278">
      <w:pPr>
        <w:rPr>
          <w:rStyle w:val="StyleUnderline"/>
        </w:rPr>
      </w:pPr>
      <w:r w:rsidRPr="00AA0D15">
        <w:t xml:space="preserve">The Obama administration's guidance was based on its determination that </w:t>
      </w:r>
      <w:r w:rsidRPr="00AA0D15">
        <w:rPr>
          <w:rStyle w:val="StyleUnderline"/>
        </w:rPr>
        <w:t>Title IX, the federal law prohibiting sex discrimination in education, also applies to gender identity.</w:t>
      </w:r>
    </w:p>
    <w:p w:rsidR="00C47278" w:rsidRPr="00AA0D15" w:rsidRDefault="00C47278" w:rsidP="00C47278">
      <w:r w:rsidRPr="00AA0D15">
        <w:t xml:space="preserve">The guidance </w:t>
      </w:r>
      <w:r w:rsidRPr="00AA0D15">
        <w:rPr>
          <w:rStyle w:val="StyleUnderline"/>
        </w:rPr>
        <w:t xml:space="preserve">did not sufficiently explain its interpretation of that law, Attorney General Jeff Sessions said in a statement. "Congress, state </w:t>
      </w:r>
      <w:r w:rsidRPr="00AA0D15">
        <w:rPr>
          <w:rStyle w:val="Emphasis"/>
        </w:rPr>
        <w:t>legislatures and local governments are in a position to adopt appropriate policies</w:t>
      </w:r>
      <w:r w:rsidRPr="00AA0D15">
        <w:rPr>
          <w:rStyle w:val="StyleUnderline"/>
        </w:rPr>
        <w:t xml:space="preserve"> or laws addressing this issue,"</w:t>
      </w:r>
      <w:r w:rsidRPr="00AA0D15">
        <w:t xml:space="preserve"> he said.</w:t>
      </w:r>
    </w:p>
    <w:p w:rsidR="00C47278" w:rsidRPr="00AA0D15" w:rsidRDefault="00C47278" w:rsidP="00C47278">
      <w:r w:rsidRPr="00AA0D15">
        <w:t>Legal experts said the change in position could impact pending court cases involving the federal sex discrimination law, including a case to be heard by the Supreme Court in March involving Gavin Grimm, a transgender teen who was denied bathroom access in Virginia.</w:t>
      </w:r>
    </w:p>
    <w:p w:rsidR="00C47278" w:rsidRPr="00AA0D15" w:rsidRDefault="00C47278" w:rsidP="00C47278">
      <w:pPr>
        <w:rPr>
          <w:rStyle w:val="StyleUnderline"/>
        </w:rPr>
      </w:pPr>
      <w:r w:rsidRPr="00AA0D15">
        <w:rPr>
          <w:rStyle w:val="Emphasis"/>
        </w:rPr>
        <w:t>Fifteen states have explicit protections</w:t>
      </w:r>
      <w:r w:rsidRPr="00AA0D15">
        <w:rPr>
          <w:rStyle w:val="StyleUnderline"/>
        </w:rPr>
        <w:t xml:space="preserve"> for transgender students </w:t>
      </w:r>
      <w:r w:rsidRPr="00AA0D15">
        <w:rPr>
          <w:rStyle w:val="Emphasis"/>
        </w:rPr>
        <w:t>in their state laws</w:t>
      </w:r>
      <w:r w:rsidRPr="00AA0D15">
        <w:rPr>
          <w:rStyle w:val="StyleUnderline"/>
        </w:rPr>
        <w:t>, and many individual school districts in other states have adopted policies that cover such students on the basis of their gender identity</w:t>
      </w:r>
      <w:r w:rsidRPr="00AA0D15">
        <w:t xml:space="preserve">, said Sarah Warbelow, legal director of the Human Rights Campaign. Just one state, </w:t>
      </w:r>
      <w:r w:rsidRPr="00AA0D15">
        <w:rPr>
          <w:rStyle w:val="StyleUnderline"/>
        </w:rPr>
        <w:t>North Carolina, has enacted a law restricting access to restrooms in government-owned buildings to the sex that appears on a person's birth certificate</w:t>
      </w:r>
      <w:r w:rsidRPr="00AA0D15">
        <w:t xml:space="preserve">. </w:t>
      </w:r>
      <w:r w:rsidRPr="00AA0D15">
        <w:rPr>
          <w:rStyle w:val="StyleUnderline"/>
        </w:rPr>
        <w:t xml:space="preserve">Lawmakers in more than 10 </w:t>
      </w:r>
      <w:r w:rsidRPr="00AA0D15">
        <w:rPr>
          <w:rStyle w:val="Emphasis"/>
        </w:rPr>
        <w:t>states are considering similar legislation</w:t>
      </w:r>
      <w:r w:rsidRPr="00AA0D15">
        <w:rPr>
          <w:rStyle w:val="StyleUnderline"/>
        </w:rPr>
        <w:t>, according to the National Conference of State Legislatures.</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There’s precedence and only states action avoids circumvention – 25 states have or are considering the counterplan</w:t>
      </w:r>
    </w:p>
    <w:p w:rsidR="00C47278" w:rsidRPr="00AA0D15" w:rsidRDefault="00C47278" w:rsidP="00C47278">
      <w:r w:rsidRPr="00AA0D15">
        <w:rPr>
          <w:rStyle w:val="Style13ptBold"/>
        </w:rPr>
        <w:t>Brown and Balingit 2/23</w:t>
      </w:r>
      <w:r w:rsidRPr="00AA0D15">
        <w:t xml:space="preserve"> (Emma Brown and Moriah Balingit, both are writers for the Washington Post, 2-23-2017, "Trump’s withdrawal of guidance on transgender student rights leaves bathroom questions up to schools and states," https://www.washingtonpost.com/local/education/trumps-withdrawal-of-guidance-on-transgender-student-rights-leaves-bathroom-questions-up-to-schools-and-states/2017/02/23/f91e0c22-f9d2-11e6-9845-576c69081518_story.html, Accessed: 6-25-2017 /Kent Denver-NK)</w:t>
      </w:r>
    </w:p>
    <w:p w:rsidR="00C47278" w:rsidRPr="00AA0D15" w:rsidRDefault="00C47278" w:rsidP="00C47278">
      <w:pPr>
        <w:rPr>
          <w:rStyle w:val="StyleUnderline"/>
        </w:rPr>
      </w:pPr>
      <w:r w:rsidRPr="00AA0D15">
        <w:rPr>
          <w:rStyle w:val="Emphasis"/>
        </w:rPr>
        <w:t>Fourteen states and the District of Columbia have laws that give explicit protections</w:t>
      </w:r>
      <w:r w:rsidRPr="00AA0D15">
        <w:rPr>
          <w:rStyle w:val="StyleUnderline"/>
        </w:rPr>
        <w:t xml:space="preserve"> to transgender students, according to the Human Rights Campaign. </w:t>
      </w:r>
      <w:r w:rsidRPr="00AA0D15">
        <w:rPr>
          <w:rStyle w:val="Emphasis"/>
        </w:rPr>
        <w:t>Eleven other states are considering legislation</w:t>
      </w:r>
      <w:r w:rsidRPr="00AA0D15">
        <w:rPr>
          <w:rStyle w:val="StyleUnderline"/>
        </w:rPr>
        <w:t xml:space="preserve"> to create restroom restrictions for transgender people, including schoolchildren. Some would penalize schools that violate those restrictions.</w:t>
      </w:r>
    </w:p>
    <w:p w:rsidR="00C47278" w:rsidRPr="00AA0D15" w:rsidRDefault="00C47278" w:rsidP="00C47278">
      <w:r w:rsidRPr="00AA0D15">
        <w:t>About 40 percent of schoolchildren are in districts that explicitly protect transgender students, according to an estimate from the National Center for Transgender Equality. In many of those places, policies will remain the same.</w:t>
      </w:r>
    </w:p>
    <w:p w:rsidR="00C47278" w:rsidRPr="00AA0D15" w:rsidRDefault="00C47278" w:rsidP="00C47278">
      <w:r w:rsidRPr="00AA0D15">
        <w:t>“Our schools have to be safe and inclusive places if we want our kids to learn and be successful,” said Emma Garrett Nelson, spokeswoman for Tulsa Public Schools.</w:t>
      </w:r>
    </w:p>
    <w:p w:rsidR="00C47278" w:rsidRPr="00AA0D15" w:rsidRDefault="00C47278" w:rsidP="00C47278">
      <w:r w:rsidRPr="00AA0D15">
        <w:t>At Atherton High in Louisville, a site-based council developed a policy giving transgender students access to the bathrooms of their choice three years ago. That meant the school complied with Obama’s guidance as soon as it was issued.</w:t>
      </w:r>
    </w:p>
    <w:p w:rsidR="00C47278" w:rsidRPr="00AA0D15" w:rsidRDefault="00C47278" w:rsidP="00C47278">
      <w:r w:rsidRPr="00AA0D15">
        <w:t>“Our policy has not changed, and I wouldn’t foresee it changing regardless of any change in the guidance document,” said Thomas Aberli, the school’s principal at the time.</w:t>
      </w:r>
    </w:p>
    <w:p w:rsidR="00C47278" w:rsidRPr="00AA0D15" w:rsidRDefault="00C47278" w:rsidP="00C47278">
      <w:r w:rsidRPr="00AA0D15">
        <w:rPr>
          <w:rStyle w:val="StyleUnderline"/>
        </w:rPr>
        <w:t xml:space="preserve">Obama’s guidance drew </w:t>
      </w:r>
      <w:r w:rsidRPr="00AA0D15">
        <w:rPr>
          <w:rStyle w:val="Emphasis"/>
        </w:rPr>
        <w:t>legal challenges from several states</w:t>
      </w:r>
      <w:r w:rsidRPr="00AA0D15">
        <w:rPr>
          <w:rStyle w:val="StyleUnderline"/>
        </w:rPr>
        <w:t xml:space="preserve">, leaving schools uncertain of their obligations </w:t>
      </w:r>
      <w:r w:rsidRPr="00AA0D15">
        <w:t>and hesitant to wade into such a fraught issue. The uncertainty deepened in August, when a federal judge temporarily prohibited the Education Department from enforcing the guidance nationwide.</w:t>
      </w:r>
    </w:p>
    <w:p w:rsidR="00C47278" w:rsidRPr="00AA0D15" w:rsidRDefault="00C47278" w:rsidP="00C47278">
      <w:r w:rsidRPr="00AA0D15">
        <w:t>Amy Adams, the mother of a transgender girl in Stafford County, Va., said school officials continued to bar her daughter from the girls’ bathroom even after the Obama action, saying they were waiting on a ruling from the Supreme Court. Her daughter had briefly used the girls’ bathroom in elementary school until other parents protested. That put the Adams family in the middle of a public fight that inspired a state legislator to propose a bill to fine transgender people for using public bathrooms — including those in schools — that do not correspond to their “anatomical sex.” The bill was unsuccessful.</w:t>
      </w:r>
    </w:p>
    <w:p w:rsidR="00C47278" w:rsidRPr="00AA0D15" w:rsidRDefault="00C47278" w:rsidP="00C47278">
      <w:r w:rsidRPr="00AA0D15">
        <w:t>Adams said that the Obama administration’s action last year had given her hope.</w:t>
      </w:r>
    </w:p>
    <w:p w:rsidR="00C47278" w:rsidRPr="00AA0D15" w:rsidRDefault="00C47278" w:rsidP="00C47278">
      <w:r w:rsidRPr="00AA0D15">
        <w:t>“When you live in a state like Virginia, which has no state protections, where you can be fired or denied housing based on if you are LGBTQ, where some lawmakers have specifically targeted your child, or if you live in a school district that has denied your child equal access, the feeling was relief, because our kids were finally seen,” Adams said.</w:t>
      </w:r>
    </w:p>
    <w:p w:rsidR="00C47278" w:rsidRPr="00AA0D15" w:rsidRDefault="00C47278" w:rsidP="00C47278">
      <w:r w:rsidRPr="00AA0D15">
        <w:t>But after the Trump administration’s shift, Adams said, she no longer has the federal backing for her efforts to persuade school officials to allow her daughter to use the girls’ bathroom.</w:t>
      </w:r>
    </w:p>
    <w:p w:rsidR="00C47278" w:rsidRPr="00AA0D15" w:rsidRDefault="00C47278" w:rsidP="00C47278">
      <w:r w:rsidRPr="00AA0D15">
        <w:t xml:space="preserve">In Utah’s largest school system, the Alpine School District, </w:t>
      </w:r>
      <w:r w:rsidRPr="00AA0D15">
        <w:rPr>
          <w:rStyle w:val="StyleUnderline"/>
        </w:rPr>
        <w:t xml:space="preserve">the Obama guidance enraged some board members, </w:t>
      </w:r>
      <w:r w:rsidRPr="00AA0D15">
        <w:rPr>
          <w:rStyle w:val="Emphasis"/>
        </w:rPr>
        <w:t>who viewed it as federal overreach</w:t>
      </w:r>
      <w:r w:rsidRPr="00AA0D15">
        <w:t>. The district never changed its practice of accommodating transgender students on a “case by case” basis — allowing them to use bathrooms designated for single users, for instance — said board member JoDee Sundberg. She said that to her knowledge, no transgender students had sought to use student bathrooms that align with their gender identity.</w:t>
      </w:r>
    </w:p>
    <w:p w:rsidR="00C47278" w:rsidRPr="00AA0D15" w:rsidRDefault="00C47278" w:rsidP="00C47278">
      <w:pPr>
        <w:rPr>
          <w:rStyle w:val="StyleUnderline"/>
        </w:rPr>
      </w:pPr>
      <w:r w:rsidRPr="00AA0D15">
        <w:t>“</w:t>
      </w:r>
      <w:r w:rsidRPr="00AA0D15">
        <w:rPr>
          <w:rStyle w:val="StyleUnderline"/>
        </w:rPr>
        <w:t>We felt that all of our students’ needs are being served,” said Sundberg. “</w:t>
      </w:r>
      <w:r w:rsidRPr="00AA0D15">
        <w:rPr>
          <w:rStyle w:val="Emphasis"/>
        </w:rPr>
        <w:t>We don’t take our direction from Washington</w:t>
      </w:r>
      <w:r w:rsidRPr="00AA0D15">
        <w:rPr>
          <w:rStyle w:val="StyleUnderline"/>
        </w:rPr>
        <w:t xml:space="preserve"> … We will do what’s best for our community, the culture in our community and the students in our community.”</w:t>
      </w:r>
    </w:p>
    <w:p w:rsidR="00C47278" w:rsidRPr="00AA0D15" w:rsidRDefault="00C47278" w:rsidP="00C47278">
      <w:r w:rsidRPr="00AA0D15">
        <w:t xml:space="preserve">With Trump’s action, </w:t>
      </w:r>
      <w:r w:rsidRPr="00AA0D15">
        <w:rPr>
          <w:rStyle w:val="StyleUnderline"/>
        </w:rPr>
        <w:t xml:space="preserve">school districts that had </w:t>
      </w:r>
      <w:r w:rsidRPr="00AA0D15">
        <w:rPr>
          <w:rStyle w:val="Emphasis"/>
        </w:rPr>
        <w:t>passed bathroom restrictions in conflict</w:t>
      </w:r>
      <w:r w:rsidRPr="00AA0D15">
        <w:rPr>
          <w:rStyle w:val="StyleUnderline"/>
        </w:rPr>
        <w:t xml:space="preserve"> with the Obama guidance</w:t>
      </w:r>
      <w:r w:rsidRPr="00AA0D15">
        <w:t xml:space="preserve"> no longer face the possibility of losing federal funding.</w:t>
      </w:r>
    </w:p>
    <w:p w:rsidR="00C47278" w:rsidRPr="00AA0D15" w:rsidRDefault="00C47278" w:rsidP="00C47278">
      <w:pPr>
        <w:rPr>
          <w:rStyle w:val="StyleUnderline"/>
        </w:rPr>
      </w:pPr>
      <w:r w:rsidRPr="00AA0D15">
        <w:t xml:space="preserve">Last year, community members in rural Grayson County, Va., grew fearful that students and visitors to schools would pretend to be transgender to gain access to bathrooms and locker rooms of the opposite sex to take video or assault students. </w:t>
      </w:r>
      <w:r w:rsidRPr="00AA0D15">
        <w:rPr>
          <w:rStyle w:val="StyleUnderline"/>
        </w:rPr>
        <w:t>In response, the school board passed a policy requiring students to use bathrooms according to the sex on their birth certificate, defying the Obama guidance.</w:t>
      </w:r>
    </w:p>
    <w:p w:rsidR="00C47278" w:rsidRPr="00AA0D15" w:rsidRDefault="00C47278" w:rsidP="00C47278">
      <w:pPr>
        <w:rPr>
          <w:rStyle w:val="StyleUnderline"/>
        </w:rPr>
      </w:pPr>
    </w:p>
    <w:p w:rsidR="00C47278" w:rsidRPr="00AA0D15" w:rsidRDefault="00C47278" w:rsidP="00C47278">
      <w:pPr>
        <w:pStyle w:val="Heading4"/>
        <w:rPr>
          <w:rFonts w:cs="Times New Roman"/>
        </w:rPr>
      </w:pPr>
      <w:r w:rsidRPr="00AA0D15">
        <w:rPr>
          <w:rFonts w:cs="Times New Roman"/>
        </w:rPr>
        <w:t>No need for federal intervention – state action is more effective</w:t>
      </w:r>
    </w:p>
    <w:p w:rsidR="00C47278" w:rsidRPr="00AA0D15" w:rsidRDefault="00C47278" w:rsidP="00C47278">
      <w:r w:rsidRPr="00AA0D15">
        <w:rPr>
          <w:rStyle w:val="Style13ptBold"/>
        </w:rPr>
        <w:t>LaBossiere 2/24</w:t>
      </w:r>
      <w:r w:rsidRPr="00AA0D15">
        <w:t xml:space="preserve"> (Michael LaBossiere, philosophy professor at Florida A&amp;M University, 2-24-2017, "Bathroom Laws: Federal vs. State," Philosophical Percolations, http://www.philpercs.com/2017/02/bathroom-laws-federal-vs-state.html, Accessed: 6-26-2017 /Kent Denver-NK)</w:t>
      </w:r>
    </w:p>
    <w:p w:rsidR="00C47278" w:rsidRPr="00AA0D15" w:rsidRDefault="00C47278" w:rsidP="00C47278">
      <w:r w:rsidRPr="00AA0D15">
        <w:rPr>
          <w:rStyle w:val="StyleUnderline"/>
        </w:rPr>
        <w:t>Rescinding these protections does not prevent state and local governments from passing their own laws that provide such protections</w:t>
      </w:r>
      <w:r w:rsidRPr="00AA0D15">
        <w:t xml:space="preserve">. However, </w:t>
      </w:r>
      <w:r w:rsidRPr="00AA0D15">
        <w:rPr>
          <w:rStyle w:val="StyleUnderline"/>
        </w:rPr>
        <w:t>it does seem to free state and local governments to pass laws</w:t>
      </w:r>
      <w:r w:rsidRPr="00AA0D15">
        <w:t xml:space="preserve"> discriminating against transgender students—and this would seem to be the intent behind Sessions’ decision. This raises the moral issue of what matters are best left to state and local government and which should be of federal concern.</w:t>
      </w:r>
    </w:p>
    <w:p w:rsidR="00C47278" w:rsidRPr="00AA0D15" w:rsidRDefault="00C47278" w:rsidP="00C47278">
      <w:r w:rsidRPr="00AA0D15">
        <w:t>While Republicans typically claim to be for state and local control, they are no more consistent in this matter than Democrats are. Rather than having a consistent principle regarding state/local control versus federal control, the parties support state/local control when the state/local governments are doing what they want. When state/local governments are doing what they do not like, they oppose state/local control. To illustrate, Republicans are usually against local control when the local governments want to ban fracking, impose restrictions on gun rights, or provide sanctuary to illegal immigrants. Democrats are typically in favor of local control when local governments want to do those things. While such unprincipled inconsistency is the stuff of politics, the approach to disputes about control should be resolved in a principled manner and with the principles being applied consistently.</w:t>
      </w:r>
    </w:p>
    <w:p w:rsidR="00C47278" w:rsidRPr="00AA0D15" w:rsidRDefault="00C47278" w:rsidP="00C47278">
      <w:r w:rsidRPr="00AA0D15">
        <w:rPr>
          <w:rStyle w:val="StyleUnderline"/>
        </w:rPr>
        <w:t>I find the general idea of state and local control appealing because there are good arguments supporting this view. One compelling reason is that state and local governments have a better understanding of state and local conditions and are thus likely to do a better job than the federal government. Another compelling reason is that state and local governments are under more direct control of the people affected, which seems more democratic than having the distant federal government impose its will</w:t>
      </w:r>
      <w:r w:rsidRPr="00AA0D15">
        <w:t>. Because of these reasons</w:t>
      </w:r>
      <w:r w:rsidRPr="00AA0D15">
        <w:rPr>
          <w:rStyle w:val="StyleUnderline"/>
        </w:rPr>
        <w:t>, I favor a presumption of local control—that is, the federal government should defer to state and local control unless there are compelling reasons to impose federal authority</w:t>
      </w:r>
      <w:r w:rsidRPr="00AA0D15">
        <w:t>. As an example, the federal government has a compelling reason to impose its authority in cases in which state or local governments are violating (or permitting the violation of these civil rights).</w:t>
      </w:r>
    </w:p>
    <w:p w:rsidR="00C47278" w:rsidRPr="00AA0D15" w:rsidRDefault="00C47278" w:rsidP="00C47278">
      <w:r w:rsidRPr="00AA0D15">
        <w:t xml:space="preserve">In the case of bathroom rights, </w:t>
      </w:r>
      <w:r w:rsidRPr="00AA0D15">
        <w:rPr>
          <w:rStyle w:val="StyleUnderline"/>
        </w:rPr>
        <w:t>the question at hand is whether the federal government has compelling reasons to impose its authority on state and local governments to ensure that transgender students can choose their bathrooms</w:t>
      </w:r>
      <w:r w:rsidRPr="00AA0D15">
        <w:t>. The answer depends on two main factors. The first is whether transgender students have a right to choose their bathrooms. The other is what the state and local governments will do in regards to the bathroom choice issue.</w:t>
      </w:r>
    </w:p>
    <w:p w:rsidR="00C47278" w:rsidRPr="00AA0D15" w:rsidRDefault="00C47278" w:rsidP="00C47278">
      <w:pPr>
        <w:rPr>
          <w:rStyle w:val="StyleUnderline"/>
        </w:rPr>
      </w:pPr>
      <w:r w:rsidRPr="00AA0D15">
        <w:rPr>
          <w:rStyle w:val="StyleUnderline"/>
        </w:rPr>
        <w:t>If transgender students do have a right to choose their bathrooms and the state and local governments decide to respect this right, then there would be no compelling reason for the federal government to step in. After all, there would be no violation of rights to redress with federal action.</w:t>
      </w:r>
    </w:p>
    <w:p w:rsidR="00C47278" w:rsidRPr="00AA0D15" w:rsidRDefault="00C47278" w:rsidP="00C47278">
      <w:pPr>
        <w:rPr>
          <w:rStyle w:val="StyleUnderline"/>
        </w:rPr>
      </w:pPr>
    </w:p>
    <w:p w:rsidR="00C47278" w:rsidRPr="00AA0D15" w:rsidRDefault="00C47278" w:rsidP="00C47278">
      <w:pPr>
        <w:pStyle w:val="Heading4"/>
        <w:rPr>
          <w:rFonts w:cs="Times New Roman"/>
        </w:rPr>
      </w:pPr>
      <w:r w:rsidRPr="00AA0D15">
        <w:rPr>
          <w:rFonts w:cs="Times New Roman"/>
        </w:rPr>
        <w:t>States have authority to pass bathroom legislation – over 10 states prove</w:t>
      </w:r>
    </w:p>
    <w:p w:rsidR="00C47278" w:rsidRPr="00AA0D15" w:rsidRDefault="00C47278" w:rsidP="00C47278">
      <w:r w:rsidRPr="00AA0D15">
        <w:rPr>
          <w:rStyle w:val="Style13ptBold"/>
        </w:rPr>
        <w:t>Toppo 2/21</w:t>
      </w:r>
      <w:r w:rsidRPr="00AA0D15">
        <w:t xml:space="preserve"> (Greg Toppo, Greg Toppo is USA Today's national K-12 education writer, 2-21-2017, "Trump administration changes transgender student bathroom rules," USA TODAY, https://www.usatoday.com/story/news/2017/02/21/trump-administration-change-transgender-student-bathroom-rules/98221368/, Accessed: 6-26-2017 /Kent Denver-NK)</w:t>
      </w:r>
    </w:p>
    <w:p w:rsidR="00C47278" w:rsidRPr="00AA0D15" w:rsidRDefault="00C47278" w:rsidP="00C47278">
      <w:r w:rsidRPr="00AA0D15">
        <w:t>The Trump administration issued new guidance outlining which restrooms transgender students can use, potentially sowing confusion in schools, angering LGBTQ rights groups and adding uncertainty to a widely discussed case due to come before the U.S. Supreme Court next month.</w:t>
      </w:r>
    </w:p>
    <w:p w:rsidR="00C47278" w:rsidRPr="00AA0D15" w:rsidRDefault="00C47278" w:rsidP="00C47278">
      <w:r w:rsidRPr="00AA0D15">
        <w:t>The Department and Department of Education announced the change in a joint statement Wednesday night.</w:t>
      </w:r>
    </w:p>
    <w:p w:rsidR="00C47278" w:rsidRPr="00AA0D15" w:rsidRDefault="00C47278" w:rsidP="00C47278">
      <w:r w:rsidRPr="00AA0D15">
        <w:rPr>
          <w:rStyle w:val="StyleUnderline"/>
        </w:rPr>
        <w:t>Citing legal confusion, the departments said they "have decided to withdraw and rescind" guidelines</w:t>
      </w:r>
      <w:r w:rsidRPr="00AA0D15">
        <w:t xml:space="preserve"> issued last year by the Obama administration requiring that schools allow transgender students to use restrooms matching their chosen gender rather than their birth gender.</w:t>
      </w:r>
    </w:p>
    <w:p w:rsidR="00C47278" w:rsidRPr="00AA0D15" w:rsidRDefault="00C47278" w:rsidP="00C47278">
      <w:pPr>
        <w:rPr>
          <w:rStyle w:val="StyleUnderline"/>
        </w:rPr>
      </w:pPr>
      <w:r w:rsidRPr="00AA0D15">
        <w:t xml:space="preserve">Speaking to reporters earlier Wednesday, White House Press Secretary Sean Spicer said President </w:t>
      </w:r>
      <w:r w:rsidRPr="00AA0D15">
        <w:rPr>
          <w:rStyle w:val="StyleUnderline"/>
        </w:rPr>
        <w:t>Trump is "a firm believer in states' rights and that certain issues like this are not best dealt with at the federal level.''</w:t>
      </w:r>
    </w:p>
    <w:p w:rsidR="00C47278" w:rsidRPr="00AA0D15" w:rsidRDefault="00C47278" w:rsidP="00C47278">
      <w:r w:rsidRPr="00AA0D15">
        <w:t>"</w:t>
      </w:r>
      <w:r w:rsidRPr="00AA0D15">
        <w:rPr>
          <w:rStyle w:val="StyleUnderline"/>
        </w:rPr>
        <w:t>The conclusions that everyone in the administration has agreed upon,</w:t>
      </w:r>
      <w:r w:rsidRPr="00AA0D15">
        <w:t>'' Spicer said, "there is no daylight between anybody, between the president and any of the secretaries.''</w:t>
      </w:r>
    </w:p>
    <w:p w:rsidR="00C47278" w:rsidRPr="00AA0D15" w:rsidRDefault="00C47278" w:rsidP="00C47278">
      <w:pPr>
        <w:rPr>
          <w:rStyle w:val="StyleUnderline"/>
        </w:rPr>
      </w:pPr>
      <w:r w:rsidRPr="00AA0D15">
        <w:rPr>
          <w:rStyle w:val="StyleUnderline"/>
        </w:rPr>
        <w:t>Fifteen states have explicit protections for transgender student</w:t>
      </w:r>
      <w:r w:rsidRPr="00AA0D15">
        <w:t xml:space="preserve">s, and many individual school districts in other states have adopted policies that recognize students on the basis of their gender identity, Sarah Warbelow, legal director of the Human Rights Campaign (HRC) told The Associated Press. Just one state, </w:t>
      </w:r>
      <w:r w:rsidRPr="00AA0D15">
        <w:rPr>
          <w:rStyle w:val="StyleUnderline"/>
        </w:rPr>
        <w:t>North Carolina, has enacted a law restricting students' bathroom access to their sex at birth. But so far this year, lawmakers in more than 10 states are considering similar legislation, according to the National Conference of State Legislators.</w:t>
      </w:r>
    </w:p>
    <w:p w:rsidR="00C47278" w:rsidRPr="00AA0D15" w:rsidRDefault="00C47278" w:rsidP="00C47278">
      <w:pPr>
        <w:pStyle w:val="Heading3"/>
        <w:rPr>
          <w:rFonts w:cs="Times New Roman"/>
        </w:rPr>
      </w:pPr>
      <w:r w:rsidRPr="00AA0D15">
        <w:rPr>
          <w:rFonts w:cs="Times New Roman"/>
        </w:rPr>
        <w:t xml:space="preserve">AT states won’t comply - econ incentive </w:t>
      </w:r>
    </w:p>
    <w:p w:rsidR="00C47278" w:rsidRPr="00AA0D15" w:rsidRDefault="00C47278" w:rsidP="00C47278">
      <w:pPr>
        <w:pStyle w:val="Heading4"/>
        <w:rPr>
          <w:rFonts w:cs="Times New Roman"/>
        </w:rPr>
      </w:pPr>
      <w:r w:rsidRPr="00AA0D15">
        <w:rPr>
          <w:rFonts w:cs="Times New Roman"/>
        </w:rPr>
        <w:t>Bad for the local economy otherwise – North Carolina proves</w:t>
      </w:r>
    </w:p>
    <w:p w:rsidR="00C47278" w:rsidRPr="00AA0D15" w:rsidRDefault="00C47278" w:rsidP="00C47278">
      <w:pPr>
        <w:rPr>
          <w:rStyle w:val="Style13ptBold"/>
        </w:rPr>
      </w:pPr>
      <w:r w:rsidRPr="00AA0D15">
        <w:rPr>
          <w:rStyle w:val="Style13ptBold"/>
        </w:rPr>
        <w:t>Dejean 1/27/17</w:t>
      </w:r>
    </w:p>
    <w:p w:rsidR="00C47278" w:rsidRPr="002439A5" w:rsidRDefault="00C47278" w:rsidP="002439A5">
      <w:r w:rsidRPr="002439A5">
        <w:t xml:space="preserve">(Ashley, an editorial fellow in Mother Jones' Washington bureau, senior news editor at D.C.'s NPR affiliate station “Transgender Rights Are Under Attack in These 11 States,” </w:t>
      </w:r>
      <w:hyperlink r:id="rId128" w:history="1">
        <w:r w:rsidRPr="002439A5">
          <w:rPr>
            <w:rStyle w:val="Hyperlink"/>
          </w:rPr>
          <w:t>http://www.motherjones.com/politics/2017/01/transgender-rights-bathrooms-state-legislature-texas-arizona-wyoming-kansas/</w:t>
        </w:r>
      </w:hyperlink>
      <w:r w:rsidRPr="002439A5">
        <w:t>, Date Accessed: 6/25/17 – KSA)</w:t>
      </w:r>
    </w:p>
    <w:p w:rsidR="00C47278" w:rsidRPr="00AA0D15" w:rsidRDefault="00C47278" w:rsidP="00C47278">
      <w:r w:rsidRPr="00AA0D15">
        <w:rPr>
          <w:rStyle w:val="StyleUnderline"/>
        </w:rPr>
        <w:t>Conservatives now hold the governor’s seat and control of the legislature in roughly half of all states,</w:t>
      </w:r>
      <w:r w:rsidRPr="00AA0D15">
        <w:t xml:space="preserve"> and since the election they’ve quickly gotten to work proposing measures that opponents say could threaten the rights and safety of transgender people. Human rights advocates say they’re fearing an onslaught of discriminatory bills in the coming months.</w:t>
      </w:r>
    </w:p>
    <w:p w:rsidR="00C47278" w:rsidRPr="00AA0D15" w:rsidRDefault="00C47278" w:rsidP="00C47278"/>
    <w:p w:rsidR="00C47278" w:rsidRPr="00AA0D15" w:rsidRDefault="00C47278" w:rsidP="00C47278">
      <w:r w:rsidRPr="00AA0D15">
        <w:t>“We are seeing them already in an impressive number of states given how early in the legislative session it is,” says HRC’s Cathryn Oakley.</w:t>
      </w:r>
    </w:p>
    <w:p w:rsidR="00C47278" w:rsidRPr="00AA0D15" w:rsidRDefault="00C47278" w:rsidP="00C47278">
      <w:pPr>
        <w:rPr>
          <w:rStyle w:val="StyleUnderline"/>
        </w:rPr>
      </w:pPr>
      <w:r w:rsidRPr="00AA0D15">
        <w:t xml:space="preserve">“We are seeing them already in an impressive number of states given how early in the legislative session it is,” says Cathryn Oakley, senior legislative counsel for the Human Rights Campaign, though she adds that “some at this point are still rumored.” </w:t>
      </w:r>
      <w:r w:rsidRPr="00AA0D15">
        <w:rPr>
          <w:rStyle w:val="StyleUnderline"/>
        </w:rPr>
        <w:t>By HRC’s estimate, at least 40 anti-LGBT proposals have already been introduced for the legislative sessions this year.</w:t>
      </w:r>
    </w:p>
    <w:p w:rsidR="00C47278" w:rsidRPr="00AA0D15" w:rsidRDefault="00C47278" w:rsidP="00C47278"/>
    <w:p w:rsidR="00C47278" w:rsidRPr="00AA0D15" w:rsidRDefault="00C47278" w:rsidP="00C47278">
      <w:pPr>
        <w:rPr>
          <w:rStyle w:val="StyleUnderline"/>
        </w:rPr>
      </w:pPr>
      <w:r w:rsidRPr="00AA0D15">
        <w:t xml:space="preserve">Some of the measures are </w:t>
      </w:r>
      <w:r w:rsidRPr="00AA0D15">
        <w:rPr>
          <w:rStyle w:val="StyleUnderline"/>
        </w:rPr>
        <w:t>so-called bathroom bills</w:t>
      </w:r>
      <w:r w:rsidRPr="00AA0D15">
        <w:t xml:space="preserve"> (made famous by North Carolina’s HB2), </w:t>
      </w:r>
      <w:r w:rsidRPr="00AA0D15">
        <w:rPr>
          <w:rStyle w:val="StyleUnderline"/>
        </w:rPr>
        <w:t>which ban transgender people from using the restroom of their choice, often under the guise of privacy and “protecting women and children.”</w:t>
      </w:r>
      <w:r w:rsidRPr="00AA0D15">
        <w:t xml:space="preserve"> As Oakley explains, </w:t>
      </w:r>
      <w:r w:rsidRPr="00AA0D15">
        <w:rPr>
          <w:rStyle w:val="StyleUnderline"/>
        </w:rPr>
        <w:t>these bills are bad policy not only because they infringe on the rights of transgender people, but also because of the damage they can inflict on a state’s economy. After North Carolina passed HB2 last year</w:t>
      </w:r>
      <w:r w:rsidRPr="00AA0D15">
        <w:t xml:space="preserve">, several </w:t>
      </w:r>
      <w:r w:rsidRPr="00AA0D15">
        <w:rPr>
          <w:rStyle w:val="StyleUnderline"/>
        </w:rPr>
        <w:t>businesses decided to pull plans to expand in the state</w:t>
      </w:r>
      <w:r w:rsidRPr="00AA0D15">
        <w:t xml:space="preserve">, local </w:t>
      </w:r>
      <w:r w:rsidRPr="00AA0D15">
        <w:rPr>
          <w:rStyle w:val="StyleUnderline"/>
        </w:rPr>
        <w:t>governments banned official travel to North Carolina, and events</w:t>
      </w:r>
      <w:r w:rsidRPr="00AA0D15">
        <w:t xml:space="preserve"> like the NCAA basketball championship </w:t>
      </w:r>
      <w:r w:rsidRPr="00AA0D15">
        <w:rPr>
          <w:rStyle w:val="StyleUnderline"/>
        </w:rPr>
        <w:t>were moved elsewhere.</w:t>
      </w:r>
    </w:p>
    <w:p w:rsidR="00C47278" w:rsidRPr="00AA0D15" w:rsidRDefault="00C47278" w:rsidP="00C47278"/>
    <w:p w:rsidR="00C47278" w:rsidRPr="00AA0D15" w:rsidRDefault="00C47278" w:rsidP="00C47278">
      <w:r w:rsidRPr="00AA0D15">
        <w:rPr>
          <w:rStyle w:val="StyleUnderline"/>
        </w:rPr>
        <w:t>Other proposals would force schools to out transgender students to their parents</w:t>
      </w:r>
      <w:r w:rsidRPr="00AA0D15">
        <w:t xml:space="preserve">, something advocates find particularly troubling. </w:t>
      </w:r>
      <w:r w:rsidRPr="00AA0D15">
        <w:rPr>
          <w:rStyle w:val="StyleUnderline"/>
        </w:rPr>
        <w:t>Up to 40 percent of homeless youth are LGBT. Whether their parents accept their gender identity has a significant impact on the mental health outcomes of young transgender people</w:t>
      </w:r>
      <w:r w:rsidRPr="00AA0D15">
        <w:t>. “It risks their long-term health care outcomes and economic future by endangering their ability to protect their own privacy and move safely through the world,” explains Sasha Buchert with the Transgender Law Center.</w:t>
      </w:r>
    </w:p>
    <w:p w:rsidR="00C47278" w:rsidRPr="00AA0D15" w:rsidRDefault="00C47278" w:rsidP="00C47278">
      <w:pPr>
        <w:pStyle w:val="Heading4"/>
        <w:rPr>
          <w:rFonts w:cs="Times New Roman"/>
        </w:rPr>
      </w:pPr>
      <w:r w:rsidRPr="00AA0D15">
        <w:rPr>
          <w:rFonts w:cs="Times New Roman"/>
        </w:rPr>
        <w:t>Businesses withdraw in the face of discriminatory laws</w:t>
      </w:r>
    </w:p>
    <w:p w:rsidR="00C47278" w:rsidRPr="00AA0D15" w:rsidRDefault="00C47278" w:rsidP="00C47278">
      <w:pPr>
        <w:rPr>
          <w:rStyle w:val="Style13ptBold"/>
        </w:rPr>
      </w:pPr>
      <w:r w:rsidRPr="00AA0D15">
        <w:rPr>
          <w:rStyle w:val="Style13ptBold"/>
        </w:rPr>
        <w:t>Lopez 1/5/17</w:t>
      </w:r>
    </w:p>
    <w:p w:rsidR="00C47278" w:rsidRPr="002439A5" w:rsidRDefault="00C47278" w:rsidP="002439A5">
      <w:r w:rsidRPr="002439A5">
        <w:t xml:space="preserve">(German, Senior Reporter at Vox, “Texas’s anti-transgender bathroom bill, explained,” </w:t>
      </w:r>
      <w:hyperlink r:id="rId129" w:history="1">
        <w:r w:rsidRPr="002439A5">
          <w:rPr>
            <w:rStyle w:val="Hyperlink"/>
          </w:rPr>
          <w:t>https://www.vox.com/identities/2017/1/5/14173882/texas-transgender-bathroom-law-lgbtq</w:t>
        </w:r>
      </w:hyperlink>
      <w:r w:rsidRPr="002439A5">
        <w:t>, Date Accessed: 6/26/17 – KSA)</w:t>
      </w:r>
    </w:p>
    <w:p w:rsidR="00C47278" w:rsidRPr="00AA0D15" w:rsidRDefault="00C47278" w:rsidP="00C47278">
      <w:r w:rsidRPr="00AA0D15">
        <w:t xml:space="preserve">Obviously, </w:t>
      </w:r>
      <w:r w:rsidRPr="00AA0D15">
        <w:rPr>
          <w:rStyle w:val="StyleUnderline"/>
        </w:rPr>
        <w:t>the</w:t>
      </w:r>
      <w:r w:rsidRPr="00AA0D15">
        <w:t xml:space="preserve"> foremost </w:t>
      </w:r>
      <w:r w:rsidRPr="00AA0D15">
        <w:rPr>
          <w:rStyle w:val="StyleUnderline"/>
        </w:rPr>
        <w:t>victims of anti-trans bathroom laws are trans people</w:t>
      </w:r>
      <w:r w:rsidRPr="00AA0D15">
        <w:t>. Forcing trans people to use the bathroom that doesn’t align with their gender identity acts as a reminder that, as far as society has come on some LGBTQ issues, it’s still not completely willing to accept trans people and their identities — even if trans people pose no danger to anyone else.</w:t>
      </w:r>
    </w:p>
    <w:p w:rsidR="00C47278" w:rsidRPr="00AA0D15" w:rsidRDefault="00C47278" w:rsidP="00C47278"/>
    <w:p w:rsidR="00C47278" w:rsidRPr="00AA0D15" w:rsidRDefault="00C47278" w:rsidP="00C47278">
      <w:r w:rsidRPr="00AA0D15">
        <w:t xml:space="preserve">Under these measures, </w:t>
      </w:r>
      <w:r w:rsidRPr="00AA0D15">
        <w:rPr>
          <w:rStyle w:val="StyleUnderline"/>
        </w:rPr>
        <w:t>trans people also have to constantly fear</w:t>
      </w:r>
      <w:r w:rsidRPr="00AA0D15">
        <w:t xml:space="preserve"> </w:t>
      </w:r>
      <w:r w:rsidRPr="00AA0D15">
        <w:rPr>
          <w:rStyle w:val="StyleUnderline"/>
        </w:rPr>
        <w:t>using the bathroom that corresponds with their gender identity.</w:t>
      </w:r>
      <w:r w:rsidRPr="00AA0D15">
        <w:t xml:space="preserve"> As Lily Carollo wrote for Vox, “From now until the law is repealed or settled in court, or until my birth certificate is amended, I will keep breaking the law. I’m not the only one. I will be an anxious mess every time I use the bathroom, but I don’t see any option. It’s all I can do, really. I am a woman.”</w:t>
      </w:r>
    </w:p>
    <w:p w:rsidR="00C47278" w:rsidRPr="00AA0D15" w:rsidRDefault="00C47278" w:rsidP="00C47278"/>
    <w:p w:rsidR="00C47278" w:rsidRPr="00AA0D15" w:rsidRDefault="00C47278" w:rsidP="00C47278">
      <w:pPr>
        <w:rPr>
          <w:rStyle w:val="StyleUnderline"/>
        </w:rPr>
      </w:pPr>
      <w:r w:rsidRPr="00AA0D15">
        <w:t xml:space="preserve">But these </w:t>
      </w:r>
      <w:r w:rsidRPr="00AA0D15">
        <w:rPr>
          <w:rStyle w:val="StyleUnderline"/>
        </w:rPr>
        <w:t>measures have also proven to be bad in another way: They can cost jobs.</w:t>
      </w:r>
    </w:p>
    <w:p w:rsidR="00C47278" w:rsidRPr="00AA0D15" w:rsidRDefault="00C47278" w:rsidP="00C47278"/>
    <w:p w:rsidR="00C47278" w:rsidRPr="00AA0D15" w:rsidRDefault="00C47278" w:rsidP="00C47278">
      <w:pPr>
        <w:rPr>
          <w:rStyle w:val="StyleUnderline"/>
        </w:rPr>
      </w:pPr>
      <w:r w:rsidRPr="00AA0D15">
        <w:rPr>
          <w:rStyle w:val="StyleUnderline"/>
        </w:rPr>
        <w:t>After North Carolina passed its anti-LGBTQ law, PayPal and Deutsche Bank pulled expansions into the state that would have created hundreds of jobs. The NBA and NCAA pulled sports events from</w:t>
      </w:r>
      <w:r w:rsidRPr="00AA0D15">
        <w:t xml:space="preserve"> the state. Several musicians, such as Bruce Springsteen and Pearl Jam, canceled concerts in the state. </w:t>
      </w:r>
      <w:r w:rsidRPr="00AA0D15">
        <w:rPr>
          <w:rStyle w:val="StyleUnderline"/>
        </w:rPr>
        <w:t>A+E Networks and 21st Century Fox said they would reconsider using North Carolina as a filming location</w:t>
      </w:r>
      <w:r w:rsidRPr="00AA0D15">
        <w:t xml:space="preserve"> in the future. And </w:t>
      </w:r>
      <w:r w:rsidRPr="00AA0D15">
        <w:rPr>
          <w:rStyle w:val="StyleUnderline"/>
        </w:rPr>
        <w:t>more than 200 business leaders signed a letter asking Gov. McCrory to repeal the law.</w:t>
      </w:r>
    </w:p>
    <w:p w:rsidR="00C47278" w:rsidRPr="00AA0D15" w:rsidRDefault="00C47278" w:rsidP="00C47278"/>
    <w:p w:rsidR="00C47278" w:rsidRPr="00AA0D15" w:rsidRDefault="00C47278" w:rsidP="00C47278">
      <w:pPr>
        <w:rPr>
          <w:rStyle w:val="StyleUnderline"/>
        </w:rPr>
      </w:pPr>
      <w:r w:rsidRPr="00AA0D15">
        <w:rPr>
          <w:rStyle w:val="StyleUnderline"/>
        </w:rPr>
        <w:t>Texas business groups</w:t>
      </w:r>
      <w:r w:rsidRPr="00AA0D15">
        <w:t xml:space="preserve">, meanwhile, have </w:t>
      </w:r>
      <w:r w:rsidRPr="00AA0D15">
        <w:rPr>
          <w:rStyle w:val="StyleUnderline"/>
        </w:rPr>
        <w:t>already lined up against SB6,</w:t>
      </w:r>
      <w:r w:rsidRPr="00AA0D15">
        <w:t xml:space="preserve"> with </w:t>
      </w:r>
      <w:r w:rsidRPr="00AA0D15">
        <w:rPr>
          <w:rStyle w:val="StyleUnderline"/>
        </w:rPr>
        <w:t>the Texas Association of Business taking a public stance against the bill.</w:t>
      </w:r>
    </w:p>
    <w:p w:rsidR="00C47278" w:rsidRPr="00AA0D15" w:rsidRDefault="00C47278" w:rsidP="00C47278"/>
    <w:p w:rsidR="00C47278" w:rsidRPr="00AA0D15" w:rsidRDefault="00C47278" w:rsidP="00C47278">
      <w:pPr>
        <w:rPr>
          <w:rStyle w:val="StyleUnderline"/>
        </w:rPr>
      </w:pPr>
      <w:r w:rsidRPr="00AA0D15">
        <w:t xml:space="preserve">Businesses </w:t>
      </w:r>
      <w:r w:rsidRPr="00AA0D15">
        <w:rPr>
          <w:rStyle w:val="StyleUnderline"/>
        </w:rPr>
        <w:t>have a financial incentive to act this way</w:t>
      </w:r>
      <w:r w:rsidRPr="00AA0D15">
        <w:t xml:space="preserve">: </w:t>
      </w:r>
      <w:r w:rsidRPr="00AA0D15">
        <w:rPr>
          <w:rStyle w:val="StyleUnderline"/>
        </w:rPr>
        <w:t>A major goal of theirs is to attract new talent. But young hires are also more likely to be more supportive of pro-LGBTQ causes, including trans people in bathrooms, and some of them may be LGBTQ</w:t>
      </w:r>
      <w:r w:rsidRPr="00AA0D15">
        <w:t xml:space="preserve"> themselves. So appearing supportive of LGBTQ rights can be one way that a company shows </w:t>
      </w:r>
      <w:r w:rsidRPr="00AA0D15">
        <w:rPr>
          <w:rStyle w:val="StyleUnderline"/>
        </w:rPr>
        <w:t>it shares the values of the up-and-coming workforce.</w:t>
      </w:r>
    </w:p>
    <w:p w:rsidR="00C47278" w:rsidRPr="00AA0D15" w:rsidRDefault="00C47278" w:rsidP="00C47278"/>
    <w:p w:rsidR="00C47278" w:rsidRPr="00AA0D15" w:rsidRDefault="00C47278" w:rsidP="00C47278">
      <w:pPr>
        <w:rPr>
          <w:rStyle w:val="StyleUnderline"/>
        </w:rPr>
      </w:pPr>
      <w:r w:rsidRPr="00AA0D15">
        <w:t xml:space="preserve">Whatever the reason, </w:t>
      </w:r>
      <w:r w:rsidRPr="00AA0D15">
        <w:rPr>
          <w:rStyle w:val="StyleUnderline"/>
        </w:rPr>
        <w:t>businesses’ resistance to anti-LGBTQ laws is enough to make any lawmaker reconsider whether to pass these bathroom measures.</w:t>
      </w:r>
    </w:p>
    <w:p w:rsidR="00C47278" w:rsidRPr="00AA0D15" w:rsidRDefault="00C47278" w:rsidP="00C47278"/>
    <w:p w:rsidR="00C47278" w:rsidRPr="00AA0D15" w:rsidRDefault="00C47278" w:rsidP="00C47278">
      <w:pPr>
        <w:rPr>
          <w:rStyle w:val="StyleUnderline"/>
        </w:rPr>
      </w:pPr>
      <w:r w:rsidRPr="00AA0D15">
        <w:t>“</w:t>
      </w:r>
      <w:r w:rsidRPr="00AA0D15">
        <w:rPr>
          <w:rStyle w:val="StyleUnderline"/>
        </w:rPr>
        <w:t>Whether you’re a Democratic governor or a Republican governor, virtually without exception, goal No. 1 is to keep jobs in your state and to attract new jobs</w:t>
      </w:r>
      <w:r w:rsidRPr="00AA0D15">
        <w:t xml:space="preserve"> that you don’t currently have,” Chad Griffin, president of the LGBTQ rights group HRC, previously told me. “That is </w:t>
      </w:r>
      <w:r w:rsidRPr="00AA0D15">
        <w:rPr>
          <w:rStyle w:val="StyleUnderline"/>
        </w:rPr>
        <w:t>one thing that is shared between conservative governors, liberal governors, moderate governors.”</w:t>
      </w:r>
    </w:p>
    <w:p w:rsidR="00C47278" w:rsidRPr="00AA0D15" w:rsidRDefault="00C47278" w:rsidP="00C47278"/>
    <w:p w:rsidR="00C47278" w:rsidRPr="00AA0D15" w:rsidRDefault="00C47278" w:rsidP="00C47278">
      <w:r w:rsidRPr="00AA0D15">
        <w:t xml:space="preserve">The efforts seemed to work to some extent: Surveys show public opinion in North Carolina is now against </w:t>
      </w:r>
      <w:r w:rsidRPr="00AA0D15">
        <w:rPr>
          <w:rStyle w:val="StyleUnderline"/>
        </w:rPr>
        <w:t>the state’s anti-LGBTQ law, and opposition to the measure contributed to Gov. McCrory’s electoral defeat</w:t>
      </w:r>
      <w:r w:rsidRPr="00AA0D15">
        <w:t>. Still, the law remains in place as the state’s Republican-controlled legislature continues to refuse to repeal it. And all the backlash to North Carolina’s law didn’t seem to stop Texas from now pushing its own measure.</w:t>
      </w:r>
    </w:p>
    <w:p w:rsidR="00C47278" w:rsidRPr="00AA0D15" w:rsidRDefault="00C47278" w:rsidP="00C47278">
      <w:pPr>
        <w:pStyle w:val="Heading3"/>
        <w:rPr>
          <w:rFonts w:cs="Times New Roman"/>
        </w:rPr>
      </w:pPr>
      <w:r w:rsidRPr="00AA0D15">
        <w:rPr>
          <w:rFonts w:cs="Times New Roman"/>
        </w:rPr>
        <w:t>at other states key</w:t>
      </w:r>
    </w:p>
    <w:p w:rsidR="00C47278" w:rsidRPr="00AA0D15" w:rsidRDefault="00C47278" w:rsidP="00C47278">
      <w:pPr>
        <w:pStyle w:val="Heading4"/>
        <w:rPr>
          <w:rFonts w:cs="Times New Roman"/>
        </w:rPr>
      </w:pPr>
      <w:r w:rsidRPr="00AA0D15">
        <w:rPr>
          <w:rFonts w:cs="Times New Roman"/>
        </w:rPr>
        <w:t>Other states already have protections</w:t>
      </w:r>
    </w:p>
    <w:p w:rsidR="00C47278" w:rsidRPr="00AA0D15" w:rsidRDefault="00C47278" w:rsidP="00C47278">
      <w:pPr>
        <w:rPr>
          <w:rStyle w:val="Style13ptBold"/>
        </w:rPr>
      </w:pPr>
      <w:r w:rsidRPr="00AA0D15">
        <w:rPr>
          <w:rStyle w:val="Style13ptBold"/>
        </w:rPr>
        <w:t>Pearson 8/23/16</w:t>
      </w:r>
    </w:p>
    <w:p w:rsidR="00C47278" w:rsidRPr="002439A5" w:rsidRDefault="00C47278" w:rsidP="002439A5">
      <w:r w:rsidRPr="002439A5">
        <w:t>(Michael, Senior Communications Specialist for Karna LLC, previously freelance news editor for CNN, Owner and Chief Storyteller at Instory, and Reporter at the Atlanta Journal-Constitution, Graphic Design Certificate from Emory University, BA in political science from the University of Missouri – Saint Louis,  “LGBT Rights: The National Battle of the Bathroom,”  http://www.cnn.com/2016/08/23/us/transgender-bathroom-policies/index.html, Date Accessed: 6/25/17 - KSA)</w:t>
      </w:r>
    </w:p>
    <w:p w:rsidR="00C47278" w:rsidRPr="00AA0D15" w:rsidRDefault="00C47278" w:rsidP="00C47278">
      <w:r w:rsidRPr="00AA0D15">
        <w:rPr>
          <w:rStyle w:val="StyleUnderline"/>
        </w:rPr>
        <w:t>18 states, Washington, D.C. ban discrimination in public accommodations</w:t>
      </w:r>
      <w:r w:rsidRPr="00AA0D15">
        <w:t xml:space="preserve"> based on gender identity</w:t>
      </w:r>
    </w:p>
    <w:p w:rsidR="00C47278" w:rsidRPr="00AA0D15" w:rsidRDefault="00C47278" w:rsidP="00C47278">
      <w:r w:rsidRPr="00AA0D15">
        <w:rPr>
          <w:rStyle w:val="StyleUnderline"/>
        </w:rPr>
        <w:t>California</w:t>
      </w:r>
      <w:r w:rsidRPr="00AA0D15">
        <w:t xml:space="preserve"> -- A 2011 state law allows transgender individuals their choice of restrooms. A proposal to make all single-user bathrooms gender neutral (AB 1732) has passed the state assembly and is pending in the state senate.</w:t>
      </w:r>
    </w:p>
    <w:p w:rsidR="00C47278" w:rsidRPr="00AA0D15" w:rsidRDefault="00C47278" w:rsidP="00C47278">
      <w:r w:rsidRPr="00AA0D15">
        <w:rPr>
          <w:rStyle w:val="StyleUnderline"/>
        </w:rPr>
        <w:t>Colorado</w:t>
      </w:r>
      <w:r w:rsidRPr="00AA0D15">
        <w:t xml:space="preserve"> -- Under a 2008 state law, all public accommodations must "allow individuals the use of gender-segregated facilities that are consistent with their gender identity."</w:t>
      </w:r>
    </w:p>
    <w:p w:rsidR="00C47278" w:rsidRPr="00AA0D15" w:rsidRDefault="00C47278" w:rsidP="00C47278">
      <w:r w:rsidRPr="00AA0D15">
        <w:rPr>
          <w:rStyle w:val="StyleUnderline"/>
        </w:rPr>
        <w:t>Connecticut</w:t>
      </w:r>
      <w:r w:rsidRPr="00AA0D15">
        <w:t xml:space="preserve"> -- A 2011 law prohibits discrimination based on transgender status. It does not explicitly discuss bathroom choice, but advocates say they believe it covers the issue.</w:t>
      </w:r>
    </w:p>
    <w:p w:rsidR="00C47278" w:rsidRPr="00AA0D15" w:rsidRDefault="00C47278" w:rsidP="00C47278">
      <w:r w:rsidRPr="00AA0D15">
        <w:rPr>
          <w:rStyle w:val="StyleUnderline"/>
        </w:rPr>
        <w:t>Delaware</w:t>
      </w:r>
      <w:r w:rsidRPr="00AA0D15">
        <w:t xml:space="preserve"> -- A 2013 law bans discrimination against transgender individuals in public accommodations.</w:t>
      </w:r>
    </w:p>
    <w:p w:rsidR="00C47278" w:rsidRPr="00AA0D15" w:rsidRDefault="00C47278" w:rsidP="00C47278">
      <w:r w:rsidRPr="00AA0D15">
        <w:rPr>
          <w:rStyle w:val="StyleUnderline"/>
        </w:rPr>
        <w:t>Hawaii</w:t>
      </w:r>
      <w:r w:rsidRPr="00AA0D15">
        <w:t xml:space="preserve"> -- In 2006, the state added gender identity to its laws banning discrimination in public accommodations. Since then, state law has given transgender people the right to use restrooms that correspond to the person's gender identity.</w:t>
      </w:r>
    </w:p>
    <w:p w:rsidR="00C47278" w:rsidRPr="00AA0D15" w:rsidRDefault="00C47278" w:rsidP="00C47278">
      <w:r w:rsidRPr="00AA0D15">
        <w:rPr>
          <w:rStyle w:val="StyleUnderline"/>
        </w:rPr>
        <w:t>Illinois</w:t>
      </w:r>
      <w:r w:rsidRPr="00AA0D15">
        <w:t xml:space="preserve"> -- The Illinois Human Rights Act allows bathroom use consistent with gender identity.</w:t>
      </w:r>
    </w:p>
    <w:p w:rsidR="00C47278" w:rsidRPr="00AA0D15" w:rsidRDefault="00C47278" w:rsidP="00C47278">
      <w:r w:rsidRPr="00AA0D15">
        <w:rPr>
          <w:rStyle w:val="StyleUnderline"/>
        </w:rPr>
        <w:t>Iowa</w:t>
      </w:r>
      <w:r w:rsidRPr="00AA0D15">
        <w:t xml:space="preserve"> -- The Iowa Civil Rights Act has prohibited discrimination in public accommodations, including restrooms, since 2007.</w:t>
      </w:r>
    </w:p>
    <w:p w:rsidR="00C47278" w:rsidRPr="00AA0D15" w:rsidRDefault="00C47278" w:rsidP="00C47278">
      <w:r w:rsidRPr="00AA0D15">
        <w:rPr>
          <w:rStyle w:val="StyleUnderline"/>
        </w:rPr>
        <w:t>Maine</w:t>
      </w:r>
      <w:r w:rsidRPr="00AA0D15">
        <w:t xml:space="preserve"> -- Under a 2005 law ratified by voters later that year, discrimination against transgender individuals in public accommodations is prohibited.</w:t>
      </w:r>
    </w:p>
    <w:p w:rsidR="00C47278" w:rsidRPr="00AA0D15" w:rsidRDefault="00C47278" w:rsidP="00C47278">
      <w:r w:rsidRPr="00AA0D15">
        <w:rPr>
          <w:rStyle w:val="StyleUnderline"/>
        </w:rPr>
        <w:t>Maryland</w:t>
      </w:r>
      <w:r w:rsidRPr="00AA0D15">
        <w:t xml:space="preserve"> -- The Fairness for All Marylanders Act of 2014 prohibits discrimination on the basis of gender identity in public accommodations.</w:t>
      </w:r>
    </w:p>
    <w:p w:rsidR="00C47278" w:rsidRPr="00AA0D15" w:rsidRDefault="00C47278" w:rsidP="00C47278">
      <w:r w:rsidRPr="00AA0D15">
        <w:rPr>
          <w:rStyle w:val="StyleUnderline"/>
        </w:rPr>
        <w:t>Massachusetts</w:t>
      </w:r>
      <w:r w:rsidRPr="00AA0D15">
        <w:t xml:space="preserve"> -- An anti-discrimination law passed in July and signed by the governor gives transgender people the right to use public restrooms and locker rooms consistent with their gender identities, regardless of their sex at birth.</w:t>
      </w:r>
    </w:p>
    <w:p w:rsidR="00C47278" w:rsidRPr="00AA0D15" w:rsidRDefault="00C47278" w:rsidP="00C47278">
      <w:r w:rsidRPr="00AA0D15">
        <w:rPr>
          <w:rStyle w:val="StyleUnderline"/>
        </w:rPr>
        <w:t>Minnesota</w:t>
      </w:r>
      <w:r w:rsidRPr="00AA0D15">
        <w:t xml:space="preserve"> -- The Minnesota legislature passed a bill in 1993 outlawing discrimination in public accommodations on the basis of sexual orientation, which the law defines as including "having or being perceived as having a self-image or identity not traditionally associated with one's biological maleness or femaleness."</w:t>
      </w:r>
    </w:p>
    <w:p w:rsidR="00C47278" w:rsidRPr="00AA0D15" w:rsidRDefault="00C47278" w:rsidP="00C47278">
      <w:r w:rsidRPr="00AA0D15">
        <w:rPr>
          <w:rStyle w:val="StyleUnderline"/>
        </w:rPr>
        <w:t>Nevada</w:t>
      </w:r>
      <w:r w:rsidRPr="00AA0D15">
        <w:t xml:space="preserve"> -- The state legislature amended Nevada's anti-discrimination law in 2011 to prohibit discrimination in public accommodations based on gender identity.</w:t>
      </w:r>
    </w:p>
    <w:p w:rsidR="00C47278" w:rsidRPr="00AA0D15" w:rsidRDefault="00C47278" w:rsidP="00C47278">
      <w:r w:rsidRPr="00AA0D15">
        <w:rPr>
          <w:rStyle w:val="StyleUnderline"/>
        </w:rPr>
        <w:t>New Jersey</w:t>
      </w:r>
      <w:r w:rsidRPr="00AA0D15">
        <w:t xml:space="preserve"> -- A 2006 state law bans discrimination in public accommodations based on gender identity or expression, but there is some confusion as to whether the law applies to restroom access.</w:t>
      </w:r>
    </w:p>
    <w:p w:rsidR="00C47278" w:rsidRPr="00AA0D15" w:rsidRDefault="00C47278" w:rsidP="00C47278">
      <w:r w:rsidRPr="00AA0D15">
        <w:rPr>
          <w:rStyle w:val="StyleUnderline"/>
        </w:rPr>
        <w:t>New Mexico</w:t>
      </w:r>
      <w:r w:rsidRPr="00AA0D15">
        <w:t xml:space="preserve"> -- New Mexico lawmakers amended the state's Human Rights Act in 2003 to ban discrimination in public accommodations based on gender identity.</w:t>
      </w:r>
    </w:p>
    <w:p w:rsidR="00C47278" w:rsidRPr="00AA0D15" w:rsidRDefault="00C47278" w:rsidP="00C47278">
      <w:r w:rsidRPr="00AA0D15">
        <w:rPr>
          <w:rStyle w:val="StyleUnderline"/>
        </w:rPr>
        <w:t>Oregon</w:t>
      </w:r>
      <w:r w:rsidRPr="00AA0D15">
        <w:t xml:space="preserve"> -- The Oregon Equality Act, enacted in 2007, prohibits gender identity discrimination in public accommodations.</w:t>
      </w:r>
    </w:p>
    <w:p w:rsidR="00C47278" w:rsidRPr="00AA0D15" w:rsidRDefault="00C47278" w:rsidP="00C47278">
      <w:r w:rsidRPr="00AA0D15">
        <w:rPr>
          <w:rStyle w:val="StyleUnderline"/>
        </w:rPr>
        <w:t>Rhode Island</w:t>
      </w:r>
      <w:r w:rsidRPr="00AA0D15">
        <w:t xml:space="preserve"> -- The state amended its anti-discrimination statutes in 2001 to prohibit discrimination in public accommodations based on gender identity.</w:t>
      </w:r>
    </w:p>
    <w:p w:rsidR="00C47278" w:rsidRPr="00AA0D15" w:rsidRDefault="00C47278" w:rsidP="00C47278">
      <w:r w:rsidRPr="00AA0D15">
        <w:rPr>
          <w:rStyle w:val="StyleUnderline"/>
        </w:rPr>
        <w:t xml:space="preserve">Vermont </w:t>
      </w:r>
      <w:r w:rsidRPr="00AA0D15">
        <w:t>-- The state Human Rights Commission interprets Vermont law to require that "an individual be permitted to access restrooms in accordance with his/her gender identity, rather than his/her assigned sex at birth."</w:t>
      </w:r>
    </w:p>
    <w:p w:rsidR="00C47278" w:rsidRPr="00AA0D15" w:rsidRDefault="00C47278" w:rsidP="00C47278">
      <w:r w:rsidRPr="00AA0D15">
        <w:rPr>
          <w:rStyle w:val="StyleUnderline"/>
        </w:rPr>
        <w:t>Washington</w:t>
      </w:r>
      <w:r w:rsidRPr="00AA0D15">
        <w:t xml:space="preserve"> -- In 2006, the Washington Law Against Discrimination was amended to include protections for transgender people against discrimination in public accommodations.</w:t>
      </w:r>
    </w:p>
    <w:p w:rsidR="00C47278" w:rsidRPr="00AA0D15" w:rsidRDefault="00C47278" w:rsidP="00C47278">
      <w:r w:rsidRPr="00AA0D15">
        <w:rPr>
          <w:rStyle w:val="StyleUnderline"/>
        </w:rPr>
        <w:t>Washington, D.C.</w:t>
      </w:r>
      <w:r w:rsidRPr="00AA0D15">
        <w:t xml:space="preserve"> -- The city's Human Rights Act gives transgender people the right to use the bathroom of their choice. D.C. law also requires that single-stall bathrooms must be gender neutral.</w:t>
      </w:r>
    </w:p>
    <w:p w:rsidR="00C47278" w:rsidRPr="00AA0D15" w:rsidRDefault="00C47278" w:rsidP="00C47278">
      <w:r w:rsidRPr="00AA0D15">
        <w:t>Numerous cities also have passed legislation or policies prohibiting discrimination in public accommodations on the basis of gender identity. They include:</w:t>
      </w:r>
    </w:p>
    <w:p w:rsidR="00C47278" w:rsidRPr="00AA0D15" w:rsidRDefault="00C47278" w:rsidP="00C47278">
      <w:r w:rsidRPr="00AA0D15">
        <w:t>Albany, New York; Atlanta; Austin, Texas; Binghamton, New York; Boise, Idaho; Buffalo, New York; Cincinnati; Dallas; El Paso, Texas; Indianapolis; Ithica, New York; Kansas City, Missouri; Louisville, Kentucky; Milwaukee; New Orleans; New York City, Philadelphia; Phoenix; Pittsburgh; Rochester, New York; San Antonio; San Francisco; and West Hollywood, California.</w:t>
      </w:r>
    </w:p>
    <w:p w:rsidR="00C47278" w:rsidRPr="00AA0D15" w:rsidRDefault="00C47278" w:rsidP="00C47278"/>
    <w:p w:rsidR="00C47278" w:rsidRPr="00AA0D15" w:rsidRDefault="00C47278" w:rsidP="00C47278">
      <w:pPr>
        <w:pStyle w:val="Heading2"/>
        <w:rPr>
          <w:rFonts w:cs="Times New Roman"/>
        </w:rPr>
      </w:pPr>
      <w:r w:rsidRPr="00AA0D15">
        <w:rPr>
          <w:rFonts w:cs="Times New Roman"/>
        </w:rPr>
        <w:t>VACCINES</w:t>
      </w:r>
    </w:p>
    <w:p w:rsidR="00C47278" w:rsidRPr="00AA0D15" w:rsidRDefault="00C47278" w:rsidP="00C47278">
      <w:pPr>
        <w:pStyle w:val="Heading3"/>
        <w:rPr>
          <w:rFonts w:cs="Times New Roman"/>
        </w:rPr>
      </w:pPr>
      <w:r w:rsidRPr="00AA0D15">
        <w:rPr>
          <w:rFonts w:cs="Times New Roman"/>
        </w:rPr>
        <w:t>Solvency</w:t>
      </w:r>
    </w:p>
    <w:p w:rsidR="00C47278" w:rsidRPr="00AA0D15" w:rsidRDefault="00C47278" w:rsidP="00C47278">
      <w:pPr>
        <w:pStyle w:val="Heading4"/>
        <w:rPr>
          <w:rFonts w:cs="Times New Roman"/>
        </w:rPr>
      </w:pPr>
      <w:r w:rsidRPr="00AA0D15">
        <w:rPr>
          <w:rFonts w:cs="Times New Roman"/>
        </w:rPr>
        <w:t>Counterplan solves – Vaccinations are a state responsibility</w:t>
      </w:r>
    </w:p>
    <w:p w:rsidR="00C47278" w:rsidRPr="00AA0D15" w:rsidRDefault="00C47278" w:rsidP="00C47278">
      <w:r w:rsidRPr="00AA0D15">
        <w:rPr>
          <w:rStyle w:val="Style13ptBold"/>
        </w:rPr>
        <w:t>Grady 15</w:t>
      </w:r>
      <w:r w:rsidRPr="00AA0D15">
        <w:t xml:space="preserve"> (Denise Grady, reporter in the science news department of The New York Times since September 1998, and has also worked as a health editor there, 2-16-2015, "</w:t>
      </w:r>
      <w:r w:rsidRPr="00AA0D15">
        <w:rPr>
          <w:rStyle w:val="Emphasis"/>
        </w:rPr>
        <w:t>Vaccinations Are States’ Call</w:t>
      </w:r>
      <w:r w:rsidRPr="00AA0D15">
        <w:rPr>
          <w:rStyle w:val="StyleUnderline"/>
          <w:u w:val="none"/>
        </w:rPr>
        <w:t>,"</w:t>
      </w:r>
      <w:r w:rsidRPr="00AA0D15">
        <w:t xml:space="preserve"> New York Times, https://www.nytimes.com/2015/02/17/health/vaccinations-are-states-call.html, Accessed: 6-29-2017 /Kent Denver-NK)</w:t>
      </w:r>
    </w:p>
    <w:p w:rsidR="00C47278" w:rsidRPr="00AA0D15" w:rsidRDefault="00C47278" w:rsidP="00C47278">
      <w:pPr>
        <w:rPr>
          <w:u w:val="single"/>
        </w:rPr>
      </w:pPr>
      <w:r w:rsidRPr="00AA0D15">
        <w:t xml:space="preserve">Can the government go further? </w:t>
      </w:r>
      <w:r w:rsidRPr="00AA0D15">
        <w:rPr>
          <w:rStyle w:val="StyleUnderline"/>
        </w:rPr>
        <w:t xml:space="preserve">Can officials require that citizens receive vaccines? The answer, legal experts say, is yes. The authority to require vaccination </w:t>
      </w:r>
      <w:r w:rsidRPr="00AA0D15">
        <w:rPr>
          <w:rStyle w:val="Emphasis"/>
        </w:rPr>
        <w:t>belongs to the states</w:t>
      </w:r>
      <w:r w:rsidRPr="00AA0D15">
        <w:rPr>
          <w:rStyle w:val="StyleUnderline"/>
        </w:rPr>
        <w:t>. “Each individual state really has complete power,</w:t>
      </w:r>
      <w:r w:rsidRPr="00AA0D15">
        <w:t>” Mr. Gostin said.</w:t>
      </w:r>
      <w:r w:rsidR="002439A5">
        <w:t xml:space="preserve"> </w:t>
      </w:r>
      <w:r w:rsidRPr="00AA0D15">
        <w:rPr>
          <w:rStyle w:val="StyleUnderline"/>
        </w:rPr>
        <w:t xml:space="preserve">There is a common </w:t>
      </w:r>
      <w:r w:rsidRPr="00AA0D15">
        <w:rPr>
          <w:rStyle w:val="Emphasis"/>
        </w:rPr>
        <w:t>misconception that the federal government</w:t>
      </w:r>
      <w:r w:rsidRPr="00AA0D15">
        <w:rPr>
          <w:rStyle w:val="StyleUnderline"/>
        </w:rPr>
        <w:t xml:space="preserve"> controls vaccination</w:t>
      </w:r>
      <w:r w:rsidRPr="00AA0D15">
        <w:t xml:space="preserve">, he added. </w:t>
      </w:r>
      <w:r w:rsidRPr="00AA0D15">
        <w:rPr>
          <w:rStyle w:val="StyleUnderline"/>
        </w:rPr>
        <w:t>But federal authority applies only with matters of national concern,</w:t>
      </w:r>
      <w:r w:rsidRPr="00AA0D15">
        <w:t xml:space="preserve"> such as border crossings or immigration.</w:t>
      </w:r>
      <w:r w:rsidR="002439A5">
        <w:t xml:space="preserve"> </w:t>
      </w:r>
      <w:r w:rsidRPr="00AA0D15">
        <w:rPr>
          <w:rStyle w:val="StyleUnderline"/>
        </w:rPr>
        <w:t>States generally follow recommendations made by the Centers for Disease Control and Prevention.</w:t>
      </w:r>
      <w:r w:rsidR="002439A5">
        <w:rPr>
          <w:rStyle w:val="StyleUnderline"/>
        </w:rPr>
        <w:t xml:space="preserve"> </w:t>
      </w:r>
      <w:r w:rsidRPr="00AA0D15">
        <w:rPr>
          <w:rStyle w:val="StyleUnderline"/>
        </w:rPr>
        <w:t xml:space="preserve">All 50 states require that children receive a </w:t>
      </w:r>
      <w:r w:rsidRPr="00AA0D15">
        <w:rPr>
          <w:rStyle w:val="Emphasis"/>
        </w:rPr>
        <w:t>certain schedule of vaccinations before they start preschool or school</w:t>
      </w:r>
      <w:r w:rsidRPr="00AA0D15">
        <w:rPr>
          <w:rStyle w:val="StyleUnderline"/>
        </w:rPr>
        <w:t xml:space="preserve"> unless the child has a medical condition — like an immune disorder or cancer — that would make vaccination risky.</w:t>
      </w:r>
      <w:r w:rsidR="002439A5">
        <w:rPr>
          <w:rStyle w:val="StyleUnderline"/>
        </w:rPr>
        <w:t xml:space="preserve"> </w:t>
      </w:r>
      <w:r w:rsidRPr="00AA0D15">
        <w:t xml:space="preserve">This type of legal requirement is indirect: </w:t>
      </w:r>
      <w:r w:rsidRPr="00AA0D15">
        <w:rPr>
          <w:rStyle w:val="StyleUnderline"/>
        </w:rPr>
        <w:t xml:space="preserve">It does not compel vaccination but </w:t>
      </w:r>
      <w:r w:rsidRPr="00AA0D15">
        <w:rPr>
          <w:rStyle w:val="Emphasis"/>
        </w:rPr>
        <w:t>makes it condition for entering school</w:t>
      </w:r>
      <w:r w:rsidRPr="00AA0D15">
        <w:t xml:space="preserve">. In theory, Mr. Gostin said, </w:t>
      </w:r>
      <w:r w:rsidRPr="00AA0D15">
        <w:rPr>
          <w:rStyle w:val="StyleUnderline"/>
        </w:rPr>
        <w:t>states could require vaccination itself.</w:t>
      </w:r>
    </w:p>
    <w:p w:rsidR="00C47278" w:rsidRPr="00AA0D15" w:rsidRDefault="00C47278" w:rsidP="00C47278">
      <w:pPr>
        <w:pStyle w:val="Heading4"/>
        <w:rPr>
          <w:rFonts w:cs="Times New Roman"/>
        </w:rPr>
      </w:pPr>
      <w:r w:rsidRPr="00AA0D15">
        <w:rPr>
          <w:rFonts w:cs="Times New Roman"/>
        </w:rPr>
        <w:t>States are the primary actor in vaccine legislation – specifically for schools</w:t>
      </w:r>
    </w:p>
    <w:p w:rsidR="00C47278" w:rsidRPr="00AA0D15" w:rsidRDefault="00C47278" w:rsidP="00C47278">
      <w:r w:rsidRPr="00AA0D15">
        <w:rPr>
          <w:rStyle w:val="Style13ptBold"/>
        </w:rPr>
        <w:t>Calandrillo 5</w:t>
      </w:r>
      <w:r w:rsidRPr="00AA0D15">
        <w:t xml:space="preserve"> (Steve P. Calandrillo, Calandrillo, professor at the University of Washington, named Charles I. Stone Professor of Law in 2009, and Jeffrey &amp; Susan Brotman Professor in 2015. clerked for Judge Alfred Goodwin on the Ninth, graduated magna cum laude from Harvard Law School, 2005, "Vanishing Vaccinations: Why Are So Many Americans Opting Out of Vaccinating Their Children?,"  University of Michigan Journal of Law Reform, http://law.bepress.com/cgi/viewcontent.cgi?article=1507&amp;amp;context=alea, Accessed: 6-26-2017 /Kent Denver-NK)</w:t>
      </w:r>
    </w:p>
    <w:p w:rsidR="00C47278" w:rsidRPr="00AA0D15" w:rsidRDefault="00C47278" w:rsidP="00C47278">
      <w:r w:rsidRPr="00AA0D15">
        <w:rPr>
          <w:rStyle w:val="StyleUnderline"/>
        </w:rPr>
        <w:t xml:space="preserve">Because of the health and welfare benefits made possible by vaccines, </w:t>
      </w:r>
      <w:r w:rsidRPr="00AA0D15">
        <w:t xml:space="preserve">all fifty states have enacted compulsory vaccination laws [FN199] *382 -- though </w:t>
      </w:r>
      <w:r w:rsidRPr="00AA0D15">
        <w:rPr>
          <w:rStyle w:val="StyleUnderline"/>
        </w:rPr>
        <w:t>48 allow religious exemptions and over a dozen provide philosophical opt-outs</w:t>
      </w:r>
      <w:r w:rsidRPr="00AA0D15">
        <w:t xml:space="preserve">. </w:t>
      </w:r>
      <w:r w:rsidRPr="00AA0D15">
        <w:rPr>
          <w:rStyle w:val="StyleUnderline"/>
        </w:rPr>
        <w:t>The first strides in the enactment of American vaccination laws</w:t>
      </w:r>
      <w:r w:rsidRPr="00AA0D15">
        <w:t xml:space="preserve"> were taken in the early 1800s. </w:t>
      </w:r>
      <w:r w:rsidRPr="00AA0D15">
        <w:rPr>
          <w:rStyle w:val="StyleUnderline"/>
        </w:rPr>
        <w:t>Massachusetts was the first state to proactively promote the use of immunizations in the war against smallpox</w:t>
      </w:r>
      <w:r w:rsidRPr="00AA0D15">
        <w:t xml:space="preserve">. [FN200] </w:t>
      </w:r>
      <w:r w:rsidRPr="00AA0D15">
        <w:rPr>
          <w:rStyle w:val="StyleUnderline"/>
        </w:rPr>
        <w:t>The federal government soon made its first foray into vaccination policy, though it was short-lived. A federal law encouraging vaccination was passed in 1813</w:t>
      </w:r>
      <w:r w:rsidRPr="00AA0D15">
        <w:t xml:space="preserve">, [FN201] </w:t>
      </w:r>
      <w:r w:rsidRPr="00AA0D15">
        <w:rPr>
          <w:rStyle w:val="StyleUnderline"/>
        </w:rPr>
        <w:t>but was repealed just nine years later due largely to the view that government should only intervene in health concerns during times of emergency</w:t>
      </w:r>
      <w:r w:rsidRPr="00AA0D15">
        <w:t xml:space="preserve">. [FN202] It was not until the mid-1900s that federal and state governments demonstrated consistent resolve in their vaccination policy. In 1955 and 1956, after Salk's oral polio vaccine breakthrough, Congress appropriated funds to the CDC to help states and local communities purchase and administer vaccines. [FN203] President John F. Kennedy sent the Vaccination Assistance Act to Congress in 1962, and its passage allowed the CDC to support mass immunization campaigns and to initiate maintenance programs. [FN204] </w:t>
      </w:r>
      <w:r w:rsidRPr="00AA0D15">
        <w:rPr>
          <w:rStyle w:val="StyleUnderline"/>
        </w:rPr>
        <w:t>In the late 1960s the modern era of compulsory state immunization laws took off, as data showed that states with mandatory measles vaccination requirements had 40% to 51% lower rates of the disease than did states without such regulations</w:t>
      </w:r>
      <w:r w:rsidRPr="00AA0D15">
        <w:t xml:space="preserve">. [FN205] In response, a </w:t>
      </w:r>
      <w:r w:rsidRPr="00AA0D15">
        <w:rPr>
          <w:rStyle w:val="StyleUnderline"/>
        </w:rPr>
        <w:t xml:space="preserve">number of states made vaccination against measles, poliomyelitis, diphtheria, pertussis, and tetanus a prerequisite to school entry. </w:t>
      </w:r>
      <w:r w:rsidRPr="00AA0D15">
        <w:t xml:space="preserve">[FN206] In 1979, federal immunization grant funds increased to $35 million--a dramatic increase compared to $17 million in 1977 and *383 just $5 million in 1976. [FN207] At the same time, the federal government undertook an effort to enact school immunization requirements in states that did not have them and to enforce those already in place. [FN208] </w:t>
      </w:r>
      <w:r w:rsidRPr="00AA0D15">
        <w:rPr>
          <w:rStyle w:val="StyleUnderline"/>
        </w:rPr>
        <w:t xml:space="preserve">Soon, all fifty states had enacted and enforced school entry immunization requirements. </w:t>
      </w:r>
      <w:r w:rsidRPr="00AA0D15">
        <w:t xml:space="preserve">[FN209] The laws yielded quick results: by 1981, 95% of children entering school had been immunized. [FN210] Today, </w:t>
      </w:r>
      <w:r w:rsidRPr="00AA0D15">
        <w:rPr>
          <w:rStyle w:val="StyleUnderline"/>
        </w:rPr>
        <w:t>every state has a series of compulsory and recommended vaccines, with all requiring evidence of vaccination against diphtheria, measles, rubella and polio (at a minimum) prior to day care or school entry.</w:t>
      </w:r>
      <w:r w:rsidRPr="00AA0D15">
        <w:t xml:space="preserve"> [FN211] However, in recent years, legislatures have expanded allowable exemptions to immunization laws in an effort to balance public safety with individual rights and liberties.</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Courts says it’s a state issue</w:t>
      </w:r>
    </w:p>
    <w:p w:rsidR="00C47278" w:rsidRPr="00AA0D15" w:rsidRDefault="00C47278" w:rsidP="00C47278">
      <w:r w:rsidRPr="00AA0D15">
        <w:rPr>
          <w:rStyle w:val="Style13ptBold"/>
        </w:rPr>
        <w:t>Silverman 3</w:t>
      </w:r>
      <w:r w:rsidRPr="00AA0D15">
        <w:t xml:space="preserve"> (Ross D. Silverman, professor of Health Policy and Management at the Indiana University Richard M. Fairbanks School of Public Health at IUPUI, 2003, "No More Kidding Around: Restructuring NonMedical Childhood Immunization Exemptions to Ensure Public Health Protection," No Publication, https://pdfs.semanticscholar.org/0498/ce9cf149c5aef6849c08a72d39f09bda432b.pdf, Accessed: 6-26-2017 /Kent Denver-NK)</w:t>
      </w:r>
    </w:p>
    <w:p w:rsidR="00C47278" w:rsidRPr="00AA0D15" w:rsidRDefault="00C47278" w:rsidP="00C47278">
      <w:r w:rsidRPr="00AA0D15">
        <w:rPr>
          <w:rStyle w:val="StyleUnderline"/>
        </w:rPr>
        <w:t>The United State Supreme Court case Jacobson v. Massachusetts,1 6 established the right of the state to compel an individual to receive a vaccination</w:t>
      </w:r>
      <w:r w:rsidRPr="00AA0D15">
        <w:t xml:space="preserve">.' 7 In doing so, the Court recognized that the need to serve the "common good" </w:t>
      </w:r>
      <w:r w:rsidRPr="00AA0D15">
        <w:rPr>
          <w:rStyle w:val="StyleUnderline"/>
        </w:rPr>
        <w:t>confers to states broad powers that may restrain the rights of individuals.</w:t>
      </w:r>
      <w:r w:rsidRPr="00AA0D15">
        <w:t xml:space="preserve"> 8 However, the Court did not envision a boundless state power to protect the public's welfare. As James Hodge and Larry Gostin state, the Jacobson decision describes a state police power 9 that balances public health protections with the principles of necessity, reasonableness, proportionality, and harm avoidance.2' </w:t>
      </w:r>
      <w:r w:rsidRPr="00AA0D15">
        <w:rPr>
          <w:rStyle w:val="StyleUnderline"/>
        </w:rPr>
        <w:t>The U.S. Supreme Court and state supreme courts subsequently have determined that states and localities have the power to take significant steps to protect children from communicable disease, even to the extent of denying children the ability to attend public school</w:t>
      </w:r>
      <w:r w:rsidRPr="00AA0D15">
        <w:t>.' Furthermore</w:t>
      </w:r>
      <w:r w:rsidRPr="00AA0D15">
        <w:rPr>
          <w:rStyle w:val="StyleUnderline"/>
        </w:rPr>
        <w:t>, the courts have upheld the right of states to require that children receive immunizations, even when such obligations conflict with both parental rights</w:t>
      </w:r>
      <w:r w:rsidRPr="00AA0D15">
        <w:t xml:space="preserve">22 </w:t>
      </w:r>
      <w:r w:rsidRPr="00AA0D15">
        <w:rPr>
          <w:rStyle w:val="StyleUnderline"/>
        </w:rPr>
        <w:t>and religious rights as conferred by the Establishment and Free Exercise Clauses of the First Amendment of the U.S. Constitution</w:t>
      </w:r>
      <w:r w:rsidRPr="00AA0D15">
        <w:t xml:space="preserve">.23 </w:t>
      </w:r>
      <w:r w:rsidRPr="00AA0D15">
        <w:rPr>
          <w:rStyle w:val="StyleUnderline"/>
        </w:rPr>
        <w:t>The principle that state interest in protecting the health and welfare of children may override parental rights and religious beliefs was powerfully characterized in Prince v. Massachusetts: The right to practice religion freely does not include the liberty to expose the community or the child to communicable disease or the latter to ill health or death</w:t>
      </w:r>
      <w:r w:rsidRPr="00AA0D15">
        <w:t xml:space="preserve">... Parents may be free to become martyrs themselves. But it does not follow that they are free, in identical circumstances, to make martyrs of their children before they have reached the age of full 24 and legal discretion when they can make that choice for themselves. While these decisions make clear that states have no constitutional mandate to offer religious accommodation under state childhood immunization laws, the Supreme Court has not directly addressed the question of whether the Constitution allows states to offer religious-based exemptions. However, the Court's extensive history of First Amendment accommodations in other contexts,26 coupled with numerous state and lower federal court decisions, directly addressing constitutional issues of religious exemption provisions in state vaccination laws,27 suggests </w:t>
      </w:r>
      <w:r w:rsidRPr="00AA0D15">
        <w:rPr>
          <w:rStyle w:val="StyleUnderline"/>
        </w:rPr>
        <w:t>childhood immunization laws are not per se unconstitutional</w:t>
      </w:r>
      <w:r w:rsidRPr="00AA0D15">
        <w:t xml:space="preserve">.28 Several states have had long-standing policies offering parents the ability to claim religious grounds to opt out of school vaccination and other healthrelated requirements. However, </w:t>
      </w:r>
      <w:r w:rsidRPr="00AA0D15">
        <w:rPr>
          <w:rStyle w:val="StyleUnderline"/>
        </w:rPr>
        <w:t>it was not until the early 1970's that almost universal implementation of state laws offering medical exemptions based on religious grounds occurred</w:t>
      </w:r>
      <w:r w:rsidRPr="00AA0D15">
        <w:t xml:space="preserve">. The revolution was fueled by the passage of the Child Abuse Prevention and Treatment Act of 1974,29 and other related regulations adopted by the United States Department of Health, Education, and Welfare, which conditioned federal funding upon passage of such exemptions. While later congressional and regulatory action repealed this mandate, ° the effects of that law remain. Today, </w:t>
      </w:r>
      <w:r w:rsidRPr="00AA0D15">
        <w:rPr>
          <w:rStyle w:val="StyleUnderline"/>
        </w:rPr>
        <w:t>forty-seven states continue to offer some form of religious exemption from school immunization laws.31 Those states that have religious exemptions generally categorize the class of qualified exemptors in one of two ways</w:t>
      </w:r>
      <w:r w:rsidRPr="00AA0D15">
        <w:t xml:space="preserve">. A minority of states limit their religious exemption to those who belong to "organized," "recognized" or "established" religions.32 However, as a result of the Conscientious Objector cases arising out of the Vietnam War,33 most states have removed such language from their statutes.34 Some states now scrutinize a petitioner for religious exemption to determine if the applicant's beliefs are "genuine and sincerely held,, 35 while other states merely require submission of a form, or an affidavit, stating opposition to vaccination based on religious grounds.36 In 1976, the Kentucky Supreme Court ruled that limiting religious exemptions to children whose parents were members of "a nationally recognized and established church or religious denomination" passed constitutional scrutiny.37 However, the Kentucky legislature has since rewritten the exemption statute. The revised statute no longer requires that applicants meet such a qualification. </w:t>
      </w:r>
      <w:r w:rsidRPr="00AA0D15">
        <w:rPr>
          <w:rStyle w:val="StyleUnderline"/>
        </w:rPr>
        <w:t>Three states (Arkansas, Mississippi, and West Virginia) offer no religious exemption from school immunization requirements. In declaring its state religious exemption statute unconstitutional,3 9 the Mississippi Supreme Court recognized that the state had an "overriding and compelling public interest ' 4° to protect children from harm, even when such rights conflicted with the religious rights of the parents seeking exemptions for their children.</w:t>
      </w:r>
      <w:r w:rsidRPr="00AA0D15">
        <w:t xml:space="preserve"> Hearkening back to the "martyr" language of Prince v. Massachusetts, the court asked, "Is it mandated by the First Amendment to the United States Constitution that innocent children, too young to decide for themselves, are to be denied the protection against crippling and death that immunization provides because of a religious belief adhered to by a parent or parents?",4 ' In addition, </w:t>
      </w:r>
      <w:r w:rsidRPr="00AA0D15">
        <w:rPr>
          <w:rStyle w:val="StyleUnderline"/>
        </w:rPr>
        <w:t>the court identified the inherent failure rates of vaccines as well as the benefits of herd immunity, stating that the exemption violated the Equal Protection rights of those children who did not qualify for exemption</w:t>
      </w:r>
      <w:r w:rsidRPr="00AA0D15">
        <w:t>. According to the court, a religious exemption provision "would require the great body of school children to be vaccinated and at the same time expose them to the hazard of associating in school with children exempted under the religious exemption who had not been immunized</w:t>
      </w:r>
      <w:r w:rsidR="002439A5">
        <w:t xml:space="preserve"> as required by the statute."43</w:t>
      </w:r>
    </w:p>
    <w:p w:rsidR="00C47278" w:rsidRPr="00AA0D15" w:rsidRDefault="00C47278" w:rsidP="00C47278">
      <w:pPr>
        <w:pStyle w:val="Heading4"/>
        <w:rPr>
          <w:rFonts w:cs="Times New Roman"/>
        </w:rPr>
      </w:pPr>
      <w:r w:rsidRPr="00AA0D15">
        <w:rPr>
          <w:rFonts w:cs="Times New Roman"/>
        </w:rPr>
        <w:t>Solve the aff – states have the authority and are the primary actors over vaccine regulations</w:t>
      </w:r>
    </w:p>
    <w:p w:rsidR="00C47278" w:rsidRPr="00AA0D15" w:rsidRDefault="00C47278" w:rsidP="00C47278">
      <w:r w:rsidRPr="00AA0D15">
        <w:rPr>
          <w:rStyle w:val="Style13ptBold"/>
        </w:rPr>
        <w:t>Ciolli 8</w:t>
      </w:r>
      <w:r w:rsidRPr="00AA0D15">
        <w:t xml:space="preserve"> (Anthony Ciolli, Senior Law Clerk and Special Assistant to Rhys S. Hodge, the Chief Justice of the Supreme Court of the U.S. Virgin Islands, 2008, "Mandatory School Vaccinations: The Role of Tort Law," PubMed Central (PMC), https://www.ncbi.nlm.nih.gov/pmc/articles/PMC2553651/, Accessed: 6-26-2017 /Kent Denver-NK)</w:t>
      </w:r>
    </w:p>
    <w:p w:rsidR="00C47278" w:rsidRPr="00AA0D15" w:rsidRDefault="00C47278" w:rsidP="00C47278">
      <w:r w:rsidRPr="00AA0D15">
        <w:t xml:space="preserve">Over the past three years, </w:t>
      </w:r>
      <w:r w:rsidRPr="00AA0D15">
        <w:rPr>
          <w:rStyle w:val="StyleUnderline"/>
        </w:rPr>
        <w:t>state governments have taken substantial steps toward promoting herd immunity by placing new mandates upon parents, ranging from requiring additional vaccines to making vaccines prerequisites for an even larger number of activities and benefits</w:t>
      </w:r>
      <w:r w:rsidRPr="00AA0D15">
        <w:t xml:space="preserve">. Most recently, </w:t>
      </w:r>
      <w:r w:rsidRPr="00AA0D15">
        <w:rPr>
          <w:rStyle w:val="StyleUnderline"/>
        </w:rPr>
        <w:t>New Jersey became the first state in the nation to require flu shots as a prerequisite to preschool or day care attendance</w:t>
      </w:r>
      <w:r w:rsidRPr="00AA0D15">
        <w:t xml:space="preserve"> [49]. Yet, during this same period, </w:t>
      </w:r>
      <w:r w:rsidRPr="00AA0D15">
        <w:rPr>
          <w:rStyle w:val="StyleUnderline"/>
        </w:rPr>
        <w:t>state governments increasingly have bowed to pressure from social conservatives to create broad-based exceptions that undermine the purpose behind mandatory vaccination</w:t>
      </w:r>
      <w:r w:rsidRPr="00AA0D15">
        <w:t>.13 For instance, despite the known problems with statutes authorizing philosophical exemptions, the number of states with these exemptions is more likely to increase than decrease, with the New York legislature currently considering a bill that would make New York the 19th state to allow exemptions for philosophical reasons [51].</w:t>
      </w:r>
    </w:p>
    <w:p w:rsidR="00C47278" w:rsidRPr="00AA0D15" w:rsidRDefault="00C47278" w:rsidP="00C47278">
      <w:r w:rsidRPr="00AA0D15">
        <w:rPr>
          <w:rStyle w:val="StyleUnderline"/>
        </w:rPr>
        <w:t>Tort law, though perhaps not as effective a remedy as outright state government intervention, has the potential to be the best method of preventing religious and philosophical exemption abuse and compensating victims of vaccine-preventable disease outbreaks that has a realistic chance of being implemented.</w:t>
      </w:r>
      <w:r w:rsidRPr="00AA0D15">
        <w:t xml:space="preserve"> Class action lawsuits, and perhaps lawsuits against specific individuals, would more closely align the interests of those considering religious and philosophical exemptions with those of the rest of the society, thus reducing the number of exemptions of convenience. Such lawsuits also would provide a mechanism for those who do take such exemptions to the detriment of others to compensate such individuals for the harm they have suffered, resulting in a more equitable distribution of costs than today.</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States should do it</w:t>
      </w:r>
    </w:p>
    <w:p w:rsidR="00C47278" w:rsidRPr="00AA0D15" w:rsidRDefault="00C47278" w:rsidP="00C47278">
      <w:r w:rsidRPr="00AA0D15">
        <w:rPr>
          <w:rStyle w:val="Style13ptBold"/>
        </w:rPr>
        <w:t>ACP 15</w:t>
      </w:r>
      <w:r w:rsidRPr="00AA0D15">
        <w:t xml:space="preserve"> (American College of Physicians (ACP), ACP is a national organization of internists, the largest medical-specialty organization, and second-largest physician group in the United States., 7-29-2015, "</w:t>
      </w:r>
      <w:r w:rsidRPr="00AA0D15">
        <w:rPr>
          <w:rStyle w:val="Emphasis"/>
        </w:rPr>
        <w:t>State Immunization Laws</w:t>
      </w:r>
      <w:r w:rsidRPr="00AA0D15">
        <w:rPr>
          <w:rStyle w:val="StyleUnderline"/>
        </w:rPr>
        <w:t xml:space="preserve"> Should Eliminate Non-Medical Exemptions</w:t>
      </w:r>
      <w:r w:rsidRPr="00AA0D15">
        <w:t xml:space="preserve"> Say Internists," American College of Physicians, https://www.acponline.org/acp-newsroom/state-immunization-laws-should-eliminate-non-medical-exemptions-say-internists, Accessed: 6-26-2017 /Kent Denver-NK)</w:t>
      </w:r>
    </w:p>
    <w:p w:rsidR="00C47278" w:rsidRPr="00AA0D15" w:rsidRDefault="00C47278" w:rsidP="00C47278">
      <w:pPr>
        <w:rPr>
          <w:rStyle w:val="StyleUnderline"/>
        </w:rPr>
      </w:pPr>
      <w:r w:rsidRPr="00AA0D15">
        <w:rPr>
          <w:rStyle w:val="StyleUnderline"/>
        </w:rPr>
        <w:t>Support for eliminating existing exemptions, except for medical reasons, from immunization laws was among the policy recommendations adopted last weekend at the summer meeting of the Board of Regents of the American College of Physicians (ACP).</w:t>
      </w:r>
    </w:p>
    <w:p w:rsidR="00C47278" w:rsidRPr="00AA0D15" w:rsidRDefault="00C47278" w:rsidP="00C47278">
      <w:r w:rsidRPr="00AA0D15">
        <w:t>"</w:t>
      </w:r>
      <w:r w:rsidRPr="00AA0D15">
        <w:rPr>
          <w:rStyle w:val="StyleUnderline"/>
        </w:rPr>
        <w:t>Allowing exemptions based on non-medical reasons poses a risk both to the unvaccinated person and to public health</w:t>
      </w:r>
      <w:r w:rsidRPr="00AA0D15">
        <w:t>," said Wayne J. Riley, MD, MPH, MBA, MACP, president of ACP, "Intentionally unvaccinated individuals can pose a danger to the public, especially to individuals who cannot be vaccinated for medical reasons."</w:t>
      </w:r>
    </w:p>
    <w:p w:rsidR="00C47278" w:rsidRPr="00AA0D15" w:rsidRDefault="00C47278" w:rsidP="00C47278">
      <w:pPr>
        <w:rPr>
          <w:rStyle w:val="StyleUnderline"/>
        </w:rPr>
      </w:pPr>
      <w:r w:rsidRPr="00AA0D15">
        <w:rPr>
          <w:rStyle w:val="StyleUnderline"/>
        </w:rPr>
        <w:t>The ACP Board of Regents said it supports:</w:t>
      </w:r>
    </w:p>
    <w:p w:rsidR="00C47278" w:rsidRPr="00AA0D15" w:rsidRDefault="00C47278" w:rsidP="00C47278">
      <w:pPr>
        <w:pStyle w:val="ListParagraph"/>
        <w:numPr>
          <w:ilvl w:val="0"/>
          <w:numId w:val="11"/>
        </w:numPr>
        <w:rPr>
          <w:rFonts w:ascii="Times New Roman" w:hAnsi="Times New Roman" w:cs="Times New Roman"/>
        </w:rPr>
      </w:pPr>
      <w:r w:rsidRPr="00AA0D15">
        <w:rPr>
          <w:rStyle w:val="Emphasis"/>
        </w:rPr>
        <w:t>the immunization of all children</w:t>
      </w:r>
      <w:r w:rsidRPr="00AA0D15">
        <w:rPr>
          <w:rStyle w:val="StyleUnderline"/>
          <w:rFonts w:ascii="Times New Roman" w:hAnsi="Times New Roman" w:cs="Times New Roman"/>
        </w:rPr>
        <w:t xml:space="preserve">, adolescents, and adults, according to the recommendations and standards established by the U.S. Advisory Committee on Immunization Practices </w:t>
      </w:r>
      <w:r w:rsidRPr="00AA0D15">
        <w:rPr>
          <w:rFonts w:ascii="Times New Roman" w:hAnsi="Times New Roman" w:cs="Times New Roman"/>
        </w:rPr>
        <w:t>(ACIP), the National Vaccine Advisory Committee (NVAC), and the Centers for Disease Control and Prevention (CDC).</w:t>
      </w:r>
    </w:p>
    <w:p w:rsidR="00C47278" w:rsidRPr="00AA0D15" w:rsidRDefault="00C47278" w:rsidP="00C47278">
      <w:pPr>
        <w:pStyle w:val="ListParagraph"/>
        <w:numPr>
          <w:ilvl w:val="0"/>
          <w:numId w:val="11"/>
        </w:numPr>
        <w:rPr>
          <w:rStyle w:val="StyleUnderline"/>
          <w:rFonts w:ascii="Times New Roman" w:hAnsi="Times New Roman" w:cs="Times New Roman"/>
        </w:rPr>
      </w:pPr>
      <w:r w:rsidRPr="00AA0D15">
        <w:rPr>
          <w:rStyle w:val="Emphasis"/>
        </w:rPr>
        <w:t>state laws designed to promote all recommended immunizations</w:t>
      </w:r>
      <w:r w:rsidRPr="00AA0D15">
        <w:rPr>
          <w:rStyle w:val="StyleUnderline"/>
          <w:rFonts w:ascii="Times New Roman" w:hAnsi="Times New Roman" w:cs="Times New Roman"/>
        </w:rPr>
        <w:t>.</w:t>
      </w:r>
    </w:p>
    <w:p w:rsidR="00C47278" w:rsidRPr="00AA0D15" w:rsidRDefault="00C47278" w:rsidP="00C47278">
      <w:pPr>
        <w:pStyle w:val="ListParagraph"/>
        <w:numPr>
          <w:ilvl w:val="0"/>
          <w:numId w:val="11"/>
        </w:numPr>
        <w:rPr>
          <w:rStyle w:val="StyleUnderline"/>
          <w:rFonts w:ascii="Times New Roman" w:hAnsi="Times New Roman" w:cs="Times New Roman"/>
        </w:rPr>
      </w:pPr>
      <w:r w:rsidRPr="00AA0D15">
        <w:rPr>
          <w:rStyle w:val="Emphasis"/>
        </w:rPr>
        <w:t>states passing legislation to eliminate any existing exemptions</w:t>
      </w:r>
      <w:r w:rsidRPr="00AA0D15">
        <w:rPr>
          <w:rStyle w:val="StyleUnderline"/>
          <w:rFonts w:ascii="Times New Roman" w:hAnsi="Times New Roman" w:cs="Times New Roman"/>
        </w:rPr>
        <w:t>, except for medical reasons, from their immunization laws.</w:t>
      </w:r>
    </w:p>
    <w:p w:rsidR="00C47278" w:rsidRPr="00AA0D15" w:rsidRDefault="00C47278" w:rsidP="00C47278">
      <w:r w:rsidRPr="00AA0D15">
        <w:t>"Physicians should help educate patients and parents about the risks of vaccine preventable diseases and the safety and effectiveness of vaccines. Outbreaks of vaccine-preventable diseases have been linked to communities of unvaccinated and under-vaccinated individuals," said Dr. Riley. "Studies indicate that the easier it is to receive an exemption, the higher the rate of exemptions in a particular state. As the number of exemptions increases, the risk of vaccine-preventable disease has been found to increase. Exemptions from evidence-based immunization requirements should be limited to medical indications in order to protect the public's health."</w:t>
      </w:r>
    </w:p>
    <w:p w:rsidR="00C47278" w:rsidRPr="00AA0D15" w:rsidRDefault="00C47278" w:rsidP="00C47278">
      <w:pPr>
        <w:rPr>
          <w:rStyle w:val="StyleUnderline"/>
        </w:rPr>
      </w:pPr>
      <w:r w:rsidRPr="00AA0D15">
        <w:t xml:space="preserve">At the June American Medical Association (AMA) meeting, ACP joined the American Academy of Family Physicians, American Academy of Pediatrics, and American College of Obstetrics and Gynecology in supporting a similar measure. That support contributed to adoption by the AMA House of Delegates of policy calling for "an </w:t>
      </w:r>
      <w:r w:rsidRPr="00AA0D15">
        <w:rPr>
          <w:rStyle w:val="StyleUnderline"/>
        </w:rPr>
        <w:t>established decision mechanism that involves qualified public health physicians to determine which vaccines will be mandatory for admission to schools and other public venues. States should only grant exemptions to these mandated vaccines for medical reasons."</w:t>
      </w:r>
    </w:p>
    <w:p w:rsidR="00C47278" w:rsidRPr="00AA0D15" w:rsidRDefault="00C47278" w:rsidP="00C47278">
      <w:pPr>
        <w:rPr>
          <w:rStyle w:val="StyleUnderline"/>
        </w:rPr>
      </w:pPr>
    </w:p>
    <w:p w:rsidR="00C47278" w:rsidRPr="00AA0D15" w:rsidRDefault="00C47278" w:rsidP="00C47278">
      <w:pPr>
        <w:pStyle w:val="Heading4"/>
        <w:rPr>
          <w:rFonts w:cs="Times New Roman"/>
        </w:rPr>
      </w:pPr>
      <w:r w:rsidRPr="00AA0D15">
        <w:rPr>
          <w:rFonts w:cs="Times New Roman"/>
        </w:rPr>
        <w:t>State and territory action solves the aff – precedent</w:t>
      </w:r>
    </w:p>
    <w:p w:rsidR="00C47278" w:rsidRPr="00AA0D15" w:rsidRDefault="00C47278" w:rsidP="00C47278">
      <w:r w:rsidRPr="00AA0D15">
        <w:rPr>
          <w:rStyle w:val="Style13ptBold"/>
        </w:rPr>
        <w:t>AIM 14</w:t>
      </w:r>
      <w:r w:rsidRPr="00AA0D15">
        <w:t xml:space="preserve"> (Association of Immunization Managers, non-profit created to prevent and control vaccine preventable diseases, 4-25-2015, "AIM Position Statement on Personal Belief Exemptions from State Vaccination Mandates," AIM Executive Committee, http://c.ymcdn.com/sites/www.immunizationmanagers.org/resource/resmgr/Policy/PBE_Statement_FINAL_1_4-25-1.pdf, Accessed: 6-26-2017 /Kent Denver-NK)</w:t>
      </w:r>
    </w:p>
    <w:p w:rsidR="00C47278" w:rsidRPr="00AA0D15" w:rsidRDefault="00C47278" w:rsidP="00C47278">
      <w:pPr>
        <w:rPr>
          <w:rStyle w:val="StyleUnderline"/>
        </w:rPr>
      </w:pPr>
      <w:r w:rsidRPr="00AA0D15">
        <w:rPr>
          <w:rStyle w:val="StyleUnderline"/>
        </w:rPr>
        <w:t>AIM supports the right of states and territories to enact school and childcare vaccination requirements. Immunization requirements in schools and childcare provide a foundation for high-levels of vaccination in children. Exemptions from school and childcare requirements can lead to disease outbreaks.</w:t>
      </w:r>
      <w:r w:rsidRPr="00AA0D15">
        <w:t xml:space="preserve"> </w:t>
      </w:r>
      <w:r w:rsidRPr="00AA0D15">
        <w:rPr>
          <w:rStyle w:val="StyleUnderline"/>
        </w:rPr>
        <w:t>Scientific research shows that the easier personal belief exemptions are to obtain, the more often exemptions are utilized</w:t>
      </w:r>
      <w:r w:rsidRPr="00AA0D15">
        <w:t xml:space="preserve">. </w:t>
      </w:r>
      <w:r w:rsidRPr="00AA0D15">
        <w:rPr>
          <w:rStyle w:val="StyleUnderline"/>
        </w:rPr>
        <w:t>Exemptions, in turn, increase the risk of individual infection and population-level disease outbreaks through the erosion of herd immunity</w:t>
      </w:r>
      <w:r w:rsidRPr="00AA0D15">
        <w:t xml:space="preserve">. Given this data, </w:t>
      </w:r>
      <w:r w:rsidRPr="00AA0D15">
        <w:rPr>
          <w:rStyle w:val="StyleUnderline"/>
        </w:rPr>
        <w:t>AIM encourages states and territories that do not allow personal belief exemptions from school and childcare vaccination requirements to maintain this policy. AIM encourages states and territories with existing personal belief exemption policies to strengthen their regulations to assure that exemptions are only available after parental education</w:t>
      </w:r>
      <w:r w:rsidRPr="00AA0D15">
        <w:t xml:space="preserve"> and acknowledgement of the associated risk to their child and community. AIM encourages consideration of the following suggested exemption requirements to encourage informed parental decision making on vaccination to reduce exemptions of convenience and to reduce risk of infection among unvaccinated children: • Require annual renewal of exemption forms • Require health department approval for personal belief exemptions • Require parents or guardians to indicate on the exemption form the specific vaccine(s) from which they are exempting their child • Require signature of licensed healthcare provider on the exemption form attesting that the parents/guardians received education on the risks and benefits of vaccines and impact of exempting • Require a provider signature on the exemption form on an annual basis • Require that parents or guardians receive state-approved education that delineates the personal and public health importance of immunization, the scientific basis for safety of vaccines, and the consequences of exemption for their child as well as other children in the community who are vulnerable to disease and cannot otherwise be protected. • Require that parents or guardians sign a statement that delineates the basis, strength, and duration of their belief • Require that parents or guardians sign a statement that they have been informed of the risks they place on their child and others by refusing to immunize their child, including the potential for serious illness or death • Require that exempted children be excluded from school or childcare attendance and other group activities if there is an outbreak of a disease that is preventable by a vaccination from which they have been exempted • Track exemption rates and periodically reassess the impact of exemptions on disease rates. 2 Background High vaccination coverage has resulted in significant decreases in vaccine-preventable diseases. Reducing the rates of these diseases has curtailed preventable death and disability in the U.S. population, especially in children. This great reduction in disease was, in part, made possible by policy interventions like tying vaccination against certain diseases to school and daycare attendance.1 </w:t>
      </w:r>
      <w:r w:rsidRPr="00AA0D15">
        <w:rPr>
          <w:rStyle w:val="StyleUnderline"/>
        </w:rPr>
        <w:t>Mandatory vaccination laws made it possible to reach high levels of vaccination, leading to herd immunity in the U.S. population. All states allow for medical exemptions from state vaccination laws to accommodate people who cannot be vaccinated safely, such as those with egg allergies or compromised immune systems.</w:t>
      </w:r>
      <w:r w:rsidRPr="00AA0D15">
        <w:t xml:space="preserve"> As of March 2008, </w:t>
      </w:r>
      <w:r w:rsidRPr="00AA0D15">
        <w:rPr>
          <w:rStyle w:val="StyleUnderline"/>
        </w:rPr>
        <w:t>48 states allowed exemptions for religious reasons and 21 allowed exemptions for philosophic or personal beliefs.2 During 2010 and 2011, eight states had legislation introduced that aimed to add or broaden religious or philosophical belief exemptions (PBEs).3 Exemptions come in many forms and state policies differ nationwide</w:t>
      </w:r>
      <w:r w:rsidRPr="00AA0D15">
        <w:t xml:space="preserve">. Some exemptions are easy to obtain while others are made difficult by administrative components that must be completed before an exemption is granted. Some of these administrative components focus on providing education on the risks and benefits of vaccination to parents, including through interactions with licensed health care providers. </w:t>
      </w:r>
      <w:r w:rsidRPr="00AA0D15">
        <w:rPr>
          <w:rStyle w:val="StyleUnderline"/>
        </w:rPr>
        <w:t>Research has demonstrated that there is a relationship between the ease of exemption and the exemption rate. States with easy-to-obtain exemptions have higher exemption rates than states with difficult-to-obtain philosophical belief exemptions</w:t>
      </w:r>
      <w:r w:rsidRPr="00AA0D15">
        <w:t xml:space="preserve">. For example, a study of state exemption policies found that the exemption rate was less than 1% in states with difficult exemption processes compared to approximately 3.5% in states with easy exemption processes.4 A separate study found a similar relationship between the complexity of the exemption process and the number of nonmedical exemptions taken. The mean exemption rate for states with easy exemption processes was 2.9% while the exemption rate in states with difficult exemption processes was only 1.1%.5 Yet another study found that states with easy procedures for granting exemptions were associated with a 90% higher incidence of pertussis.6 Due to the effect of ease of exemption on exemption rates, states should consider adding components their PBEs that discourage exemptions of convenience (when exempting from the vaccine is easier than getting the vaccine). Effects of Exemption The current low rates of vaccine-preventable diseases (which have been made so by successful vaccination efforts) may lead some people to believe that exemptions have no practical effect on themselves or their communities.7 However, research has illuminated many ways in which exemptions have tangible consequences for individuals and communities. A study demonstrated that 11% of measles cases in non-exempt children originated from interaction with vaccineexempt children.8 </w:t>
      </w:r>
      <w:r w:rsidRPr="00AA0D15">
        <w:rPr>
          <w:rStyle w:val="StyleUnderline"/>
        </w:rPr>
        <w:t>Research based on nationwide surveillance data has demonstrated that children with exemptions were 22 times more likely to have had measles than children who had not been exempted from vaccination</w:t>
      </w:r>
      <w:r w:rsidRPr="00AA0D15">
        <w:t xml:space="preserve">.9 In some cases, research has found that children with exemptions are as much as 35 times more likely to contract measles than vaccinated children.10 Research shows the overlap between clusters of exemptions and disease. A study conducted in Michigan demonstrated the increased likelihood of a cluster of pertussis cases being within a cluster of exempted children.11 3 Further data demonstrates that, overall, states with philosophical belief exemptions had higher pertussis incidence than those states without PBEs.12 The effects of exemption are not limited to the state and national levels; the effects are felt at the local level also. Research shows that exemptions affect school disease outbreaks. In Colorado, the mean exemption rate in schools with vaccine-preventable disease outbreaks was 4.3%, in comparison to a 1.3% exemption rate in schools without outbreaks.13 Philosophical belief exemptions also have financial consequences to the society, including the costs to families and public health for treating disease and controlling outbreaks. A study modeling the effects of a PBE demonstrated that annual hospitalization and non-medical costs, like time missed from work or school, related to pertussis disease would increase by 50% if the state added a philosophical belief exemption.14 The actual societal costs of an outbreak were seen during a 2008 measles outbreak in San Diego County that cost the city a total of $124,517, or $10,376 per case.15 San Diego reported spending 1745 person-hours on investigation and containment efforts.16 The San Diego outbreak demonstrates the considerable costs from just one outbreak of just one vaccine preventable disease. The </w:t>
      </w:r>
      <w:r w:rsidRPr="00AA0D15">
        <w:rPr>
          <w:rStyle w:val="StyleUnderline"/>
        </w:rPr>
        <w:t>foregoing research demonstrates the significant impact that philosophical belief exemptions have on the nation and communities. AIM encourages all states, cities and territories to consider the growing body of evidence regarding the negative effects of philosophical belief exemptions on their communi</w:t>
      </w:r>
      <w:r w:rsidR="002439A5">
        <w:rPr>
          <w:rStyle w:val="StyleUnderline"/>
        </w:rPr>
        <w:t xml:space="preserve">ties. </w:t>
      </w:r>
    </w:p>
    <w:p w:rsidR="00C47278" w:rsidRPr="00AA0D15" w:rsidRDefault="00C47278" w:rsidP="00C47278">
      <w:pPr>
        <w:pStyle w:val="Heading4"/>
        <w:rPr>
          <w:rFonts w:cs="Times New Roman"/>
        </w:rPr>
      </w:pPr>
      <w:r w:rsidRPr="00AA0D15">
        <w:rPr>
          <w:rFonts w:cs="Times New Roman"/>
        </w:rPr>
        <w:t>States should eliminate philosophical exemptions to vaccination.</w:t>
      </w:r>
    </w:p>
    <w:p w:rsidR="00C47278" w:rsidRPr="00AA0D15" w:rsidRDefault="00C47278" w:rsidP="00C47278">
      <w:r w:rsidRPr="00AA0D15">
        <w:rPr>
          <w:rStyle w:val="Style13ptBold"/>
        </w:rPr>
        <w:t>Lobo 16</w:t>
      </w:r>
      <w:r w:rsidRPr="00AA0D15">
        <w:t xml:space="preserve"> (James, Joined Ropes &amp; Gray in 2016 as an associate in the corporate department. During law school, James served as an articles editor of the Boston College Law Review and a judicial intern for Justice Mary Thomas Sullivan on the Massachusetts Appeals Court. Prior to law school, James taught fifth grade reading and writing in Miami, Florida. | “Vindicating the Vaccine: Injecting Strength into Mandatory School Vaccination Requirements to Safeguard the Public Health” in </w:t>
      </w:r>
      <w:r w:rsidRPr="00AA0D15">
        <w:rPr>
          <w:i/>
        </w:rPr>
        <w:t>Boston College Law Review</w:t>
      </w:r>
      <w:r w:rsidRPr="00AA0D15">
        <w:t xml:space="preserve"> vol. 57 no. 1, 28 January 2016. </w:t>
      </w:r>
      <w:hyperlink r:id="rId130" w:history="1">
        <w:r w:rsidRPr="00AA0D15">
          <w:rPr>
            <w:rStyle w:val="Hyperlink"/>
          </w:rPr>
          <w:t>http://lawdigitalcommons.bc.edu/cgi/viewcontent.cgi?article=3483&amp;context=bclr</w:t>
        </w:r>
      </w:hyperlink>
      <w:r w:rsidRPr="00AA0D15">
        <w:t xml:space="preserve"> )//tbrooks</w:t>
      </w:r>
    </w:p>
    <w:p w:rsidR="00C47278" w:rsidRPr="00AA0D15" w:rsidRDefault="00C47278" w:rsidP="00C47278">
      <w:r w:rsidRPr="00AA0D15">
        <w:rPr>
          <w:u w:val="single"/>
        </w:rPr>
        <w:t>The first way legislators might approach revising their state’s vaccination standards would be to eliminate the philosophical or personal belief exemptions from their statutes</w:t>
      </w:r>
      <w:r w:rsidRPr="00AA0D15">
        <w:t xml:space="preserve">, if their state currently has this kind of exemption as an option.184 Certainly, </w:t>
      </w:r>
      <w:r w:rsidRPr="00AA0D15">
        <w:rPr>
          <w:u w:val="single"/>
        </w:rPr>
        <w:t>states that presently do not provide such an exemption should refrain from adding one</w:t>
      </w:r>
      <w:r w:rsidRPr="00AA0D15">
        <w:t xml:space="preserve">.185 The recent legislation passed in Vermont and California indicates that the movement to eliminate philosophical exemptions is already underway.186 </w:t>
      </w:r>
      <w:r w:rsidRPr="00AA0D15">
        <w:rPr>
          <w:u w:val="single"/>
        </w:rPr>
        <w:t>Eliminating the option of a philosophical exemption removes the risk that parents will abuse this exemption or use it out of convenience</w:t>
      </w:r>
      <w:r w:rsidRPr="00AA0D15">
        <w:t xml:space="preserve">.187 Indeed, </w:t>
      </w:r>
      <w:r w:rsidRPr="00AA0D15">
        <w:rPr>
          <w:u w:val="single"/>
        </w:rPr>
        <w:t>many states have seen increases in the number of parents utilizing the philosophical exemption to avoid vaccinating their children, underscoring the urgent need to curb this dangerous trend</w:t>
      </w:r>
      <w:r w:rsidRPr="00AA0D15">
        <w:t xml:space="preserve">. 188 Furthermore, </w:t>
      </w:r>
      <w:r w:rsidRPr="00AA0D15">
        <w:rPr>
          <w:u w:val="single"/>
        </w:rPr>
        <w:t xml:space="preserve">because philosophical exemptions do not carry the potential constitutional problems of religious exemptions, extinguishing them is less legally burdensome. </w:t>
      </w:r>
      <w:r w:rsidRPr="00AA0D15">
        <w:t xml:space="preserve">189 In light of recent outbreaks and the threat posed to herd immunity, </w:t>
      </w:r>
      <w:r w:rsidRPr="00AA0D15">
        <w:rPr>
          <w:u w:val="single"/>
        </w:rPr>
        <w:t>states should not enable parents to forgo vaccination unless it is absolutely necessary</w:t>
      </w:r>
      <w:r w:rsidRPr="00AA0D15">
        <w:t>.190</w:t>
      </w:r>
    </w:p>
    <w:p w:rsidR="00C47278" w:rsidRPr="00AA0D15" w:rsidRDefault="00C47278" w:rsidP="00C47278">
      <w:pPr>
        <w:rPr>
          <w:rStyle w:val="StyleUnderline"/>
        </w:rPr>
      </w:pPr>
    </w:p>
    <w:p w:rsidR="00C47278" w:rsidRPr="00AA0D15" w:rsidRDefault="00C47278" w:rsidP="00C47278"/>
    <w:p w:rsidR="00C47278" w:rsidRPr="00AA0D15" w:rsidRDefault="00C47278" w:rsidP="00C47278">
      <w:pPr>
        <w:pStyle w:val="Heading3"/>
        <w:rPr>
          <w:rFonts w:cs="Times New Roman"/>
        </w:rPr>
      </w:pPr>
      <w:r w:rsidRPr="00AA0D15">
        <w:rPr>
          <w:rFonts w:cs="Times New Roman"/>
        </w:rPr>
        <w:t>Theory – defense of uniformity</w:t>
      </w:r>
    </w:p>
    <w:p w:rsidR="00C47278" w:rsidRPr="00AA0D15" w:rsidRDefault="00C47278" w:rsidP="00C47278">
      <w:pPr>
        <w:pStyle w:val="Heading4"/>
        <w:rPr>
          <w:rFonts w:cs="Times New Roman"/>
        </w:rPr>
      </w:pPr>
      <w:r w:rsidRPr="00AA0D15">
        <w:rPr>
          <w:rFonts w:cs="Times New Roman"/>
        </w:rPr>
        <w:t>States should adopt a uniform vaccination law.</w:t>
      </w:r>
    </w:p>
    <w:p w:rsidR="00C47278" w:rsidRPr="00AA0D15" w:rsidRDefault="00C47278" w:rsidP="00C47278">
      <w:r w:rsidRPr="00AA0D15">
        <w:rPr>
          <w:rStyle w:val="Style13ptBold"/>
        </w:rPr>
        <w:t>Lobo 16</w:t>
      </w:r>
      <w:r w:rsidRPr="00AA0D15">
        <w:t xml:space="preserve"> (James, Joined Ropes &amp; Gray in 2016 as an associate in the corporate department. During law school, James served as an articles editor of the Boston College Law Review and a judicial intern for Justice Mary Thomas Sullivan on the Massachusetts Appeals Court. Prior to law school, James taught fifth grade reading and writing in Miami, Florida. | “Vindicating the Vaccine: Injecting Strength into Mandatory School Vaccination Requirements to Safeguard the Public Health” in </w:t>
      </w:r>
      <w:r w:rsidRPr="00AA0D15">
        <w:rPr>
          <w:i/>
        </w:rPr>
        <w:t>Boston College Law Review</w:t>
      </w:r>
      <w:r w:rsidRPr="00AA0D15">
        <w:t xml:space="preserve"> vol. 57 no. 1, 28 January 2016. </w:t>
      </w:r>
      <w:hyperlink r:id="rId131" w:history="1">
        <w:r w:rsidRPr="00AA0D15">
          <w:rPr>
            <w:rStyle w:val="Hyperlink"/>
          </w:rPr>
          <w:t>http://lawdigitalcommons.bc.edu/cgi/viewcontent.cgi?article=3483&amp;context=bclr</w:t>
        </w:r>
      </w:hyperlink>
      <w:r w:rsidRPr="00AA0D15">
        <w:t xml:space="preserve"> )//tbrooks</w:t>
      </w:r>
    </w:p>
    <w:p w:rsidR="00C47278" w:rsidRPr="002439A5" w:rsidRDefault="00C47278" w:rsidP="00C47278">
      <w:pPr>
        <w:rPr>
          <w:sz w:val="14"/>
        </w:rPr>
      </w:pPr>
      <w:r w:rsidRPr="002439A5">
        <w:rPr>
          <w:sz w:val="22"/>
          <w:u w:val="single"/>
        </w:rPr>
        <w:t>An alternative to encouraging states to strengthen their own existing vaccination requirements is to create a model or uniform law, which states could adopt</w:t>
      </w:r>
      <w:r w:rsidRPr="002439A5">
        <w:rPr>
          <w:sz w:val="14"/>
        </w:rPr>
        <w:t xml:space="preserve">.219 </w:t>
      </w:r>
      <w:r w:rsidRPr="002439A5">
        <w:rPr>
          <w:sz w:val="22"/>
          <w:u w:val="single"/>
        </w:rPr>
        <w:t>This section proposes a model law based on the New York vaccination requirements and practices</w:t>
      </w:r>
      <w:r w:rsidRPr="002439A5">
        <w:rPr>
          <w:sz w:val="14"/>
        </w:rPr>
        <w:t xml:space="preserve">, described in section B, above, </w:t>
      </w:r>
      <w:r w:rsidRPr="002439A5">
        <w:rPr>
          <w:sz w:val="22"/>
          <w:u w:val="single"/>
        </w:rPr>
        <w:t>which utilizes a genuine and sincere requirement</w:t>
      </w:r>
      <w:r w:rsidRPr="002439A5">
        <w:rPr>
          <w:sz w:val="14"/>
        </w:rPr>
        <w:t xml:space="preserve">. 220 </w:t>
      </w:r>
      <w:r w:rsidRPr="002439A5">
        <w:rPr>
          <w:sz w:val="22"/>
          <w:u w:val="single"/>
        </w:rPr>
        <w:t>A model law would standardize vaccination policy and protect the country from an interstate epidemic.</w:t>
      </w:r>
      <w:r w:rsidRPr="002439A5">
        <w:rPr>
          <w:sz w:val="14"/>
        </w:rPr>
        <w:t xml:space="preserve">221 </w:t>
      </w:r>
      <w:r w:rsidRPr="002439A5">
        <w:rPr>
          <w:sz w:val="22"/>
          <w:u w:val="single"/>
        </w:rPr>
        <w:t>A uniform health law is not unprecedented</w:t>
      </w:r>
      <w:r w:rsidRPr="002439A5">
        <w:rPr>
          <w:sz w:val="14"/>
        </w:rPr>
        <w:t xml:space="preserve">.222 </w:t>
      </w:r>
      <w:r w:rsidRPr="002439A5">
        <w:rPr>
          <w:sz w:val="22"/>
          <w:u w:val="single"/>
        </w:rPr>
        <w:t>In response to the terrorist attacks of September 11</w:t>
      </w:r>
      <w:r w:rsidRPr="002439A5">
        <w:rPr>
          <w:sz w:val="14"/>
        </w:rPr>
        <w:t xml:space="preserve">, 2001, </w:t>
      </w:r>
      <w:r w:rsidRPr="002439A5">
        <w:rPr>
          <w:sz w:val="22"/>
          <w:u w:val="single"/>
        </w:rPr>
        <w:t>a team from the Centers for Law and the Public’s Health from Johns Hopkins and Georgetown Universities drafted a uniform health law called the Model State Emergency Health Powers Act</w:t>
      </w:r>
      <w:r w:rsidRPr="002439A5">
        <w:rPr>
          <w:sz w:val="14"/>
        </w:rPr>
        <w:t xml:space="preserve"> (“MSEHPA”).223 </w:t>
      </w:r>
      <w:r w:rsidRPr="002439A5">
        <w:rPr>
          <w:sz w:val="22"/>
          <w:u w:val="single"/>
        </w:rPr>
        <w:t>The goal of MSEHPA is to grant power to state and local governments during health emergencies</w:t>
      </w:r>
      <w:r w:rsidRPr="002439A5">
        <w:rPr>
          <w:sz w:val="14"/>
        </w:rPr>
        <w:t xml:space="preserve"> in order to effectively manage the threat, </w:t>
      </w:r>
      <w:r w:rsidRPr="002439A5">
        <w:rPr>
          <w:sz w:val="22"/>
          <w:u w:val="single"/>
        </w:rPr>
        <w:t>including provisions that allow state officials to vaccinate individuals in order to protect them from, and repress the spread of, contagious diseases</w:t>
      </w:r>
      <w:r w:rsidRPr="002439A5">
        <w:rPr>
          <w:sz w:val="14"/>
        </w:rPr>
        <w:t xml:space="preserve">. 224 Currently, thirty-eight states and the District of Columbia have adopted some portions of the Act in their legislation.225 </w:t>
      </w:r>
      <w:r w:rsidRPr="002439A5">
        <w:rPr>
          <w:sz w:val="22"/>
          <w:u w:val="single"/>
        </w:rPr>
        <w:t>MSEHPA could serve as a good model for a uniform health statute that addresses non-emergency situations, which state legislatures could adopt.</w:t>
      </w:r>
      <w:r w:rsidRPr="002439A5">
        <w:rPr>
          <w:sz w:val="14"/>
        </w:rPr>
        <w:t xml:space="preserve"> 226 State adoption of independently created standards or model laws has seen varying degrees of success in other contexts besides health, particularly in areas such as commercial and criminal law. 227 The area of </w:t>
      </w:r>
      <w:r w:rsidRPr="002439A5">
        <w:rPr>
          <w:sz w:val="22"/>
          <w:u w:val="single"/>
        </w:rPr>
        <w:t>public health (and in particular vaccination) presents a compelling case for a uniform set of regulations: like commerce and criminal activity, vaccine-preventable diseases do not halt at state lines, and uniformity among the inoculation laws across the entire country would ensure their efficacy by preventing certain states’ lax vaccination laws from rendering residents of other states susceptible to disease</w:t>
      </w:r>
      <w:r w:rsidRPr="002439A5">
        <w:rPr>
          <w:sz w:val="14"/>
        </w:rPr>
        <w:t xml:space="preserve">. 228 There are a few drawbacks to the uniform law method.229 First, some—or even many or all—state legislatures may decline to adopt the model vaccination law, which would defeat the purpose.230 Second, if state legislatures did adopt the law, but substantively changed it before enacting it, then each state would have varying versions of the original model, effectively reverting the country to the current system.231 Regardless of these challenges, </w:t>
      </w:r>
      <w:r w:rsidRPr="002439A5">
        <w:rPr>
          <w:sz w:val="22"/>
          <w:u w:val="single"/>
        </w:rPr>
        <w:t>a model law presents a compromise between relying on states to independently remodel their own laws, and allowing current, inadequate laws to remain the same</w:t>
      </w:r>
      <w:r w:rsidR="002439A5">
        <w:rPr>
          <w:sz w:val="14"/>
        </w:rPr>
        <w:t>. 232</w:t>
      </w:r>
    </w:p>
    <w:p w:rsidR="00C47278" w:rsidRPr="00AA0D15" w:rsidRDefault="00C47278" w:rsidP="00C47278">
      <w:pPr>
        <w:pStyle w:val="Heading3"/>
        <w:rPr>
          <w:rFonts w:cs="Times New Roman"/>
        </w:rPr>
      </w:pPr>
      <w:r w:rsidRPr="00AA0D15">
        <w:rPr>
          <w:rFonts w:cs="Times New Roman"/>
        </w:rPr>
        <w:t>AT states can’t distribute</w:t>
      </w:r>
    </w:p>
    <w:p w:rsidR="00C47278" w:rsidRPr="00AA0D15" w:rsidRDefault="00C47278" w:rsidP="00C47278">
      <w:pPr>
        <w:pStyle w:val="Heading4"/>
        <w:rPr>
          <w:rFonts w:cs="Times New Roman"/>
        </w:rPr>
      </w:pPr>
      <w:r w:rsidRPr="00AA0D15">
        <w:rPr>
          <w:rFonts w:cs="Times New Roman"/>
        </w:rPr>
        <w:t>Private vendors, not the fed or states control vaccine distribution – vaccine centers don’t matter other venues solve</w:t>
      </w:r>
    </w:p>
    <w:p w:rsidR="00C47278" w:rsidRPr="00AA0D15" w:rsidRDefault="00C47278" w:rsidP="00C47278">
      <w:r w:rsidRPr="00AA0D15">
        <w:rPr>
          <w:rStyle w:val="Style13ptBold"/>
        </w:rPr>
        <w:t>CDC 16</w:t>
      </w:r>
      <w:r w:rsidRPr="00AA0D15">
        <w:t xml:space="preserve"> (Center for Disease Control, 8-22-2016, "Seasonal Influenza Vaccine Supply and Distribution in the United State," Center for Disease Control, https://www.cdc.gov/flu/about/qa/vaxdistribution.htm, Accessed: 6-29-2017 /Kent Denver-NK)</w:t>
      </w:r>
    </w:p>
    <w:p w:rsidR="00C47278" w:rsidRPr="00AA0D15" w:rsidRDefault="00C47278" w:rsidP="00C47278">
      <w:pPr>
        <w:rPr>
          <w:rStyle w:val="StyleUnderline"/>
        </w:rPr>
      </w:pPr>
      <w:r w:rsidRPr="00AA0D15">
        <w:rPr>
          <w:rStyle w:val="StyleUnderline"/>
        </w:rPr>
        <w:t xml:space="preserve">Influenza vaccine production and distribution in the US are </w:t>
      </w:r>
      <w:r w:rsidRPr="00AA0D15">
        <w:rPr>
          <w:rStyle w:val="Emphasis"/>
        </w:rPr>
        <w:t>primarily private sector endeavors</w:t>
      </w:r>
      <w:r w:rsidRPr="00AA0D15">
        <w:t xml:space="preserve">. </w:t>
      </w:r>
      <w:r w:rsidRPr="00AA0D15">
        <w:rPr>
          <w:rStyle w:val="Emphasis"/>
        </w:rPr>
        <w:t>CDC does not have the authority, resources or relationships</w:t>
      </w:r>
      <w:r w:rsidRPr="00AA0D15">
        <w:rPr>
          <w:rStyle w:val="StyleUnderline"/>
        </w:rPr>
        <w:t xml:space="preserve"> with providers necessary to carry out or control vaccine distribution.</w:t>
      </w:r>
    </w:p>
    <w:p w:rsidR="00C47278" w:rsidRPr="00AA0D15" w:rsidRDefault="00C47278" w:rsidP="00C47278">
      <w:r w:rsidRPr="00AA0D15">
        <w:rPr>
          <w:rStyle w:val="StyleUnderline"/>
        </w:rPr>
        <w:t>CDC encourages influenza vaccine manufacturers and distributors to use a distribution strategy that provides vaccine to all provider types in a comparable timeframe</w:t>
      </w:r>
      <w:r w:rsidRPr="00AA0D15">
        <w:t xml:space="preserve">. </w:t>
      </w:r>
      <w:r w:rsidRPr="00AA0D15">
        <w:rPr>
          <w:rStyle w:val="StyleUnderline"/>
        </w:rPr>
        <w:t>Such an approach allows the broadest possible access for vaccine throughout the season and is consistent with national data that indicate adults in the United States receive influenza vaccine in a wide variety of venues, including private provider offices, worksites, clinics, hospitals, health departments, retail settings, and senior centers</w:t>
      </w:r>
      <w:r w:rsidRPr="00AA0D15">
        <w:t>. While there is a relationship between age or health status and the location in which vaccines are received, the data demonstrate that all of these venues serve at least some elderly or high risk patients.</w:t>
      </w:r>
    </w:p>
    <w:p w:rsidR="00C47278" w:rsidRPr="00AA0D15" w:rsidRDefault="00C47278" w:rsidP="00C47278">
      <w:pPr>
        <w:pStyle w:val="Heading3"/>
        <w:rPr>
          <w:rFonts w:cs="Times New Roman"/>
        </w:rPr>
      </w:pPr>
      <w:r w:rsidRPr="00AA0D15">
        <w:rPr>
          <w:rFonts w:cs="Times New Roman"/>
        </w:rPr>
        <w:t>AT states can’t fund</w:t>
      </w:r>
    </w:p>
    <w:p w:rsidR="00C47278" w:rsidRPr="00AA0D15" w:rsidRDefault="00C47278" w:rsidP="00C47278">
      <w:pPr>
        <w:pStyle w:val="Heading4"/>
        <w:rPr>
          <w:rFonts w:cs="Times New Roman"/>
        </w:rPr>
      </w:pPr>
      <w:r w:rsidRPr="00AA0D15">
        <w:rPr>
          <w:rFonts w:cs="Times New Roman"/>
        </w:rPr>
        <w:t>States can fund vaccines and other existing programs and insurance solve</w:t>
      </w:r>
    </w:p>
    <w:p w:rsidR="00C47278" w:rsidRPr="00AA0D15" w:rsidRDefault="00C47278" w:rsidP="00C47278">
      <w:r w:rsidRPr="00AA0D15">
        <w:rPr>
          <w:rStyle w:val="Style13ptBold"/>
        </w:rPr>
        <w:t>NCSL 15</w:t>
      </w:r>
      <w:r w:rsidRPr="00AA0D15">
        <w:t xml:space="preserve"> (</w:t>
      </w:r>
      <w:bookmarkStart w:id="2" w:name="_Hlk486517125"/>
      <w:r w:rsidRPr="00AA0D15">
        <w:t>National Council of State Legislatures</w:t>
      </w:r>
      <w:bookmarkEnd w:id="2"/>
      <w:r w:rsidRPr="00AA0D15">
        <w:t>, 1-12-2015, "Immunizations Policy Issues Overview," National Council of State Legislatures, http://www.ncsl.org/research/health/immunizations-policy-issues-overview.aspx, Accessed: 6-29-2017 /Kent Denver-NK)</w:t>
      </w:r>
    </w:p>
    <w:p w:rsidR="00C47278" w:rsidRPr="00AA0D15" w:rsidRDefault="00C47278" w:rsidP="00C47278">
      <w:pPr>
        <w:rPr>
          <w:rStyle w:val="StyleUnderline"/>
        </w:rPr>
      </w:pPr>
      <w:r w:rsidRPr="00AA0D15">
        <w:rPr>
          <w:rStyle w:val="StyleUnderline"/>
        </w:rPr>
        <w:t>Immunizations are heralded as one of the 20th century's most cost-effective public health achievements</w:t>
      </w:r>
      <w:r w:rsidRPr="00AA0D15">
        <w:t xml:space="preserve">.  Immunizations protect both individuals and the larger population, especially those people who have immune system disorders and cannot be vaccinated.  </w:t>
      </w:r>
      <w:r w:rsidRPr="00AA0D15">
        <w:rPr>
          <w:rStyle w:val="StyleUnderline"/>
        </w:rPr>
        <w:t>In their role as guardians of the public's health, states play a significant role in determining immunization policies.</w:t>
      </w:r>
    </w:p>
    <w:p w:rsidR="00C47278" w:rsidRPr="00AA0D15" w:rsidRDefault="00C47278" w:rsidP="00C47278">
      <w:r w:rsidRPr="00AA0D15">
        <w:rPr>
          <w:rStyle w:val="StyleUnderline"/>
        </w:rPr>
        <w:t>As with other public health programs, immunization programs are invisible when they are working well</w:t>
      </w:r>
      <w:r w:rsidRPr="00AA0D15">
        <w:t xml:space="preserve">.  High vaccination coverage rates and low incidences of diseases indicate a successful immunization program.  A measles outbreak or bioterrorism threats such as anthrax and smallpox, however, remind us of the important role immunizations play in the public health system. </w:t>
      </w:r>
    </w:p>
    <w:p w:rsidR="00C47278" w:rsidRPr="00AA0D15" w:rsidRDefault="00C47278" w:rsidP="00C47278">
      <w:r w:rsidRPr="00AA0D15">
        <w:rPr>
          <w:rStyle w:val="StyleUnderline"/>
        </w:rPr>
        <w:t xml:space="preserve">State legislators face decisions related to the increasingly complex vaccine schedules and recommendations. They are asked to balance the need to protect the public's health against the difficulties presented by funding the recommended vaccines </w:t>
      </w:r>
      <w:r w:rsidRPr="00AA0D15">
        <w:t xml:space="preserve">and addressing concerns of citizens who may object to mandatory immunization recommendations. </w:t>
      </w:r>
    </w:p>
    <w:p w:rsidR="00C47278" w:rsidRPr="00AA0D15" w:rsidRDefault="00C47278" w:rsidP="00C47278">
      <w:r w:rsidRPr="00AA0D15">
        <w:t>School Requirements</w:t>
      </w:r>
    </w:p>
    <w:p w:rsidR="00C47278" w:rsidRPr="00AA0D15" w:rsidRDefault="00C47278" w:rsidP="00C47278">
      <w:r w:rsidRPr="00AA0D15">
        <w:t>From the time they are born, babies face numerous immunizations- up to 28 shots by age 2. The Advisory Committee on Immunization Practices (ACIP) recommends vaccine schedules for children, adolescents and adults based on scientific evidence and the benefits of preventing infectious diseases.</w:t>
      </w:r>
    </w:p>
    <w:p w:rsidR="00C47278" w:rsidRPr="00AA0D15" w:rsidRDefault="00C47278" w:rsidP="00C47278">
      <w:r w:rsidRPr="00AA0D15">
        <w:t>School and daycare immunization requirements serve as a "safety net" for children who do not receive their recommended immunizations as an infant or small child. All school requirement laws are state-based and usually reflect the recommendations of the ACIP. It is important to note that some states give the state public health officer the authority to change school requirements through administrative rule. Others revise school requirements through a combination of rules and legislation or strictly by legislative action. Regardless, the state legislature plays an important oversight role in these systems.</w:t>
      </w:r>
    </w:p>
    <w:p w:rsidR="00C47278" w:rsidRPr="00AA0D15" w:rsidRDefault="00C47278" w:rsidP="00C47278">
      <w:r w:rsidRPr="00AA0D15">
        <w:t>School requirements are not without controversy, however. Some parents and advocates contend that vaccine mandates infringe on a person's individual rights to choose, especially if a parent is concerned that vaccines may harm children. Therefore, many states have expanded their immunization exemption laws to accommodate those who may not believe in immunization mandates.</w:t>
      </w:r>
    </w:p>
    <w:p w:rsidR="00C47278" w:rsidRPr="00AA0D15" w:rsidRDefault="00C47278" w:rsidP="00C47278">
      <w:r w:rsidRPr="00AA0D15">
        <w:t>Immunization Action Coalition</w:t>
      </w:r>
    </w:p>
    <w:p w:rsidR="00C47278" w:rsidRPr="00AA0D15" w:rsidRDefault="00C47278" w:rsidP="00C47278">
      <w:r w:rsidRPr="00AA0D15">
        <w:t>State Mandates of Immunization and Vaccine Preventable Diseases</w:t>
      </w:r>
    </w:p>
    <w:p w:rsidR="00C47278" w:rsidRPr="00AA0D15" w:rsidRDefault="00C47278" w:rsidP="00C47278">
      <w:r w:rsidRPr="00AA0D15">
        <w:t>Exemptions</w:t>
      </w:r>
    </w:p>
    <w:p w:rsidR="00C47278" w:rsidRPr="00AA0D15" w:rsidRDefault="00C47278" w:rsidP="00C47278">
      <w:r w:rsidRPr="00AA0D15">
        <w:t>States have implemented a variety of immunization exemption laws and administrative rules. Although exemption laws vary from state to state, all states allow exemptions for medical reasons, and almost all states (except Mississippi and West Virginia) grant religious exemptions for people who have sincere religious beliefs that prohibit immunizations. Some states have passed laws allowing individuals to claim philosophic exemptions. Currently, 20 states have some type of philosophical exemption law. These laws allow parents to claim an exemption based on their personal, moral or other beliefs.</w:t>
      </w:r>
    </w:p>
    <w:p w:rsidR="00C47278" w:rsidRPr="00AA0D15" w:rsidRDefault="00C47278" w:rsidP="00C47278">
      <w:r w:rsidRPr="00AA0D15">
        <w:t>States with Religious and Philosophical Exemptions from School Immunization Requirements</w:t>
      </w:r>
    </w:p>
    <w:p w:rsidR="00C47278" w:rsidRPr="00AA0D15" w:rsidRDefault="00C47278" w:rsidP="00C47278">
      <w:r w:rsidRPr="00AA0D15">
        <w:t xml:space="preserve">National Conference of State Legislatures webpage. </w:t>
      </w:r>
    </w:p>
    <w:p w:rsidR="00C47278" w:rsidRPr="00AA0D15" w:rsidRDefault="00C47278" w:rsidP="00C47278">
      <w:r w:rsidRPr="00AA0D15">
        <w:t>Financing Childhood Immunizations</w:t>
      </w:r>
    </w:p>
    <w:p w:rsidR="00C47278" w:rsidRPr="00AA0D15" w:rsidRDefault="00C47278" w:rsidP="00C47278">
      <w:r w:rsidRPr="00AA0D15">
        <w:rPr>
          <w:rStyle w:val="StyleUnderline"/>
        </w:rPr>
        <w:t xml:space="preserve">According to the Association of State and Territorial Health Officials, every $1 spent on immunizations saves $16 in avoided costs, </w:t>
      </w:r>
      <w:r w:rsidRPr="00AA0D15">
        <w:t>but vaccines are not cheap. The federal contract price for all vaccines recommended to age 18 increased from $45 in 1985 to $1,105 for males and $1,407 for females in 2008 for programs that receive immunization grants. Factors pushing up costs include new vaccines and inflation.</w:t>
      </w:r>
    </w:p>
    <w:p w:rsidR="00C47278" w:rsidRPr="00AA0D15" w:rsidRDefault="00C47278" w:rsidP="00C47278">
      <w:r w:rsidRPr="00AA0D15">
        <w:t>Federal Programs</w:t>
      </w:r>
    </w:p>
    <w:p w:rsidR="00C47278" w:rsidRPr="00AA0D15" w:rsidRDefault="00C47278" w:rsidP="00C47278">
      <w:pPr>
        <w:rPr>
          <w:rStyle w:val="StyleUnderline"/>
        </w:rPr>
      </w:pPr>
      <w:r w:rsidRPr="00AA0D15">
        <w:rPr>
          <w:rStyle w:val="StyleUnderline"/>
        </w:rPr>
        <w:t>Federal funds pay for approximately 95 percent of all publicly funded vaccinations. The two sources of federal funds are:</w:t>
      </w:r>
    </w:p>
    <w:p w:rsidR="00C47278" w:rsidRPr="00AA0D15" w:rsidRDefault="00C47278" w:rsidP="00C47278">
      <w:pPr>
        <w:rPr>
          <w:rStyle w:val="StyleUnderline"/>
        </w:rPr>
      </w:pPr>
      <w:r w:rsidRPr="00AA0D15">
        <w:rPr>
          <w:rStyle w:val="StyleUnderline"/>
        </w:rPr>
        <w:t>Vaccines for Children Program (VFC): This program provides free vaccines for children who are uninsured, Medicaid-eligible, underinsured</w:t>
      </w:r>
      <w:r w:rsidRPr="00AA0D15">
        <w:t xml:space="preserve"> (if receiving immunizations in a federally qualified health center or rural health clinic), </w:t>
      </w:r>
      <w:r w:rsidRPr="00AA0D15">
        <w:rPr>
          <w:rStyle w:val="StyleUnderline"/>
        </w:rPr>
        <w:t>Native American or Alaska Native</w:t>
      </w:r>
      <w:r w:rsidRPr="00AA0D15">
        <w:t xml:space="preserve">. In 2007, </w:t>
      </w:r>
      <w:r w:rsidRPr="00AA0D15">
        <w:rPr>
          <w:rStyle w:val="StyleUnderline"/>
        </w:rPr>
        <w:t>the National Immunization Program at the CDC awarded over $2.5 billion in VFC funds to state, local and territorial public health agencies for program operations and vaccine purchase.</w:t>
      </w:r>
    </w:p>
    <w:p w:rsidR="00C47278" w:rsidRPr="00AA0D15" w:rsidRDefault="00C47278" w:rsidP="00C47278">
      <w:r w:rsidRPr="00AA0D15">
        <w:t>Section 317 of the Public Health Services Act: is a federal program administered by the CDC and provides grants to states and territories, commonwealth trusts, and several cities for vaccine purchase and programs such as outreach and disease surveillance. The Affordable Care Act (ACA) reauthorizes the Section 317 grant program. Under section 317, prior to enactment of the ACA, states could purchase only recommended childhood immunizations; however, the ACA authorizes states to purchase recommended vaccines for adults as well. The U.S. Department of Health and Human Services secretary can negotiate and contract with vaccine manufacturers, allowing states to receive adult vaccines at a negotiated price and provide these vaccines to adults in their immunization programs.</w:t>
      </w:r>
    </w:p>
    <w:p w:rsidR="00C47278" w:rsidRPr="00AA0D15" w:rsidRDefault="00C47278" w:rsidP="00C47278">
      <w:r w:rsidRPr="00AA0D15">
        <w:t>State Programs</w:t>
      </w:r>
    </w:p>
    <w:p w:rsidR="00C47278" w:rsidRPr="00AA0D15" w:rsidRDefault="00C47278" w:rsidP="00C47278">
      <w:pPr>
        <w:rPr>
          <w:rStyle w:val="StyleUnderline"/>
        </w:rPr>
      </w:pPr>
      <w:r w:rsidRPr="00AA0D15">
        <w:t xml:space="preserve">The majority of states depend primarily on federal resources to purchase vaccines. However, federal programs do not cover all children, so many </w:t>
      </w:r>
      <w:r w:rsidRPr="00AA0D15">
        <w:rPr>
          <w:rStyle w:val="StyleUnderline"/>
        </w:rPr>
        <w:t xml:space="preserve">states supplement these funds. </w:t>
      </w:r>
    </w:p>
    <w:p w:rsidR="00C47278" w:rsidRPr="00AA0D15" w:rsidRDefault="00C47278" w:rsidP="00C47278">
      <w:pPr>
        <w:rPr>
          <w:rStyle w:val="StyleUnderline"/>
        </w:rPr>
      </w:pPr>
      <w:r w:rsidRPr="00AA0D15">
        <w:rPr>
          <w:rStyle w:val="StyleUnderline"/>
        </w:rPr>
        <w:t>Universal Purchase: As of 2014, 7 states (Indiana, Maine, New Hampshire, New Mexico, Rhode Island, Vermont, and Washington) have universal purchase policies where the states or territory purchase all recommended vaccines for all children, including those who are fully insured. Two other states (Florida and North Dakota) and American Samoa have universal purchase polices for public providers. Five other states (Alaska, Connecticut, Massachusetts, South Dakota, Wyoming) have universal select programs that purchase all recommended vaccines for all children with the exception of one or more vaccines.</w:t>
      </w:r>
      <w:r w:rsidRPr="00AA0D15">
        <w:t xml:space="preserve"> Ohio has a universal select program for public providers. Once purchased, </w:t>
      </w:r>
      <w:r w:rsidRPr="00AA0D15">
        <w:rPr>
          <w:rStyle w:val="StyleUnderline"/>
        </w:rPr>
        <w:t>these vaccines are distributed to all public and private providers, who may charge an administration fee.</w:t>
      </w:r>
    </w:p>
    <w:p w:rsidR="00C47278" w:rsidRPr="00AA0D15" w:rsidRDefault="00C47278" w:rsidP="00C47278">
      <w:r w:rsidRPr="00AA0D15">
        <w:rPr>
          <w:rStyle w:val="StyleUnderline"/>
        </w:rPr>
        <w:t>Insurance Requirements: The ACA requires new health plans and insurance policies to provide coverage without cost sharing, such as copayments or coinsurance, for certain preventive services</w:t>
      </w:r>
      <w:r w:rsidRPr="00AA0D15">
        <w:t>. Preventive services in the law specifically include immunizations recommended by the national Advisory Committee on Immunization Practices (ACIP)–15 health experts appointed by the U.S. Secretary of Health and Human Services, who recommend vaccine schedules for children, adolescents and adults. According to regulations from the secretary issued in July 2010, new insurance plans or policies as of September 23, 2010 are required to provide preventive services, including ACIP-recommended vaccines without imposing out of pocket costs on the policy holder. Provisions allow for up to a one year delay for coverage of a newly recommended ACIP vaccine.</w:t>
      </w:r>
    </w:p>
    <w:p w:rsidR="00C47278" w:rsidRPr="00AA0D15" w:rsidRDefault="00C47278" w:rsidP="00C47278">
      <w:pPr>
        <w:rPr>
          <w:rStyle w:val="StyleUnderline"/>
        </w:rPr>
      </w:pPr>
      <w:r w:rsidRPr="00AA0D15">
        <w:t xml:space="preserve">According to the American Academy of Pediatrics, </w:t>
      </w:r>
      <w:r w:rsidRPr="00AA0D15">
        <w:rPr>
          <w:rStyle w:val="StyleUnderline"/>
        </w:rPr>
        <w:t>at least 29 states require insurance companies to cover childhood immunizations</w:t>
      </w:r>
      <w:r w:rsidRPr="00AA0D15">
        <w:t xml:space="preserve">. </w:t>
      </w:r>
      <w:r w:rsidRPr="00AA0D15">
        <w:rPr>
          <w:rStyle w:val="StyleUnderline"/>
        </w:rPr>
        <w:t>States vary on which immunizations are covered. Some require those vaccines recommended by the American Academy of Pediatrics or the Advisory Committee on Immunization Practices (ACIP). Some of these states choose to include an immunization mandate as part of their "well-child" coverage. In this case, the requirement covers a wide variety of preventive services for children, which includes the recommended immunizations.</w:t>
      </w:r>
    </w:p>
    <w:p w:rsidR="00C47278" w:rsidRPr="00AA0D15" w:rsidRDefault="00C47278" w:rsidP="00C47278">
      <w:pPr>
        <w:rPr>
          <w:rStyle w:val="StyleUnderline"/>
        </w:rPr>
      </w:pPr>
    </w:p>
    <w:p w:rsidR="00C47278" w:rsidRPr="00AA0D15" w:rsidRDefault="00C47278" w:rsidP="00C47278">
      <w:pPr>
        <w:pStyle w:val="Heading4"/>
        <w:rPr>
          <w:rFonts w:cs="Times New Roman"/>
        </w:rPr>
      </w:pPr>
      <w:r w:rsidRPr="00AA0D15">
        <w:rPr>
          <w:rFonts w:cs="Times New Roman"/>
        </w:rPr>
        <w:t>Existing fed programs solve funding and states also can fund – the CP doesn’t reverse those</w:t>
      </w:r>
    </w:p>
    <w:p w:rsidR="00C47278" w:rsidRPr="00AA0D15" w:rsidRDefault="00C47278" w:rsidP="00C47278">
      <w:r w:rsidRPr="00AA0D15">
        <w:rPr>
          <w:rStyle w:val="Style13ptBold"/>
        </w:rPr>
        <w:t>Hinman et al. 4</w:t>
      </w:r>
      <w:r w:rsidRPr="00AA0D15">
        <w:t xml:space="preserve"> (Alan R. Hinman, Walter A. Orenstein, Lance Rodewald, 5-15-2004, "Financing Immunizations in the United States,"  Infectious Diseases Society of America, https://academic.oup.com/cid/article/38/10/1440/346900/Financing-Immunizations-in-the-United-States, Accessed: 6-29-2017 /Kent Denver-NK)</w:t>
      </w:r>
    </w:p>
    <w:p w:rsidR="00C47278" w:rsidRPr="00AA0D15" w:rsidRDefault="00C47278" w:rsidP="00C47278">
      <w:r w:rsidRPr="00AA0D15">
        <w:rPr>
          <w:rStyle w:val="StyleUnderline"/>
        </w:rPr>
        <w:t>Children in the United States receive immunizations through both private and public sectors</w:t>
      </w:r>
      <w:r w:rsidRPr="00AA0D15">
        <w:t xml:space="preserve">. </w:t>
      </w:r>
      <w:r w:rsidRPr="00AA0D15">
        <w:rPr>
          <w:rStyle w:val="StyleUnderline"/>
        </w:rPr>
        <w:t>The federal government has supported childhood immunization since 1963 through the Vaccination Assistance Act (Section 317 of the Public Health Service Act</w:t>
      </w:r>
      <w:r w:rsidRPr="00AA0D15">
        <w:t xml:space="preserve">). Since 1994, </w:t>
      </w:r>
      <w:r w:rsidRPr="00AA0D15">
        <w:rPr>
          <w:rStyle w:val="StyleUnderline"/>
        </w:rPr>
        <w:t>the Vaccines for Children (VFC) program has provided additional support for childhood vaccines. In 2002, 41% of childhood vaccines were purchased through VFC, 11% through Section 317, 5% through state and/or local governments, and 43% through the private sector</w:t>
      </w:r>
      <w:r w:rsidRPr="00AA0D15">
        <w:t>. The recent introduction of more-expensive vaccines, such as pneumococcal conjugate vaccine, has highlighted weaknesses in the current system. Adult immunization is primarily performed in the private sector. Until 1981</w:t>
      </w:r>
      <w:r w:rsidRPr="00AA0D15">
        <w:rPr>
          <w:rStyle w:val="StyleUnderline"/>
        </w:rPr>
        <w:t>, there was no federal support for adult immunization</w:t>
      </w:r>
      <w:r w:rsidRPr="00AA0D15">
        <w:t>. Since 1981</w:t>
      </w:r>
      <w:r w:rsidRPr="00AA0D15">
        <w:rPr>
          <w:rStyle w:val="StyleUnderline"/>
        </w:rPr>
        <w:t>, Medicare has reimbursed the cost of pneumococcal vaccine for its beneficiaries; influenza vaccine was added in 1993</w:t>
      </w:r>
      <w:r w:rsidRPr="00AA0D15">
        <w:t>. This paper summarizes the history of financing immunizations in the United States and discusses some current problems and proposed solutions.</w:t>
      </w:r>
    </w:p>
    <w:p w:rsidR="00C47278" w:rsidRPr="00AA0D15" w:rsidRDefault="00C47278" w:rsidP="00C47278"/>
    <w:p w:rsidR="00C47278" w:rsidRPr="00AA0D15" w:rsidRDefault="00C47278" w:rsidP="00C47278">
      <w:pPr>
        <w:pStyle w:val="Heading2"/>
        <w:rPr>
          <w:rFonts w:cs="Times New Roman"/>
        </w:rPr>
      </w:pPr>
      <w:r w:rsidRPr="00AA0D15">
        <w:rPr>
          <w:rFonts w:cs="Times New Roman"/>
        </w:rPr>
        <w:t>CURRICULUM</w:t>
      </w:r>
    </w:p>
    <w:p w:rsidR="00C47278" w:rsidRPr="00AA0D15" w:rsidRDefault="00C47278" w:rsidP="00C47278">
      <w:pPr>
        <w:pStyle w:val="Heading3"/>
        <w:rPr>
          <w:rFonts w:cs="Times New Roman"/>
        </w:rPr>
      </w:pPr>
      <w:r w:rsidRPr="00AA0D15">
        <w:rPr>
          <w:rFonts w:cs="Times New Roman"/>
        </w:rPr>
        <w:t>1nc CP</w:t>
      </w:r>
    </w:p>
    <w:p w:rsidR="00C47278" w:rsidRPr="00AA0D15" w:rsidRDefault="00C47278" w:rsidP="00C47278">
      <w:pPr>
        <w:pStyle w:val="Heading4"/>
        <w:rPr>
          <w:rFonts w:cs="Times New Roman"/>
        </w:rPr>
      </w:pPr>
      <w:r w:rsidRPr="00AA0D15">
        <w:rPr>
          <w:rFonts w:cs="Times New Roman"/>
        </w:rPr>
        <w:t>The United States federal government should</w:t>
      </w:r>
    </w:p>
    <w:p w:rsidR="00C47278" w:rsidRPr="00AA0D15" w:rsidRDefault="00C47278" w:rsidP="00C47278">
      <w:pPr>
        <w:pStyle w:val="Heading4"/>
        <w:numPr>
          <w:ilvl w:val="0"/>
          <w:numId w:val="14"/>
        </w:numPr>
        <w:spacing w:before="40" w:line="259" w:lineRule="auto"/>
        <w:rPr>
          <w:rFonts w:cs="Times New Roman"/>
        </w:rPr>
      </w:pPr>
      <w:r w:rsidRPr="00AA0D15">
        <w:rPr>
          <w:rFonts w:cs="Times New Roman"/>
        </w:rPr>
        <w:t>Permit state flexibility and autonomy in exchange for educational transparency</w:t>
      </w:r>
    </w:p>
    <w:p w:rsidR="00C47278" w:rsidRPr="00AA0D15" w:rsidRDefault="00C47278" w:rsidP="00C47278">
      <w:pPr>
        <w:pStyle w:val="Heading4"/>
        <w:numPr>
          <w:ilvl w:val="0"/>
          <w:numId w:val="14"/>
        </w:numPr>
        <w:spacing w:before="40" w:line="259" w:lineRule="auto"/>
        <w:rPr>
          <w:rFonts w:cs="Times New Roman"/>
        </w:rPr>
      </w:pPr>
      <w:r w:rsidRPr="00AA0D15">
        <w:rPr>
          <w:rFonts w:cs="Times New Roman"/>
        </w:rPr>
        <w:t>Allow states to enforce intra state-based accountability systems and model off successful programs</w:t>
      </w:r>
    </w:p>
    <w:p w:rsidR="00C47278" w:rsidRPr="00AA0D15" w:rsidRDefault="00C47278" w:rsidP="00C47278">
      <w:pPr>
        <w:pStyle w:val="Heading4"/>
        <w:numPr>
          <w:ilvl w:val="0"/>
          <w:numId w:val="14"/>
        </w:numPr>
        <w:spacing w:before="40" w:line="259" w:lineRule="auto"/>
        <w:rPr>
          <w:rFonts w:cs="Times New Roman"/>
        </w:rPr>
      </w:pPr>
      <w:r w:rsidRPr="00AA0D15">
        <w:rPr>
          <w:rFonts w:cs="Times New Roman"/>
        </w:rPr>
        <w:t>Have states provide school-performance information to parents and taxpayers</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Solves better than national standards for education</w:t>
      </w:r>
    </w:p>
    <w:p w:rsidR="00C47278" w:rsidRPr="00AA0D15" w:rsidRDefault="00C47278" w:rsidP="00C47278">
      <w:pPr>
        <w:rPr>
          <w:b/>
          <w:bCs/>
          <w:sz w:val="26"/>
        </w:rPr>
      </w:pPr>
      <w:r w:rsidRPr="00AA0D15">
        <w:rPr>
          <w:rStyle w:val="Style13ptBold"/>
        </w:rPr>
        <w:t>Marshall and Burke 10</w:t>
      </w:r>
      <w:r w:rsidRPr="00AA0D15">
        <w:t xml:space="preserve"> (Jennifer Marshall and Lindsey Burke, Heritage, “Why National Standards Won’t Fix American Education: Misalignment of Power and Incentives” 5/21/10 —Lindsey M. Burke is a Policy Analyst in the Domestic Policy Studies Department, and Jennifer A. Marshall is Director of Domestic Policy Studies, at The Heritage Foundation. http://www.heritage.org/education/report/why-national-standards-wont-fix-american-education-misalignment-power-and) GG</w:t>
      </w:r>
    </w:p>
    <w:p w:rsidR="00C47278" w:rsidRPr="00AA0D15" w:rsidRDefault="00C47278" w:rsidP="00C47278">
      <w:pPr>
        <w:rPr>
          <w:rStyle w:val="StyleUnderline"/>
        </w:rPr>
      </w:pPr>
      <w:r w:rsidRPr="00AA0D15">
        <w:t xml:space="preserve">What </w:t>
      </w:r>
      <w:r w:rsidRPr="00AA0D15">
        <w:rPr>
          <w:rStyle w:val="StyleUnderline"/>
        </w:rPr>
        <w:t>State Policymakers Should</w:t>
      </w:r>
      <w:r w:rsidRPr="00AA0D15">
        <w:t xml:space="preserve"> Do </w:t>
      </w:r>
      <w:r w:rsidRPr="00AA0D15">
        <w:rPr>
          <w:rStyle w:val="StyleUnderline"/>
        </w:rPr>
        <w:t>Strengthen state-based accountability systems</w:t>
      </w:r>
      <w:r w:rsidRPr="00AA0D15">
        <w:t xml:space="preserve">. </w:t>
      </w:r>
      <w:r w:rsidRPr="00AA0D15">
        <w:rPr>
          <w:rStyle w:val="StyleUnderline"/>
        </w:rPr>
        <w:t xml:space="preserve">Instead of signing on to common standards </w:t>
      </w:r>
      <w:r w:rsidRPr="00AA0D15">
        <w:t xml:space="preserve">that will drive state curricula, state education leaders should strengthen state standards and tests. </w:t>
      </w:r>
      <w:r w:rsidRPr="00AA0D15">
        <w:rPr>
          <w:rStyle w:val="StyleUnderline"/>
        </w:rPr>
        <w:t>States should follow the example of models like Massachusetts or Virginia in creating solid standards and aligned assessments</w:t>
      </w:r>
      <w:r w:rsidRPr="00AA0D15">
        <w:t xml:space="preserve">. State standards can also be strengthened by continually raising the bar on achievement. As students reach content proficiency, the proficiency bar should be raised to further challenge students to meet the demands of college coursework and competitive careers. </w:t>
      </w:r>
      <w:r w:rsidRPr="00AA0D15">
        <w:rPr>
          <w:rStyle w:val="StyleUnderline"/>
        </w:rPr>
        <w:t>States with outstanding standards and tests have taken great pains to ensure proper and precise learning sequencing. This is appropriate at the state level</w:t>
      </w:r>
      <w:r w:rsidRPr="00AA0D15">
        <w:t xml:space="preserve">, where teacher certification and other integrated factors of a quality education system are determined. The Bay State requires teachers to be proficient in all aspects of the Massachusetts Comprehensive Assessment System (MCAS) and in all subject matter content, and it aligns teacher testing to state standards.[25] Mastery of general content knowledge and subject matter knowledge required by teachers helps to ensure that standards are aligned both horizontally, so that students learn content aligned by grade level, and vertically, to eliminate redundant content and verify subject mastery.[26] An initial criticism of the common core standards was that there were “grade-sequencing problems in some places…such as requiring a math skill in one grade level without prerequisite skills in the previous grade level.”[27] </w:t>
      </w:r>
      <w:r w:rsidRPr="00AA0D15">
        <w:rPr>
          <w:rStyle w:val="StyleUnderline"/>
        </w:rPr>
        <w:t xml:space="preserve">Provide school-performance information to parents and taxpayers. States should publish the standards along with cut scores </w:t>
      </w:r>
      <w:r w:rsidRPr="00AA0D15">
        <w:t xml:space="preserve">(passing-grade thresholds for a particular test) </w:t>
      </w:r>
      <w:r w:rsidRPr="00AA0D15">
        <w:rPr>
          <w:rStyle w:val="StyleUnderline"/>
        </w:rPr>
        <w:t>and clear definitions of what it means for a student to be deemed proficient</w:t>
      </w:r>
      <w:r w:rsidRPr="00AA0D15">
        <w:t xml:space="preserve">. States could publish this information in a Consumer Reports–type guide that is accessible to parents and taxpayers. At the university level, parents and students already have access to this type of information through independent reviewers such as the Princeton Review,[28] the College Board,[29] and the Intercollegiate Studies Institute.[30] It is critical that what it means to be proficient in a subject is defined clearly; determining student performance on assessments without a clear definition of proficiency is analogous to “reading a map without a scale.”[31] </w:t>
      </w:r>
      <w:r w:rsidRPr="00AA0D15">
        <w:rPr>
          <w:rStyle w:val="StyleUnderline"/>
        </w:rPr>
        <w:t xml:space="preserve">In order to ensure that the public has a clear understanding of a state’s cut scores, the scores should be published for tested subjects with an explanation of how those scores were determined. </w:t>
      </w:r>
      <w:r w:rsidRPr="00AA0D15">
        <w:t xml:space="preserve">Empower parents to act on school-performance information. Ultimately, providing parents with clear information about school performance is useful only when parents can act on that information. Transparency is the first step. Empowering parents to hold schools accountable through school choice is the important next step to improve educational outcomes. Parents in Florida, for example, have access to high-quality information about their children’s school performance and, as a result, are able to make informed decisions about school enrollment. Schools and districts in the Sunshine State are graded on a common-sense, straightforward A-to-F grading scale; parents understand that it is better to have a child in a school that has received an A than it is to have that child in a school that has received an F. Additionally, parents in Florida have access to education tax credits, private school choice for special-needs students, virtual education, charter schools, and public school choice. Transparency about school performance enables parents to be well informed; these many choices hold schools accountable to parents.[32] What </w:t>
      </w:r>
      <w:r w:rsidRPr="00AA0D15">
        <w:rPr>
          <w:rStyle w:val="StyleUnderline"/>
        </w:rPr>
        <w:t>Federal Policymakers Should</w:t>
      </w:r>
      <w:r w:rsidRPr="00AA0D15">
        <w:t xml:space="preserve"> Do </w:t>
      </w:r>
      <w:r w:rsidRPr="00AA0D15">
        <w:rPr>
          <w:rStyle w:val="StyleUnderline"/>
        </w:rPr>
        <w:t>Permit state flexibility and autonomy in exchange for transparency</w:t>
      </w:r>
      <w:r w:rsidRPr="00AA0D15">
        <w:t xml:space="preserve">. As the Obama Administration considers reauthorization of the Elementary and Secondary Education Act this year, </w:t>
      </w:r>
      <w:r w:rsidRPr="00AA0D15">
        <w:rPr>
          <w:rStyle w:val="StyleUnderline"/>
        </w:rPr>
        <w:t>federal policymakers should pursue policies that will increase transparency in state accountability systems and improve accountability to parents</w:t>
      </w:r>
      <w:r w:rsidRPr="00AA0D15">
        <w:t xml:space="preserve">. To those ends, </w:t>
      </w:r>
      <w:r w:rsidRPr="00AA0D15">
        <w:rPr>
          <w:rStyle w:val="StyleUnderline"/>
        </w:rPr>
        <w:t>policymakers should provide states with increased flexibility and freedom from federal red tape so that their focus is aligned not with the federal funding incentive</w:t>
      </w:r>
      <w:r w:rsidRPr="00AA0D15">
        <w:t xml:space="preserve"> or the demands of teachers unions, </w:t>
      </w:r>
      <w:r w:rsidRPr="00AA0D15">
        <w:rPr>
          <w:rStyle w:val="StyleUnderline"/>
        </w:rPr>
        <w:t>but with direct accountability</w:t>
      </w:r>
      <w:r w:rsidRPr="00AA0D15">
        <w:t xml:space="preserve"> </w:t>
      </w:r>
      <w:r w:rsidRPr="00AA0D15">
        <w:rPr>
          <w:rStyle w:val="StyleUnderline"/>
        </w:rPr>
        <w:t>to</w:t>
      </w:r>
      <w:r w:rsidRPr="00AA0D15">
        <w:t xml:space="preserve"> </w:t>
      </w:r>
      <w:r w:rsidRPr="00AA0D15">
        <w:rPr>
          <w:rStyle w:val="StyleUnderline"/>
        </w:rPr>
        <w:t>parents</w:t>
      </w:r>
      <w:r w:rsidRPr="00AA0D15">
        <w:t xml:space="preserve"> </w:t>
      </w:r>
      <w:r w:rsidRPr="00AA0D15">
        <w:rPr>
          <w:rStyle w:val="StyleUnderline"/>
        </w:rPr>
        <w:t>and</w:t>
      </w:r>
      <w:r w:rsidRPr="00AA0D15">
        <w:t xml:space="preserve"> </w:t>
      </w:r>
      <w:r w:rsidRPr="00AA0D15">
        <w:rPr>
          <w:rStyle w:val="StyleUnderline"/>
        </w:rPr>
        <w:t>students</w:t>
      </w:r>
      <w:r w:rsidRPr="00AA0D15">
        <w:t xml:space="preserve">. Conclusion The Obama Administration’s recently released “blueprint” for reauthorization of the Elementary and Secondary Education Act creates strong pressure for states to sign on to the common standards initiative. The Administration is crafting both incentives (Race to the Top) and penalties (denied access to Title I funding) to promote adoption of national standards and tests. National standards and assessments will not deliver on the promises made by proponents because they fail to address the fundamental misalignment of power and incentives in public education today; teachers union demands and federal funding incentives often compete with student learning objectives. National standards will also continue the trend of an ever-expanding federal role in education. Decades of increased federal involvement, beginning with President Lyndon Johnson’s implementation of the Elementary and Secondary Education Act (ESEA) in 1965, have not led to comparable increases in academic achievement. National standards are unlikely to make public schools accountable to families; rather, they are more likely to make schools responsive to Washington, D.C. Furthermore, a national accountability system would be a one-size-fits-all approach that tends toward mediocrity and standardization, undercutting the pockets of excellence that currently exist. To extend these islands of excellence, </w:t>
      </w:r>
      <w:r w:rsidRPr="00AA0D15">
        <w:rPr>
          <w:rStyle w:val="StyleUnderline"/>
        </w:rPr>
        <w:t>public policy should better align power and incentives by strengthening state accountability systems, increasing transparency about results, and empowering parents to act on that information.</w:t>
      </w:r>
    </w:p>
    <w:p w:rsidR="00C47278" w:rsidRDefault="00C47278" w:rsidP="00C47278">
      <w:pPr>
        <w:pStyle w:val="Heading3"/>
        <w:rPr>
          <w:rFonts w:cs="Times New Roman"/>
        </w:rPr>
      </w:pPr>
      <w:r w:rsidRPr="00AA0D15">
        <w:rPr>
          <w:rFonts w:cs="Times New Roman"/>
        </w:rPr>
        <w:t>2nc solvency</w:t>
      </w:r>
    </w:p>
    <w:p w:rsidR="002B62E3" w:rsidRDefault="002B62E3" w:rsidP="002B62E3">
      <w:pPr>
        <w:pStyle w:val="Heading4"/>
      </w:pPr>
      <w:r>
        <w:t>State standards and resources solve curriculum mandates</w:t>
      </w:r>
    </w:p>
    <w:p w:rsidR="002B62E3" w:rsidRPr="0073550C" w:rsidRDefault="002B62E3" w:rsidP="002B62E3">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2B62E3" w:rsidRPr="0073550C" w:rsidRDefault="002B62E3" w:rsidP="002B62E3"/>
    <w:p w:rsidR="002B62E3" w:rsidRPr="002B62E3" w:rsidRDefault="002B62E3" w:rsidP="002B62E3">
      <w:r>
        <w:t xml:space="preserve">Finally, many </w:t>
      </w:r>
      <w:r w:rsidRPr="006928B5">
        <w:rPr>
          <w:rStyle w:val="StyleUnderline"/>
        </w:rPr>
        <w:t>states have the responsibility for selecting or recommending curriculum resources aligned to the standards</w:t>
      </w:r>
      <w:r>
        <w:t xml:space="preserve">. As numerous studies show, strong curricular materials are critical enablers of student learning.45 So </w:t>
      </w:r>
      <w:r w:rsidRPr="006928B5">
        <w:rPr>
          <w:rStyle w:val="StyleUnderline"/>
        </w:rPr>
        <w:t>even in states where curriculum adoption is a local issue, SEAs [State Education Agencies] might choose to support districts by publishing lists of standards-aligned curriculum materials or by providing tools for districts to use in selecting aligned materials</w:t>
      </w:r>
      <w:r>
        <w:t xml:space="preserve">. </w:t>
      </w:r>
    </w:p>
    <w:p w:rsidR="00C47278" w:rsidRPr="00AA0D15" w:rsidRDefault="00C47278" w:rsidP="00C47278">
      <w:pPr>
        <w:pStyle w:val="Heading4"/>
        <w:rPr>
          <w:rFonts w:cs="Times New Roman"/>
        </w:rPr>
      </w:pPr>
      <w:r w:rsidRPr="00AA0D15">
        <w:rPr>
          <w:rFonts w:cs="Times New Roman"/>
        </w:rPr>
        <w:t>Federal control over education through national standards fail – we need a decentralized approach to learning</w:t>
      </w:r>
    </w:p>
    <w:p w:rsidR="00C47278" w:rsidRPr="00AA0D15" w:rsidRDefault="00C47278" w:rsidP="00C47278">
      <w:pPr>
        <w:rPr>
          <w:rStyle w:val="Style13ptBold"/>
        </w:rPr>
      </w:pPr>
      <w:r w:rsidRPr="00AA0D15">
        <w:rPr>
          <w:rStyle w:val="Style13ptBold"/>
        </w:rPr>
        <w:t>Marshall and Burke 10</w:t>
      </w:r>
      <w:r w:rsidRPr="00AA0D15">
        <w:t xml:space="preserve"> (Jennifer Marshall and Lindsey Burke, Heritage, “Why National Standards Won’t Fix American Education: Misalignment of Power and Incentives” 5/21/10 —Lindsey M. Burke is a Policy Analyst in the Domestic Policy Studies Department, and Jennifer A. Marshall is Director of Domestic Policy Studies, at The Heritage Foundation. http://www.heritage.org/education/report/why-national-standards-wont-fix-american-education-misalignment-power-and) GG</w:t>
      </w:r>
    </w:p>
    <w:p w:rsidR="00C47278" w:rsidRPr="00AA0D15" w:rsidRDefault="00C47278" w:rsidP="00C47278">
      <w:r w:rsidRPr="00AA0D15">
        <w:rPr>
          <w:rStyle w:val="StyleUnderline"/>
        </w:rPr>
        <w:t>American education needs to be fixed</w:t>
      </w:r>
      <w:r w:rsidRPr="00AA0D15">
        <w:t xml:space="preserve">, </w:t>
      </w:r>
      <w:r w:rsidRPr="00AA0D15">
        <w:rPr>
          <w:rStyle w:val="StyleUnderline"/>
        </w:rPr>
        <w:t>but national standards</w:t>
      </w:r>
      <w:r w:rsidRPr="00AA0D15">
        <w:t xml:space="preserve"> and testing </w:t>
      </w:r>
      <w:r w:rsidRPr="00AA0D15">
        <w:rPr>
          <w:rStyle w:val="StyleUnderline"/>
        </w:rPr>
        <w:t>are not the way to do it.</w:t>
      </w:r>
      <w:r w:rsidRPr="00AA0D15">
        <w:t xml:space="preserve"> </w:t>
      </w:r>
      <w:r w:rsidRPr="00AA0D15">
        <w:rPr>
          <w:rStyle w:val="StyleUnderline"/>
        </w:rPr>
        <w:t>The problems</w:t>
      </w:r>
      <w:r w:rsidRPr="00AA0D15">
        <w:t xml:space="preserve"> that need fixing </w:t>
      </w:r>
      <w:r w:rsidRPr="00AA0D15">
        <w:rPr>
          <w:rStyle w:val="StyleUnderline"/>
        </w:rPr>
        <w:t>are</w:t>
      </w:r>
      <w:r w:rsidRPr="00AA0D15">
        <w:t xml:space="preserve"> too deeply </w:t>
      </w:r>
      <w:r w:rsidRPr="00AA0D15">
        <w:rPr>
          <w:rStyle w:val="StyleUnderline"/>
        </w:rPr>
        <w:t>ingrained in the power and incentive structure of the public education system</w:t>
      </w:r>
      <w:r w:rsidRPr="00AA0D15">
        <w:t xml:space="preserve">, and the renewed focus on national standards threatens to distract from the fundamental issues. Besides, </w:t>
      </w:r>
      <w:r w:rsidRPr="00AA0D15">
        <w:rPr>
          <w:rStyle w:val="StyleUnderline"/>
        </w:rPr>
        <w:t>federal control over education has been growing since the 1960s</w:t>
      </w:r>
      <w:r w:rsidRPr="00AA0D15">
        <w:t xml:space="preserve"> </w:t>
      </w:r>
      <w:r w:rsidRPr="00AA0D15">
        <w:rPr>
          <w:rStyle w:val="StyleUnderline"/>
        </w:rPr>
        <w:t>as</w:t>
      </w:r>
      <w:r w:rsidRPr="00AA0D15">
        <w:t xml:space="preserve"> both </w:t>
      </w:r>
      <w:r w:rsidRPr="00AA0D15">
        <w:rPr>
          <w:rStyle w:val="StyleUnderline"/>
        </w:rPr>
        <w:t>standards and achievement have deteriorated</w:t>
      </w:r>
      <w:r w:rsidRPr="00AA0D15">
        <w:t xml:space="preserve">. Heritage Foundation education policy experts Lindsey Burke and Jennifer Marshall explain why </w:t>
      </w:r>
      <w:r w:rsidRPr="00AA0D15">
        <w:rPr>
          <w:rStyle w:val="StyleUnderline"/>
        </w:rPr>
        <w:t>centralized standard-setting will likely result in the standardization of mediocrity, not excellence.</w:t>
      </w:r>
      <w:r w:rsidRPr="00AA0D15">
        <w:t xml:space="preserve"> National education standards and assessments are getting renewed attention from the Obama Administration as the missing ingredient in American education reform. Proponents of national standards argue that establishing “fewer, higher, and clearer” benchmarks and aligned assessments will empower parents with information about what their children should know and which skills they should possess and that they will hold schools accountable for producing those results. National standards and testing, they say, will ensure that all children are ready for college or the workforce and will advance the educational standing of the United States. On the one hand, such a critique of the status quo is well founded. Parental empowerment is essential and currently lacking. The monopoly that is the public education system must be more accountable to parents and taxpayers. Too many students leave high school without basic knowledge or skills. American education should be more competitive, particularly given the amount of money that taxpayers invest. On the other hand, </w:t>
      </w:r>
      <w:r w:rsidRPr="00AA0D15">
        <w:rPr>
          <w:rStyle w:val="StyleUnderline"/>
        </w:rPr>
        <w:t>national standards and testing are unlikely to overcome</w:t>
      </w:r>
      <w:r w:rsidRPr="00AA0D15">
        <w:t xml:space="preserve"> these </w:t>
      </w:r>
      <w:r w:rsidRPr="00AA0D15">
        <w:rPr>
          <w:rStyle w:val="StyleUnderline"/>
        </w:rPr>
        <w:t>deficiencies</w:t>
      </w:r>
      <w:r w:rsidRPr="00AA0D15">
        <w:t xml:space="preserve">. These problems are too deeply ingrained in the power and incentive structure of the public education system. A national standards debate threatens to distract from these fundamental issues. </w:t>
      </w:r>
      <w:r w:rsidRPr="00AA0D15">
        <w:rPr>
          <w:rStyle w:val="StyleUnderline"/>
        </w:rPr>
        <w:t>Centralized standard-setting would force parents and other taxpayers to relinquish one of their most powerful tools for school improvement: control of the academic content</w:t>
      </w:r>
      <w:r w:rsidRPr="00AA0D15">
        <w:t xml:space="preserve">, standards, and testing through their state and local policymakers. Moreover, </w:t>
      </w:r>
      <w:r w:rsidRPr="00AA0D15">
        <w:rPr>
          <w:rStyle w:val="StyleUnderline"/>
        </w:rPr>
        <w:t>it is unclear that national standards would establish a target of excellence rather than standardization, a uniform tendency toward mediocrity and information</w:t>
      </w:r>
      <w:r w:rsidRPr="00AA0D15">
        <w:t xml:space="preserve"> that is more </w:t>
      </w:r>
      <w:r w:rsidRPr="00AA0D15">
        <w:rPr>
          <w:rStyle w:val="StyleUnderline"/>
        </w:rPr>
        <w:t xml:space="preserve">useful to bureaucrats who distribute funding than it is to parents who are seeking to direct their children’s education. </w:t>
      </w:r>
      <w:r w:rsidRPr="00AA0D15">
        <w:t xml:space="preserve">Common national standards and testing will not deliver on proponents’ promises. Rather than addressing the misalignment of power and incentives from which many public education problems arise, national standards and testing would further complicate these same problems. An effort by the Clinton Administration to produce national standards and tests during the 1990s was roundly rejected because of strong opposition among Members of Congress, state leaders, and others.[1] This renewed push for common national standards and assessments should be similarly resisted. </w:t>
      </w:r>
      <w:r w:rsidRPr="00AA0D15">
        <w:rPr>
          <w:rStyle w:val="StyleUnderline"/>
        </w:rPr>
        <w:t xml:space="preserve">Instead, federal policy can improve the alignment of power </w:t>
      </w:r>
      <w:r w:rsidRPr="00AA0D15">
        <w:t xml:space="preserve">and incentives in public education </w:t>
      </w:r>
      <w:r w:rsidRPr="00AA0D15">
        <w:rPr>
          <w:rStyle w:val="StyleUnderline"/>
        </w:rPr>
        <w:t xml:space="preserve">by </w:t>
      </w:r>
      <w:r w:rsidRPr="00AA0D15">
        <w:t xml:space="preserve">enhancing transparency of existing accountability tools and </w:t>
      </w:r>
      <w:r w:rsidRPr="00AA0D15">
        <w:rPr>
          <w:rStyle w:val="StyleUnderline"/>
        </w:rPr>
        <w:t>providing flexibility in program funding for states to do the same</w:t>
      </w:r>
      <w:r w:rsidRPr="00AA0D15">
        <w:t xml:space="preserve">. </w:t>
      </w:r>
      <w:r w:rsidRPr="00AA0D15">
        <w:rPr>
          <w:rStyle w:val="StyleUnderline"/>
        </w:rPr>
        <w:t>State policy should advance systemic reforms that better align power and incentives with educational outcomes</w:t>
      </w:r>
      <w:r w:rsidRPr="00AA0D15">
        <w:t xml:space="preserve">, including enhanced accountability and parental empowerment through educational choice. By pursuing this combination of reforms, Americans can better address the core issues that continue to inhibit meaningful education reform. From a “Common Core” to National Standards The Obama Administration’s current push for national education standards builds on an initiative led by the National Governors Association (NGA) and the Council of Chief State School Officers (CCSSO). In September 2009, the groups’ Common Core State Standards Initiative (CCSSI) released college and career readiness standards for math and English language arts.[2] In March 2010, CCSSI published grade-by-grade benchmarks for each of these two subject areas. From the beginning, proponents of the Common Core State Standards Initiative have maintained that the standards are voluntary and outside of the realm of the federal government. But federal funding has been linked to their adoption from the early stages. The February 2009 American Recovery and Reinvestment Act (ARRA)—the “stimulus bill”—included $4.35 billion in discretionary funding for the Secretary of Education, known as Race to the Top. One of the requirements for states to qualify for this competitive grant funding was to have signed on to the CCSSI. Failing to adopt common standards and assessments puts a state at a significant disadvantage in the Race to the Top competition.[3] In the context of state budget shortfalls, </w:t>
      </w:r>
      <w:r w:rsidRPr="00AA0D15">
        <w:rPr>
          <w:rStyle w:val="StyleUnderline"/>
        </w:rPr>
        <w:t xml:space="preserve">the prospect of funding was enticing </w:t>
      </w:r>
      <w:r w:rsidRPr="00AA0D15">
        <w:t xml:space="preserve">enough </w:t>
      </w:r>
      <w:r w:rsidRPr="00AA0D15">
        <w:rPr>
          <w:rStyle w:val="StyleUnderline"/>
        </w:rPr>
        <w:t>for</w:t>
      </w:r>
      <w:r w:rsidRPr="00AA0D15">
        <w:t xml:space="preserve"> most states to </w:t>
      </w:r>
      <w:r w:rsidRPr="00AA0D15">
        <w:rPr>
          <w:rStyle w:val="StyleUnderline"/>
        </w:rPr>
        <w:t>sign on to the common standards</w:t>
      </w:r>
      <w:r w:rsidRPr="00AA0D15">
        <w:t xml:space="preserve">—sight unseen.[4] Initially, only Texas and Alaska resisted. Texas Education Commissioner Robert Scott stated that the common standards movement amounted to a “desire for a federal takeover of public education.”[5] Now, additional states, including Massachusetts, Iowa, Kansas, and Virginia, are expressing concerns about the common standards initiative.[6] Meanwhile, the Obama Administration announced in February 2010 that it intends to make receipt of Title I funding contingent on the adoption of common standards. Nearly every school district participates in the $14.5 billion Title I program, which provides federal funds for low-income students.[7] Furthermore, the Obama Administration has announced a grant competition for the creation of common assessments among states that would replace state assessments.[8] </w:t>
      </w:r>
      <w:r w:rsidRPr="00AA0D15">
        <w:rPr>
          <w:rStyle w:val="StyleUnderline"/>
        </w:rPr>
        <w:t>Federal pressure to adopt national standards and assessments has elicited concerns across the political spectrum</w:t>
      </w:r>
      <w:r w:rsidRPr="00AA0D15">
        <w:t xml:space="preserve">. During a House Education and Labor Committee hearing, Representative Glen Thompson (R–PA) observed that “the </w:t>
      </w:r>
      <w:r w:rsidRPr="00AA0D15">
        <w:rPr>
          <w:rStyle w:val="StyleUnderline"/>
        </w:rPr>
        <w:t>Common Core</w:t>
      </w:r>
      <w:r w:rsidRPr="00AA0D15">
        <w:t xml:space="preserve"> </w:t>
      </w:r>
      <w:r w:rsidRPr="00AA0D15">
        <w:rPr>
          <w:rStyle w:val="StyleUnderline"/>
        </w:rPr>
        <w:t>is being transformed from a voluntary, state-based initiative to a set of federal academic standards with corresponding federal tests</w:t>
      </w:r>
      <w:r w:rsidRPr="00AA0D15">
        <w:t xml:space="preserve">.”[9] National School Boards Association Executive Director Anne L. Bryant voiced similar concerns in a recent statement: </w:t>
      </w:r>
      <w:r w:rsidRPr="00AA0D15">
        <w:rPr>
          <w:rStyle w:val="StyleUnderline"/>
        </w:rPr>
        <w:t>While the goal of high academic standards is laudable and school boards strongly support it, this amounts to an unnecessary over-reach by the federal government to coerce states to adopt a particular approach or be shut out of future funding for key programs…. This new condition on funding for key federal programs also opens the door for the federal government to call for even more conditions</w:t>
      </w:r>
      <w:r w:rsidRPr="00AA0D15">
        <w:t xml:space="preserve">, such as the use of national tests for accountability purposes.[10] Misconceptions About the Promise of National Standards and Testing </w:t>
      </w:r>
      <w:r w:rsidRPr="00AA0D15">
        <w:rPr>
          <w:rStyle w:val="StyleUnderline"/>
        </w:rPr>
        <w:t>Advocates</w:t>
      </w:r>
      <w:r w:rsidRPr="00AA0D15">
        <w:t xml:space="preserve"> </w:t>
      </w:r>
      <w:r w:rsidRPr="00AA0D15">
        <w:rPr>
          <w:rStyle w:val="StyleUnderline"/>
        </w:rPr>
        <w:t>paint</w:t>
      </w:r>
      <w:r w:rsidRPr="00AA0D15">
        <w:t xml:space="preserve"> the </w:t>
      </w:r>
      <w:r w:rsidRPr="00AA0D15">
        <w:rPr>
          <w:rStyle w:val="StyleUnderline"/>
        </w:rPr>
        <w:t>national standards</w:t>
      </w:r>
      <w:r w:rsidRPr="00AA0D15">
        <w:t xml:space="preserve"> and testing movement </w:t>
      </w:r>
      <w:r w:rsidRPr="00AA0D15">
        <w:rPr>
          <w:rStyle w:val="StyleUnderline"/>
        </w:rPr>
        <w:t>as the key missing ingredient in K– 12 education reform while dismissing concerns that this would lead to further misalignment of power and incentives</w:t>
      </w:r>
      <w:r w:rsidRPr="00AA0D15">
        <w:t xml:space="preserve"> in American education. The following are a few of the most frequently cited arguments in favor of national standards and tests:</w:t>
      </w:r>
    </w:p>
    <w:p w:rsidR="00C47278" w:rsidRPr="00AA0D15" w:rsidRDefault="00C47278" w:rsidP="00C47278">
      <w:pPr>
        <w:pStyle w:val="Heading4"/>
        <w:rPr>
          <w:rFonts w:cs="Times New Roman"/>
        </w:rPr>
      </w:pPr>
      <w:r w:rsidRPr="00AA0D15">
        <w:rPr>
          <w:rFonts w:cs="Times New Roman"/>
        </w:rPr>
        <w:t>Code 1232a prohibits federal control of curriculum</w:t>
      </w:r>
    </w:p>
    <w:p w:rsidR="00C47278" w:rsidRPr="00AA0D15" w:rsidRDefault="00C47278" w:rsidP="00C47278">
      <w:r w:rsidRPr="00AA0D15">
        <w:rPr>
          <w:rStyle w:val="Style13ptBold"/>
        </w:rPr>
        <w:t>U.S. Code</w:t>
      </w:r>
      <w:r w:rsidRPr="00AA0D15">
        <w:t xml:space="preserve"> (“20 U.S. Code § 1232a - Prohibition against Federal control of education,” Legal Information Institute, </w:t>
      </w:r>
      <w:hyperlink r:id="rId132" w:history="1">
        <w:r w:rsidRPr="00AA0D15">
          <w:rPr>
            <w:rStyle w:val="Hyperlink"/>
          </w:rPr>
          <w:t>https://www.law.cornell.edu/uscode/text/20/1232a</w:t>
        </w:r>
      </w:hyperlink>
      <w:r w:rsidRPr="00AA0D15">
        <w:t xml:space="preserve">) </w:t>
      </w:r>
    </w:p>
    <w:p w:rsidR="00C47278" w:rsidRPr="00AA0D15" w:rsidRDefault="00C47278" w:rsidP="00C47278">
      <w:r w:rsidRPr="00AA0D15">
        <w:rPr>
          <w:rStyle w:val="StyleUnderline"/>
        </w:rPr>
        <w:t>No provision of any applicable program shall be construed to authorize any department, agency, officer, or employee of the United States to exercise any direction, supervision, or control over the curriculum, program of instruction</w:t>
      </w:r>
      <w:r w:rsidRPr="00AA0D15">
        <w:t xml:space="preserve">, administration, or personnel of any educational institution, school, or school system, or over the selection of library resources, </w:t>
      </w:r>
      <w:r w:rsidRPr="00AA0D15">
        <w:rPr>
          <w:rStyle w:val="StyleUnderline"/>
        </w:rPr>
        <w:t>textbooks</w:t>
      </w:r>
      <w:r w:rsidRPr="00AA0D15">
        <w:t xml:space="preserve">, or other printed or published </w:t>
      </w:r>
      <w:r w:rsidRPr="00AA0D15">
        <w:rPr>
          <w:rStyle w:val="StyleUnderline"/>
        </w:rPr>
        <w:t>instructional materials</w:t>
      </w:r>
      <w:r w:rsidRPr="00AA0D15">
        <w:t xml:space="preserve"> by any educational institution or school system, or to require the assignment or transportation of students or teachers in order to overcome racial imbalance.</w:t>
      </w:r>
    </w:p>
    <w:p w:rsidR="00C47278" w:rsidRPr="00AA0D15" w:rsidRDefault="00C47278" w:rsidP="00C47278">
      <w:pPr>
        <w:pStyle w:val="Heading4"/>
        <w:rPr>
          <w:rFonts w:cs="Times New Roman"/>
        </w:rPr>
      </w:pPr>
      <w:r w:rsidRPr="00AA0D15">
        <w:rPr>
          <w:rFonts w:cs="Times New Roman"/>
        </w:rPr>
        <w:t>Federal law prohibits a national curriculum</w:t>
      </w:r>
    </w:p>
    <w:p w:rsidR="00C47278" w:rsidRPr="00AA0D15" w:rsidRDefault="00C47278" w:rsidP="00C47278">
      <w:r w:rsidRPr="00AA0D15">
        <w:rPr>
          <w:rStyle w:val="Style13ptBold"/>
        </w:rPr>
        <w:t>Nelson 14</w:t>
      </w:r>
      <w:r w:rsidRPr="00AA0D15">
        <w:t xml:space="preserve"> - reporter for Vox, politico, and other newspapers and education policy specialist (Libby, « Everything you need to know about the Common Core,” Vox, </w:t>
      </w:r>
      <w:hyperlink r:id="rId133" w:history="1">
        <w:r w:rsidRPr="00AA0D15">
          <w:rPr>
            <w:rStyle w:val="Hyperlink"/>
          </w:rPr>
          <w:t>https://www.vox.com/cards/commoncore/how-are-national-standards-different-from-a-national-curriculum</w:t>
        </w:r>
      </w:hyperlink>
      <w:r w:rsidRPr="00AA0D15">
        <w:t xml:space="preserve">) </w:t>
      </w:r>
    </w:p>
    <w:p w:rsidR="00C47278" w:rsidRPr="00AA0D15" w:rsidRDefault="00C47278" w:rsidP="00C47278">
      <w:pPr>
        <w:rPr>
          <w:rStyle w:val="StyleUnderline"/>
        </w:rPr>
      </w:pPr>
      <w:r w:rsidRPr="00AA0D15">
        <w:t xml:space="preserve">How are national standards different from a national curriculum? Standards are about what students should know or know how to do; curriculum is about how they're taught to know or do those things. For example, the Common Core standards require second-graders to be able to contrast two versions of the same story. But </w:t>
      </w:r>
      <w:r w:rsidRPr="00AA0D15">
        <w:rPr>
          <w:rStyle w:val="StyleUnderline"/>
        </w:rPr>
        <w:t>teachers are free to pick what lesson plans are used to teach that skill, and states still pick what books are assigned for children to read. Federal law prohibits the Education Department from interfering in curriculum, which is determined at the state and local level.</w:t>
      </w:r>
    </w:p>
    <w:p w:rsidR="00C47278" w:rsidRPr="00AA0D15" w:rsidRDefault="00C47278" w:rsidP="00C47278">
      <w:pPr>
        <w:pStyle w:val="Heading4"/>
        <w:rPr>
          <w:rFonts w:cs="Times New Roman"/>
        </w:rPr>
      </w:pPr>
      <w:r w:rsidRPr="00AA0D15">
        <w:rPr>
          <w:rFonts w:cs="Times New Roman"/>
        </w:rPr>
        <w:t xml:space="preserve">Decisions on curriculum, textbooks, assessments, etc. lie with schools </w:t>
      </w:r>
    </w:p>
    <w:p w:rsidR="00C47278" w:rsidRPr="00AA0D15" w:rsidRDefault="00C47278" w:rsidP="00C47278">
      <w:r w:rsidRPr="00AA0D15">
        <w:rPr>
          <w:rStyle w:val="Style13ptBold"/>
        </w:rPr>
        <w:t xml:space="preserve">OECD 6/26 </w:t>
      </w:r>
      <w:r w:rsidRPr="00AA0D15">
        <w:t xml:space="preserve">(Organisation for Economic Co-operation and Development, “Organisation &amp; Governance”, </w:t>
      </w:r>
      <w:hyperlink r:id="rId134" w:anchor="!node=41694&amp;filter=all" w:tgtFrame="_blank" w:history="1">
        <w:r w:rsidRPr="00AA0D15">
          <w:rPr>
            <w:rStyle w:val="Hyperlink"/>
          </w:rPr>
          <w:t>http://gpseducation.oecd.org/revieweducationpolicies/#!node=41694&amp;filter=all</w:t>
        </w:r>
      </w:hyperlink>
      <w:r w:rsidRPr="00AA0D15">
        <w:t>, 6/26/17, NRG)</w:t>
      </w:r>
    </w:p>
    <w:p w:rsidR="00C47278" w:rsidRPr="00AA0D15" w:rsidRDefault="00C47278" w:rsidP="00C47278">
      <w:r w:rsidRPr="00AA0D15">
        <w:rPr>
          <w:rStyle w:val="StyleUnderline"/>
        </w:rPr>
        <w:t>The distribution of responsibilities among different levels of the education system</w:t>
      </w:r>
      <w:r w:rsidRPr="00AA0D15">
        <w:t xml:space="preserve"> (central or national, regional, sub-regional, local or municipal, and school level) varies across countries, but, in general, matters concerning overall planning and structure (e.g. laws and regulations, </w:t>
      </w:r>
      <w:hyperlink r:id="rId135" w:anchor="!node=41709&amp;filter=all" w:history="1">
        <w:r w:rsidRPr="00AA0D15">
          <w:rPr>
            <w:rStyle w:val="Hyperlink"/>
          </w:rPr>
          <w:t>resource allocation</w:t>
        </w:r>
      </w:hyperlink>
      <w:r w:rsidRPr="00AA0D15">
        <w:t xml:space="preserve">, qualifications framework, accreditation requirements, and the use of </w:t>
      </w:r>
      <w:hyperlink r:id="rId136" w:anchor="!node=41738&amp;filter=all" w:history="1">
        <w:r w:rsidRPr="00AA0D15">
          <w:rPr>
            <w:rStyle w:val="Hyperlink"/>
          </w:rPr>
          <w:t>national examinations or assessments</w:t>
        </w:r>
      </w:hyperlink>
      <w:r w:rsidRPr="00AA0D15">
        <w:rPr>
          <w:rStyle w:val="StyleUnderline"/>
        </w:rPr>
        <w:t xml:space="preserve">) are governed by the central level, while decisions about the organisation and delivery of </w:t>
      </w:r>
      <w:hyperlink r:id="rId137" w:anchor="!node=41710&amp;filter=all" w:history="1">
        <w:r w:rsidRPr="00AA0D15">
          <w:rPr>
            <w:rStyle w:val="StyleUnderline"/>
          </w:rPr>
          <w:t>instruction</w:t>
        </w:r>
      </w:hyperlink>
      <w:r w:rsidRPr="00AA0D15">
        <w:t xml:space="preserve"> (e.g. choice of textbooks, teaching methods, assessment of students’ progress) </w:t>
      </w:r>
      <w:r w:rsidRPr="00AA0D15">
        <w:rPr>
          <w:rStyle w:val="StyleUnderline"/>
        </w:rPr>
        <w:t>rest mostly with schools</w:t>
      </w:r>
      <w:r w:rsidRPr="00AA0D15">
        <w:t xml:space="preserve">. Decisions about the </w:t>
      </w:r>
      <w:hyperlink r:id="rId138" w:anchor="!node=41733&amp;filter=all" w:history="1">
        <w:r w:rsidRPr="00AA0D15">
          <w:rPr>
            <w:rStyle w:val="Hyperlink"/>
          </w:rPr>
          <w:t>hiring and firing of staff</w:t>
        </w:r>
      </w:hyperlink>
      <w:r w:rsidRPr="00AA0D15">
        <w:t xml:space="preserve">, </w:t>
      </w:r>
      <w:hyperlink r:id="rId139" w:anchor="!node=41734&amp;filter=all" w:history="1">
        <w:r w:rsidRPr="00AA0D15">
          <w:rPr>
            <w:rStyle w:val="Hyperlink"/>
          </w:rPr>
          <w:t>salary schedules</w:t>
        </w:r>
      </w:hyperlink>
      <w:r w:rsidRPr="00AA0D15">
        <w:t xml:space="preserve">, and </w:t>
      </w:r>
      <w:hyperlink r:id="rId140" w:anchor="!node=41734&amp;filter=all" w:history="1">
        <w:r w:rsidRPr="00AA0D15">
          <w:rPr>
            <w:rStyle w:val="Hyperlink"/>
          </w:rPr>
          <w:t>work conditions</w:t>
        </w:r>
      </w:hyperlink>
      <w:r w:rsidRPr="00AA0D15">
        <w:t xml:space="preserve"> are commonly shared between schools and local authorities. Other important constituencies, such as </w:t>
      </w:r>
      <w:hyperlink r:id="rId141" w:anchor="!node=41728&amp;filter=all" w:history="1">
        <w:r w:rsidRPr="00AA0D15">
          <w:rPr>
            <w:rStyle w:val="Hyperlink"/>
          </w:rPr>
          <w:t>teachers</w:t>
        </w:r>
      </w:hyperlink>
      <w:r w:rsidRPr="00AA0D15">
        <w:t xml:space="preserve"> (through professional organisations and unions) and </w:t>
      </w:r>
      <w:hyperlink r:id="rId142" w:anchor="!node=41727&amp;filter=all" w:history="1">
        <w:r w:rsidRPr="00AA0D15">
          <w:rPr>
            <w:rStyle w:val="Hyperlink"/>
          </w:rPr>
          <w:t>parents</w:t>
        </w:r>
      </w:hyperlink>
      <w:r w:rsidRPr="00AA0D15">
        <w:t xml:space="preserve"> (through informal and formal types of parental involvement, such as parents associations) also influence education policy and the delivery of services. The alignment between the various levels of the system and stakeholders is an important factor in helping countries achieve their educational goals. Since the 1980s, an emphasis on giving local stakeholders more influence and control over the education system has led to an increased push for greater </w:t>
      </w:r>
      <w:hyperlink r:id="rId143" w:anchor="!node=41701&amp;filter=all" w:history="1">
        <w:r w:rsidRPr="00AA0D15">
          <w:rPr>
            <w:rStyle w:val="Hyperlink"/>
          </w:rPr>
          <w:t>school autonomy</w:t>
        </w:r>
      </w:hyperlink>
      <w:r w:rsidRPr="00AA0D15">
        <w:t xml:space="preserve"> and </w:t>
      </w:r>
      <w:hyperlink r:id="rId144" w:anchor="!node=41702&amp;filter=all" w:history="1">
        <w:r w:rsidRPr="00AA0D15">
          <w:rPr>
            <w:rStyle w:val="Hyperlink"/>
          </w:rPr>
          <w:t>school choice</w:t>
        </w:r>
      </w:hyperlink>
      <w:r w:rsidRPr="00AA0D15">
        <w:t xml:space="preserve"> in policy debates.</w:t>
      </w:r>
    </w:p>
    <w:p w:rsidR="00C47278" w:rsidRPr="00AA0D15" w:rsidRDefault="00C47278" w:rsidP="00C47278">
      <w:pPr>
        <w:pStyle w:val="Heading3"/>
        <w:rPr>
          <w:rFonts w:cs="Times New Roman"/>
        </w:rPr>
      </w:pPr>
      <w:r w:rsidRPr="00AA0D15">
        <w:rPr>
          <w:rFonts w:cs="Times New Roman"/>
        </w:rPr>
        <w:t>2nc solvency – competitiveness</w:t>
      </w:r>
    </w:p>
    <w:p w:rsidR="00C47278" w:rsidRPr="00AA0D15" w:rsidRDefault="00C47278" w:rsidP="00C47278">
      <w:pPr>
        <w:pStyle w:val="Heading4"/>
        <w:rPr>
          <w:rFonts w:cs="Times New Roman"/>
        </w:rPr>
      </w:pPr>
      <w:r w:rsidRPr="00AA0D15">
        <w:rPr>
          <w:rFonts w:cs="Times New Roman"/>
        </w:rPr>
        <w:t xml:space="preserve">They can’t solve international or in-school competiveness </w:t>
      </w:r>
    </w:p>
    <w:p w:rsidR="00C47278" w:rsidRPr="00AA0D15" w:rsidRDefault="00C47278" w:rsidP="00C47278">
      <w:pPr>
        <w:rPr>
          <w:b/>
          <w:bCs/>
          <w:sz w:val="26"/>
        </w:rPr>
      </w:pPr>
      <w:r w:rsidRPr="00AA0D15">
        <w:rPr>
          <w:rStyle w:val="Style13ptBold"/>
        </w:rPr>
        <w:t>Marshall and Burke 10</w:t>
      </w:r>
      <w:r w:rsidRPr="00AA0D15">
        <w:t xml:space="preserve"> (Jennifer Marshall and Lindsey Burke, Heritage, “Why National Standards Won’t Fix American Education: Misalignment of Power and Incentives” 5/21/10 —Lindsey M. Burke is a Policy Analyst in the Domestic Policy Studies Department, and Jennifer A. Marshall is Director of Domestic Policy Studies, at The Heritage Foundation. http://www.heritage.org/education/report/why-national-standards-wont-fix-american-education-misalignment-power-and) GG</w:t>
      </w:r>
    </w:p>
    <w:p w:rsidR="00C47278" w:rsidRPr="00AA0D15" w:rsidRDefault="00C47278" w:rsidP="00C47278">
      <w:r w:rsidRPr="00AA0D15">
        <w:t xml:space="preserve"> </w:t>
      </w:r>
      <w:r w:rsidRPr="00AA0D15">
        <w:rPr>
          <w:rStyle w:val="StyleUnderline"/>
        </w:rPr>
        <w:t>Misconception #1: National standards and tests will make U.S. students more competitive with their global counterparts</w:t>
      </w:r>
      <w:r w:rsidRPr="00AA0D15">
        <w:t xml:space="preserve">. Proponents argue that national standards will make American students more competitive with their international peers. They point to international evaluation measures such as the Trends in International Mathematics and Science Study (TIMSS), in which American students rank in the middle of the performance distribution. Proponents note that countries that outperform the United States have national standards and that the U.S. needs national standards to move up in the ranking.[11] But </w:t>
      </w:r>
      <w:r w:rsidRPr="00AA0D15">
        <w:rPr>
          <w:rStyle w:val="StyleUnderline"/>
        </w:rPr>
        <w:t>the relationship between existence of standards and strong educational outcomes is not clear</w:t>
      </w:r>
      <w:r w:rsidRPr="00AA0D15">
        <w:t xml:space="preserve">. While the </w:t>
      </w:r>
      <w:r w:rsidRPr="00AA0D15">
        <w:rPr>
          <w:rStyle w:val="StyleUnderline"/>
        </w:rPr>
        <w:t>countries that outperform the United States on international tests have national standards, so do most of those countries that score lower than the U.S.</w:t>
      </w:r>
      <w:r w:rsidRPr="00AA0D15">
        <w:t>[12] In further defiance of the hypothetical rule,</w:t>
      </w:r>
      <w:r w:rsidRPr="00AA0D15">
        <w:rPr>
          <w:rStyle w:val="StyleUnderline"/>
        </w:rPr>
        <w:t xml:space="preserve"> Canada handily outscores the United States on international exams but has no national standards</w:t>
      </w:r>
      <w:r w:rsidRPr="00AA0D15">
        <w:t xml:space="preserve">.[13] Even the relationship between the quality of state standards in the U.S. and academic performance is weak and inconsistent across subject areas.[14] More careful attention is needed to understand the role that national standards play in other countries before asserting that national standards would add the same value in the United States. </w:t>
      </w:r>
      <w:r w:rsidRPr="00AA0D15">
        <w:rPr>
          <w:rStyle w:val="StyleUnderline"/>
        </w:rPr>
        <w:t>Alternatively, state standards and tests might be a closer analogy to standards and assessment systems in countries with populations the size of American states. There are limits to international comparisons in education given the size, diversity, and federal system of the United States. Misconception #2: National standards are necessary so that parents can understand how their children’s academic achievement compares to</w:t>
      </w:r>
      <w:r w:rsidRPr="00AA0D15">
        <w:t xml:space="preserve"> that of </w:t>
      </w:r>
      <w:r w:rsidRPr="00AA0D15">
        <w:rPr>
          <w:rStyle w:val="StyleUnderline"/>
        </w:rPr>
        <w:t>other students</w:t>
      </w:r>
      <w:r w:rsidRPr="00AA0D15">
        <w:t xml:space="preserve"> across the country. The CCSSI claims that “the common core state standards will enable participating states to work together to make expectations clear to parents, teachers, and the general public.”[15] The case for national standards and testing, however, has neither addressed the question of why current tools are inadequate to inform parents about their children’s educational progress nor specified with much precision why Americans should expect the proposed system to improve the situation. Moreover, rather than making public schools more accountable to families, the new regime is likely to make them more responsive to the centralized scorekeeper. In this way, national standards and testing fail to address the critical problems of power and incentive structures in public education today. What kind of information do </w:t>
      </w:r>
      <w:r w:rsidRPr="00AA0D15">
        <w:rPr>
          <w:rStyle w:val="StyleUnderline"/>
        </w:rPr>
        <w:t>parents</w:t>
      </w:r>
      <w:r w:rsidRPr="00AA0D15">
        <w:t xml:space="preserve"> need about their children’s educational performance? First, they </w:t>
      </w:r>
      <w:r w:rsidRPr="00AA0D15">
        <w:rPr>
          <w:rStyle w:val="StyleUnderline"/>
        </w:rPr>
        <w:t>need to know whether their children are mastering the curriculum content. State criterion-referenced tests</w:t>
      </w:r>
      <w:r w:rsidRPr="00AA0D15">
        <w:t xml:space="preserve">, which measure a student’s mastery of the content outlined by state standards, </w:t>
      </w:r>
      <w:r w:rsidRPr="00AA0D15">
        <w:rPr>
          <w:rStyle w:val="StyleUnderline"/>
        </w:rPr>
        <w:t>currently supply this kind of information</w:t>
      </w:r>
      <w:r w:rsidRPr="00AA0D15">
        <w:t xml:space="preserve">. Parents also need to know that when the state test determines that, for example, a child has mastered third-grade content, the child is keeping pace with third-grade students across the country. In other words, </w:t>
      </w:r>
      <w:r w:rsidRPr="00AA0D15">
        <w:rPr>
          <w:rStyle w:val="StyleUnderline"/>
        </w:rPr>
        <w:t>parents need to know how rigorous their state standards and tests are. To provide this information, some states also offer norm-referenced tests,</w:t>
      </w:r>
      <w:r w:rsidRPr="00AA0D15">
        <w:t xml:space="preserve"> which measure student achievement compared to other students nationally. Another tool that can provide comparative information is the National Assessment of Educational Progress (NAEP), which is administered to a sample of students in each state. In this way NAEP provides an external “audit” and common gauge on the quality of state standards and tests. </w:t>
      </w:r>
      <w:r w:rsidRPr="00AA0D15">
        <w:rPr>
          <w:rStyle w:val="StyleUnderline"/>
        </w:rPr>
        <w:t>The meaningful information that parents and other taxpayers need is already available.</w:t>
      </w:r>
      <w:r w:rsidRPr="00AA0D15">
        <w:t xml:space="preserve"> The tools already exist to supply straightforward information on student, teacher, and school performance—sometimes referred to as report cards on the school system. All states are currently required by the No Child Left Behind Act (NCLB) to create such report cards. Some states, such as Florida and Massachusetts, supply more detailed reporting and straightforward information than others. </w:t>
      </w:r>
      <w:r w:rsidRPr="00AA0D15">
        <w:rPr>
          <w:rStyle w:val="StyleUnderline"/>
        </w:rPr>
        <w:t>What has been missing in some other cases is transparency</w:t>
      </w:r>
      <w:r w:rsidRPr="00AA0D15">
        <w:t xml:space="preserve"> about that information. If access to information has been inadequate, that does not justify a national standards and testing regime. Rather, policies should insist on clear reporting of the essential data to parents and other taxpayers. </w:t>
      </w:r>
      <w:r w:rsidRPr="00AA0D15">
        <w:rPr>
          <w:rStyle w:val="StyleUnderline"/>
        </w:rPr>
        <w:t>Public policy should also empower parents to act on that information</w:t>
      </w:r>
      <w:r w:rsidRPr="00AA0D15">
        <w:t xml:space="preserve">. Providing information is important, but it does not go far enough to address the misalignment of power and incentives in public education. Parents not only need to know about their children’s educational standing, but also need the power to do something about it. </w:t>
      </w:r>
    </w:p>
    <w:p w:rsidR="00C47278" w:rsidRPr="00AA0D15" w:rsidRDefault="00C47278" w:rsidP="00C47278">
      <w:pPr>
        <w:pStyle w:val="Heading3"/>
        <w:rPr>
          <w:rFonts w:cs="Times New Roman"/>
        </w:rPr>
      </w:pPr>
      <w:r w:rsidRPr="00AA0D15">
        <w:rPr>
          <w:rFonts w:cs="Times New Roman"/>
        </w:rPr>
        <w:t>2nc solvency – uniformity bad</w:t>
      </w:r>
    </w:p>
    <w:p w:rsidR="00C47278" w:rsidRPr="00AA0D15" w:rsidRDefault="00C47278" w:rsidP="00C47278">
      <w:pPr>
        <w:pStyle w:val="Heading4"/>
        <w:rPr>
          <w:rFonts w:cs="Times New Roman"/>
        </w:rPr>
      </w:pPr>
      <w:r w:rsidRPr="00AA0D15">
        <w:rPr>
          <w:rFonts w:cs="Times New Roman"/>
        </w:rPr>
        <w:t>Uniform standards don’t work – it doesn’t correlate with excellence and does damage nationwide</w:t>
      </w:r>
    </w:p>
    <w:p w:rsidR="00C47278" w:rsidRPr="00AA0D15" w:rsidRDefault="00C47278" w:rsidP="00C47278">
      <w:r w:rsidRPr="00AA0D15">
        <w:rPr>
          <w:rStyle w:val="Style13ptBold"/>
        </w:rPr>
        <w:t xml:space="preserve">Kohn 10 </w:t>
      </w:r>
      <w:r w:rsidRPr="00AA0D15">
        <w:t>(Alfie Kohn, NYT, “Uniform Natural Standards Are Not Equal”, 8/29/10 Alfie Kohn is the author of a dozen books on education and human behavior, including-What Does It Mean to Be Well Educated!" and " No Contest: The Case Against Competition." https://www.nytimes.com/roomfordebate/2010/7/21/who-will-benefit-from-national-education-standards/uniform-national-standards-are-not-equal) GG</w:t>
      </w:r>
    </w:p>
    <w:p w:rsidR="00C47278" w:rsidRPr="00AA0D15" w:rsidRDefault="00C47278" w:rsidP="00C47278">
      <w:r w:rsidRPr="00AA0D15">
        <w:rPr>
          <w:rStyle w:val="StyleUnderline"/>
        </w:rPr>
        <w:t>The top-down, test-driven, corporate-styled "accountability" movement</w:t>
      </w:r>
      <w:r w:rsidRPr="00AA0D15">
        <w:t xml:space="preserve"> — featuring prescriptive state standards — </w:t>
      </w:r>
      <w:r w:rsidRPr="00AA0D15">
        <w:rPr>
          <w:rStyle w:val="StyleUnderline"/>
        </w:rPr>
        <w:t>has already done incalculable damage to our children's classrooms</w:t>
      </w:r>
      <w:r w:rsidRPr="00AA0D15">
        <w:t xml:space="preserve">, </w:t>
      </w:r>
      <w:r w:rsidRPr="00AA0D15">
        <w:rPr>
          <w:rStyle w:val="StyleUnderline"/>
        </w:rPr>
        <w:t>particularly in low-income neighborhoods</w:t>
      </w:r>
      <w:r w:rsidRPr="00AA0D15">
        <w:t xml:space="preserve">. Just ask a teacher. It’s no coincidence that the most enthusiastic proponents of No Child Left Behind. Race to the Top, etc., tend to be those who know the least about how kids learn. And now they’re telling us that a single group of people should shape the goals and curriculum of event- public school in the country. What they don't understand is that </w:t>
      </w:r>
      <w:r w:rsidRPr="00AA0D15">
        <w:rPr>
          <w:rStyle w:val="StyleUnderline"/>
        </w:rPr>
        <w:t>uniformity isn't the same thing as excellence; high standards don't require common standards. And neither does uniformity promote equity. One-size-fits-all instructional demands actually offer the illusion of fairness, setting back the cause of genuine equity</w:t>
      </w:r>
      <w:r w:rsidRPr="00AA0D15">
        <w:t xml:space="preserve">. </w:t>
      </w:r>
      <w:r w:rsidRPr="00AA0D15">
        <w:rPr>
          <w:rStyle w:val="StyleUnderline"/>
        </w:rPr>
        <w:t>No good data supports the value of national standards</w:t>
      </w:r>
      <w:r w:rsidRPr="00AA0D15">
        <w:t>. Even if you regard standardized test results as evidence of meaningful achievement (which I do not</w:t>
      </w:r>
      <w:r w:rsidRPr="00AA0D15">
        <w:rPr>
          <w:rStyle w:val="StyleUnderline"/>
        </w:rPr>
        <w:t>), it turns out that while most high-scoring countries have centralized education systems, so do most of the lowest-scoring countries</w:t>
      </w:r>
      <w:r w:rsidRPr="00AA0D15">
        <w:t xml:space="preserve">. It’s maybe convenient — particularly for companies that produce curriculum and tests — to have all fourth graders learn the same thing, but that benefit is more than outweighed by the degree of control required to make communities and individual teachers get with the program even if they'd rather create lessons and assessments suited to their students. </w:t>
      </w:r>
      <w:r w:rsidRPr="00AA0D15">
        <w:rPr>
          <w:rStyle w:val="StyleUnderline"/>
        </w:rPr>
        <w:t>Beyond uniformity, this proposal also conflates excellence with rigor (the premise being that harder is necessarily better) and specificity</w:t>
      </w:r>
      <w:r w:rsidRPr="00AA0D15">
        <w:t xml:space="preserve"> (for "clear" or "focused," read: "narrow" and "reflecting a behaviorist model of learning"). And notice that </w:t>
      </w:r>
      <w:r w:rsidRPr="00AA0D15">
        <w:rPr>
          <w:rStyle w:val="StyleUnderline"/>
        </w:rPr>
        <w:t>the nationalized public relations campaign tries to have it both ways: "Don't worry, we won't tell you how to teach," they reassure educators. Yet their promised benefits are based on doing just that.</w:t>
      </w:r>
      <w:r w:rsidRPr="00AA0D15">
        <w:t xml:space="preserve"> Finally, whats the ultimate goal here? If s not to nourish curiosity, help kids to fall in love with reading, encourage critical questioning, or support a democratic society. Rather, </w:t>
      </w:r>
      <w:r w:rsidRPr="00AA0D15">
        <w:rPr>
          <w:rStyle w:val="StyleUnderline"/>
        </w:rPr>
        <w:t>the mantra is 'competitiveness in a global economy" — that is. aiding American corporations and triumphing over people who live in other countries. The biggest fans of standardizing education are those who look at our children and see only future employees</w:t>
      </w:r>
      <w:r w:rsidRPr="00AA0D15">
        <w:t>. Anyone who finds that vision disturbing should resist a proposal for national standards that embodies it.</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 xml:space="preserve">Turn – national standards prohibit schools from excelling by giving a monetary </w:t>
      </w:r>
      <w:r w:rsidRPr="00AA0D15">
        <w:rPr>
          <w:rFonts w:cs="Times New Roman"/>
          <w:u w:val="single"/>
        </w:rPr>
        <w:t>incentive</w:t>
      </w:r>
      <w:r w:rsidRPr="00AA0D15">
        <w:rPr>
          <w:rFonts w:cs="Times New Roman"/>
        </w:rPr>
        <w:t xml:space="preserve"> to stay mediocre</w:t>
      </w:r>
    </w:p>
    <w:p w:rsidR="00C47278" w:rsidRPr="00AA0D15" w:rsidRDefault="00C47278" w:rsidP="00C47278">
      <w:pPr>
        <w:rPr>
          <w:b/>
          <w:bCs/>
          <w:sz w:val="26"/>
        </w:rPr>
      </w:pPr>
      <w:r w:rsidRPr="00AA0D15">
        <w:rPr>
          <w:rStyle w:val="Style13ptBold"/>
        </w:rPr>
        <w:t>Marshall and Burke 10</w:t>
      </w:r>
      <w:r w:rsidRPr="00AA0D15">
        <w:t xml:space="preserve"> (Jennifer Marshall and Lindsey Burke, Heritage, “Why National Standards Won’t Fix American Education: Misalignment of Power and Incentives” 5/21/10 —Lindsey M. Burke is a Policy Analyst in the Domestic Policy Studies Department, and Jennifer A. Marshall is Director of Domestic Policy Studies, at The Heritage Foundation. http://www.heritage.org/education/report/why-national-standards-wont-fix-american-education-misalignment-power-and) GG</w:t>
      </w:r>
    </w:p>
    <w:p w:rsidR="00C47278" w:rsidRPr="00AA0D15" w:rsidRDefault="00C47278" w:rsidP="00C47278">
      <w:pPr>
        <w:rPr>
          <w:u w:val="single"/>
        </w:rPr>
      </w:pPr>
      <w:r w:rsidRPr="00AA0D15">
        <w:rPr>
          <w:rStyle w:val="StyleUnderline"/>
        </w:rPr>
        <w:t>Misconception #3: National standards are necessary because state standards vary in quality.</w:t>
      </w:r>
      <w:r w:rsidRPr="00AA0D15">
        <w:t xml:space="preserve"> Some states, such as Massachusetts, California, Indiana, and Virginia, have highly regarded standards. A number of other states have uneven quality of standards across subjects, and some are not up to par generally. Teachers union pressure, pervasive political correctness, and pedagogical and content disputes hamper the quality of state standards. </w:t>
      </w:r>
      <w:r w:rsidRPr="00AA0D15">
        <w:rPr>
          <w:rStyle w:val="StyleUnderline"/>
        </w:rPr>
        <w:t>The variation in state standards is one of the most frequently cited reasons for adopting national standards</w:t>
      </w:r>
      <w:r w:rsidRPr="00AA0D15">
        <w:t xml:space="preserve"> and tests.[19] </w:t>
      </w:r>
      <w:r w:rsidRPr="00AA0D15">
        <w:rPr>
          <w:rStyle w:val="StyleUnderline"/>
        </w:rPr>
        <w:t>But the same pressures that detract from the quality of many state standards are likely to plague national standards</w:t>
      </w:r>
      <w:r w:rsidRPr="00AA0D15">
        <w:t xml:space="preserve"> </w:t>
      </w:r>
      <w:r w:rsidRPr="00AA0D15">
        <w:rPr>
          <w:rStyle w:val="StyleUnderline"/>
        </w:rPr>
        <w:t>as well</w:t>
      </w:r>
      <w:r w:rsidRPr="00AA0D15">
        <w:t xml:space="preserve">. </w:t>
      </w:r>
      <w:r w:rsidRPr="00AA0D15">
        <w:rPr>
          <w:rStyle w:val="StyleUnderline"/>
        </w:rPr>
        <w:t>As a result, the rigor</w:t>
      </w:r>
      <w:r w:rsidRPr="00AA0D15">
        <w:t xml:space="preserve"> and content </w:t>
      </w:r>
      <w:r w:rsidRPr="00AA0D15">
        <w:rPr>
          <w:rStyle w:val="StyleUnderline"/>
        </w:rPr>
        <w:t>of national</w:t>
      </w:r>
      <w:r w:rsidRPr="00AA0D15">
        <w:t xml:space="preserve"> </w:t>
      </w:r>
      <w:r w:rsidRPr="00AA0D15">
        <w:rPr>
          <w:rStyle w:val="StyleUnderline"/>
        </w:rPr>
        <w:t>standards will tend to align with the mean among states, undercutting states with higher quality standards</w:t>
      </w:r>
      <w:r w:rsidRPr="00AA0D15">
        <w:t xml:space="preserve">.[20] </w:t>
      </w:r>
      <w:r w:rsidRPr="00AA0D15">
        <w:rPr>
          <w:rStyle w:val="StyleUnderline"/>
        </w:rPr>
        <w:t>For example, the Obama Administration’s proposal would force Massachusetts to abandon its highly regarded state standards and sign on instead to a set of national standards</w:t>
      </w:r>
      <w:r w:rsidRPr="00AA0D15">
        <w:t xml:space="preserve"> that are well </w:t>
      </w:r>
      <w:r w:rsidRPr="00AA0D15">
        <w:rPr>
          <w:rStyle w:val="StyleUnderline"/>
        </w:rPr>
        <w:t>beneath the rigor</w:t>
      </w:r>
      <w:r w:rsidRPr="00AA0D15">
        <w:t xml:space="preserve"> and content of the current state standards.[21] If it fails to do so, </w:t>
      </w:r>
      <w:r w:rsidRPr="00AA0D15">
        <w:rPr>
          <w:rStyle w:val="StyleUnderline"/>
        </w:rPr>
        <w:t>Massachusetts would stand to lose $275 million a year in federal funding</w:t>
      </w:r>
      <w:r w:rsidRPr="00AA0D15">
        <w:t xml:space="preserve"> </w:t>
      </w:r>
      <w:r w:rsidRPr="00AA0D15">
        <w:rPr>
          <w:rStyle w:val="StyleUnderline"/>
        </w:rPr>
        <w:t>for Title I</w:t>
      </w:r>
      <w:r w:rsidRPr="00AA0D15">
        <w:t xml:space="preserve">.[22] For states like Massachusetts, the Obama Administration’s plan means facing the prospect of losing out on federal funding if they refuse to water down their standards. Secretary of Education Arne Duncan refers to the varying quality of state standards as “50 different goal posts.”[23] That is a catchy phrase, but it begs the question of whether the national standards movement is more concerned with uniformity than it is with excellence. Uniform minimum-competency standards on a national level would provide a one-size-fits-all approach that would likely lead to decreased emphasis on advanced work and a generally dumbed-down curriculum. </w:t>
      </w:r>
      <w:r w:rsidRPr="00AA0D15">
        <w:rPr>
          <w:rStyle w:val="StyleUnderline"/>
        </w:rPr>
        <w:t xml:space="preserve">Centralized standards and testing would eliminate the possibility of competitive pressure for increasing standards of excellence. </w:t>
      </w:r>
      <w:r w:rsidRPr="00AA0D15">
        <w:t xml:space="preserve">The Failure to Address Fundamental Problems in American Education Contrary to the claims of proponents, the stubborn persistence of more fundamental problems in American education makes it unlikely that national standards and tests would substantially improve educational outcomes. Ultimately, </w:t>
      </w:r>
      <w:r w:rsidRPr="00AA0D15">
        <w:rPr>
          <w:rStyle w:val="StyleUnderline"/>
        </w:rPr>
        <w:t xml:space="preserve">reform strategies must address the fundamental power and incentive structures in public education and configure them in a way that is most likely to increase the quality of educational outcomes. </w:t>
      </w:r>
      <w:r w:rsidRPr="00AA0D15">
        <w:t>Currently, two major factors exert the most influence generally on public education and introduce motivations that can compete with the objective of improving student educational outcomes: teachers union power and funding incentives. Teacher unions exert influence because of their mandatory dues-paying membership and contract-negotiating power. Their interests (including job security, salaries, and benefits) should be understood as distinct from student educational outcome objectives.</w:t>
      </w:r>
      <w:r w:rsidRPr="00AA0D15">
        <w:rPr>
          <w:rStyle w:val="StyleUnderline"/>
        </w:rPr>
        <w:t xml:space="preserve"> Funding incentives are a powerful motivator</w:t>
      </w:r>
      <w:r w:rsidRPr="00AA0D15">
        <w:t xml:space="preserve"> that is also </w:t>
      </w:r>
      <w:r w:rsidRPr="00AA0D15">
        <w:rPr>
          <w:rStyle w:val="StyleUnderline"/>
        </w:rPr>
        <w:t>distinct from the student learning objective.</w:t>
      </w:r>
      <w:r w:rsidRPr="00AA0D15">
        <w:t xml:space="preserve"> In particular, </w:t>
      </w:r>
      <w:r w:rsidRPr="00AA0D15">
        <w:rPr>
          <w:rStyle w:val="StyleUnderline"/>
        </w:rPr>
        <w:t xml:space="preserve">federal funding has had influence far beyond its 10 percent share of local school funding since the advent of systemic education reform in the 1990s. </w:t>
      </w:r>
      <w:r w:rsidRPr="00AA0D15">
        <w:t xml:space="preserve">Between 1965 and the early 1990s, the federal education role consisted in categorical education programs, designed to address a specific issue (high-poverty schools, for instance) or population (such as non-English speakers). Beginning with Goals 2000 during the Clinton Administration, federal policy began to pursue a standards-based systemic reform agenda, expanding to stipulate criteria that have school- and system-wide influence, not just discrete programmatic application as is generally the case with categorical programs. </w:t>
      </w:r>
      <w:r w:rsidRPr="00AA0D15">
        <w:rPr>
          <w:rStyle w:val="StyleUnderline"/>
        </w:rPr>
        <w:t>No Child Left Behind is a good example of the systemic influence of the federal funding incentive.</w:t>
      </w:r>
      <w:r w:rsidRPr="00AA0D15">
        <w:t xml:space="preserve"> </w:t>
      </w:r>
      <w:r w:rsidRPr="00AA0D15">
        <w:rPr>
          <w:rStyle w:val="StyleUnderline"/>
        </w:rPr>
        <w:t xml:space="preserve">In exchange for federal funding, NCLB required states to test at specific intervals </w:t>
      </w:r>
      <w:r w:rsidRPr="00AA0D15">
        <w:t xml:space="preserve">(using state exams), with the requirement that all students be proficient in math, English, and science by 2014. States, districts, and schools must demonstrate adequate yearly progress toward that goal in order to continue to receive federal funding. </w:t>
      </w:r>
      <w:r w:rsidRPr="00AA0D15">
        <w:rPr>
          <w:rStyle w:val="StyleUnderline"/>
        </w:rPr>
        <w:t>At face value, this appears to be a push for higher standards. In reality, some states have dumbed down their definition of proficiency on state tests in the interest of receiving federal funds</w:t>
      </w:r>
      <w:r w:rsidRPr="00AA0D15">
        <w:t xml:space="preserve">. Federal </w:t>
      </w:r>
      <w:r w:rsidRPr="00AA0D15">
        <w:rPr>
          <w:rStyle w:val="StyleUnderline"/>
        </w:rPr>
        <w:t xml:space="preserve">funding is an incentive that can trump interest in actual progress on student outcomes. The two goals can and do diverge when power and incentives are misaligned. </w:t>
      </w:r>
    </w:p>
    <w:p w:rsidR="00C47278" w:rsidRPr="00AA0D15" w:rsidRDefault="00C47278" w:rsidP="00C47278">
      <w:pPr>
        <w:pStyle w:val="Heading3"/>
        <w:rPr>
          <w:rFonts w:cs="Times New Roman"/>
        </w:rPr>
      </w:pPr>
      <w:r w:rsidRPr="00AA0D15">
        <w:rPr>
          <w:rFonts w:cs="Times New Roman"/>
        </w:rPr>
        <w:t>Federal solvency deficits</w:t>
      </w:r>
    </w:p>
    <w:p w:rsidR="00C47278" w:rsidRPr="00AA0D15" w:rsidRDefault="00C47278" w:rsidP="00C47278">
      <w:pPr>
        <w:pStyle w:val="Heading4"/>
        <w:rPr>
          <w:rFonts w:cs="Times New Roman"/>
        </w:rPr>
      </w:pPr>
      <w:r w:rsidRPr="00AA0D15">
        <w:rPr>
          <w:rFonts w:cs="Times New Roman"/>
        </w:rPr>
        <w:t xml:space="preserve">Too many barriers to a national curriculum </w:t>
      </w:r>
    </w:p>
    <w:p w:rsidR="00C47278" w:rsidRPr="00AA0D15" w:rsidRDefault="00C47278" w:rsidP="00C47278">
      <w:r w:rsidRPr="00AA0D15">
        <w:rPr>
          <w:rStyle w:val="Style13ptBold"/>
        </w:rPr>
        <w:t>Rhoads et al. 99</w:t>
      </w:r>
      <w:r w:rsidRPr="00AA0D15">
        <w:t xml:space="preserve"> - UNC-CH graduate students (“Examining National Standards,” Horizon UNC, </w:t>
      </w:r>
      <w:hyperlink r:id="rId145" w:history="1">
        <w:r w:rsidRPr="00AA0D15">
          <w:rPr>
            <w:rStyle w:val="Hyperlink"/>
          </w:rPr>
          <w:t>http://horizon.unc.edu/projects/issues/papers/National_Standards.html</w:t>
        </w:r>
      </w:hyperlink>
    </w:p>
    <w:p w:rsidR="00C47278" w:rsidRPr="00AA0D15" w:rsidRDefault="00C47278" w:rsidP="00C47278">
      <w:r w:rsidRPr="00AA0D15">
        <w:t xml:space="preserve">A plethora of reform movements in the last two decades has served to reinforce the public's perception that public education is failing. From local school efforts to state-wide initiatives, many reformers have sought to cure the numerous ills that plague America's public education system. A recurring theme among many reform efforts is a need for federal intervention. However, Supreme Court rulings, such as Brown versus the Board of Education and San Antonio School District versus Rodriguez, find no cons titutional mandates for federal control of education; therefore, education is a responsibility of the individual states (Yudof, et.al., 1992). The federal government, nevertheless, entered the reform movement by creating national goals and financing efforts designe d to establish national standards. Instituting such standards implies that students will learn the same content, regardless of where they reside. "Starting school reform by first deciding what every child should learn strikes most people as only common sense," noted one author (Gagnon, 1 995, p. 66). National, state, and local educational governing agencies are currently forging ahead with plans for establishing higher academic criteria. Unfortunately, however, </w:t>
      </w:r>
      <w:r w:rsidRPr="00AA0D15">
        <w:rPr>
          <w:rStyle w:val="StyleUnderline"/>
        </w:rPr>
        <w:t>there is little agreement among the three levels of government on what consti tutes quality standard</w:t>
      </w:r>
      <w:r w:rsidRPr="00AA0D15">
        <w:t>s. Educators, administrators, and policy-makers, as well as the general public, are finding it difficult to reach consensus on anything involving this effort</w:t>
      </w:r>
      <w:r w:rsidRPr="00AA0D15">
        <w:rPr>
          <w:rStyle w:val="StyleUnderline"/>
        </w:rPr>
        <w:t>. The future of national standards is, at best, uncertain. There will obviously continue to be much discord as states and local districts decide whether to incorporate national standards into their curricula</w:t>
      </w:r>
      <w:r w:rsidRPr="00AA0D15">
        <w:t>. It is worthwhile to note the opinion of policy analysts Fuhrman and Elmore (1994) in regard to content standards: "</w:t>
      </w:r>
      <w:r w:rsidRPr="00AA0D15">
        <w:rPr>
          <w:rStyle w:val="StyleUnderline"/>
        </w:rPr>
        <w:t>The first, most basic political reality is that curriculum decisions will be made in state and national arenas, rather than exclusively in local and school-level arena</w:t>
      </w:r>
      <w:r w:rsidRPr="00AA0D15">
        <w:t xml:space="preserve">s" (cited in Orril l, p. 9). This situation is a departure from the trend toward increased local control. Although many analysts feel that the call for national standards is dead, it is obvious that </w:t>
      </w:r>
      <w:r w:rsidRPr="00AA0D15">
        <w:rPr>
          <w:rStyle w:val="StyleUnderline"/>
        </w:rPr>
        <w:t>this issue is still likely to continue to cause controversy at the national, state, and local levels as various players attempt to balance the need for uniformit y with the need for broad interpretation of the national standards</w:t>
      </w:r>
      <w:r w:rsidRPr="00AA0D15">
        <w:t>. In late March the nation's governors and top business leaders met in Palisades, New York, to discuss the current status of the academic standards movement. Many viewed this meeting as a follow-up to the 1989 summit held by President Bush in Charlottesville, Virginia (Diegmueller, 1996). Even though it remains to be seen what will become of national standards, it is obvious that this movement has serious implications for educational sta keholders.</w:t>
      </w:r>
    </w:p>
    <w:p w:rsidR="00C47278" w:rsidRPr="00AA0D15" w:rsidRDefault="00C47278" w:rsidP="00C47278">
      <w:pPr>
        <w:pStyle w:val="Heading4"/>
        <w:rPr>
          <w:rFonts w:cs="Times New Roman"/>
        </w:rPr>
      </w:pPr>
      <w:r w:rsidRPr="00AA0D15">
        <w:rPr>
          <w:rFonts w:cs="Times New Roman"/>
        </w:rPr>
        <w:t xml:space="preserve">Fights prevent reform </w:t>
      </w:r>
    </w:p>
    <w:p w:rsidR="00C47278" w:rsidRPr="00AA0D15" w:rsidRDefault="00C47278" w:rsidP="00C47278">
      <w:r w:rsidRPr="00AA0D15">
        <w:rPr>
          <w:rStyle w:val="Style13ptBold"/>
        </w:rPr>
        <w:t>Alger 16</w:t>
      </w:r>
      <w:r w:rsidRPr="00AA0D15">
        <w:t xml:space="preserve"> - research fellow at Oakland and author that has advised the US DOE as well as 40 states and England (Vicki, Highlights from “Failure: the Federal Misedukation of America’s Children,” Independent, </w:t>
      </w:r>
      <w:hyperlink r:id="rId146" w:history="1">
        <w:r w:rsidRPr="00AA0D15">
          <w:rPr>
            <w:rStyle w:val="Hyperlink"/>
          </w:rPr>
          <w:t>http://www.independent.org/publications/books/summary.asp?id=119</w:t>
        </w:r>
      </w:hyperlink>
      <w:r w:rsidRPr="00AA0D15">
        <w:t xml:space="preserve">) </w:t>
      </w:r>
    </w:p>
    <w:p w:rsidR="00C47278" w:rsidRPr="00AA0D15" w:rsidRDefault="00C47278" w:rsidP="00C47278">
      <w:pPr>
        <w:rPr>
          <w:rStyle w:val="StyleUnderline"/>
        </w:rPr>
      </w:pPr>
      <w:r w:rsidRPr="00AA0D15">
        <w:rPr>
          <w:rStyle w:val="StyleUnderline"/>
        </w:rPr>
        <w:t>Bitter disputes between the federal government and the states are unavoidable so long as the feds are involved in education. Those who opposed the creation of a federal Department of Education turned out to be prophetic</w:t>
      </w:r>
      <w:r w:rsidRPr="00AA0D15">
        <w:t xml:space="preserve">. </w:t>
      </w:r>
      <w:r w:rsidRPr="00AA0D15">
        <w:rPr>
          <w:rStyle w:val="StyleUnderline"/>
        </w:rPr>
        <w:t>No Child Left Behind, Race to the Top, and Common Core demonstrate that even when the agency gives the states “flexibility” to implement federal programs, compete for federal dollars, or meet national standards, the cost for them to pursue independent educational objectives can be prohibitive.</w:t>
      </w:r>
    </w:p>
    <w:p w:rsidR="00C47278" w:rsidRPr="00AA0D15" w:rsidRDefault="00C47278" w:rsidP="00C47278"/>
    <w:p w:rsidR="00C47278" w:rsidRPr="00AA0D15" w:rsidRDefault="00C47278" w:rsidP="00C47278">
      <w:pPr>
        <w:pStyle w:val="Heading2"/>
        <w:rPr>
          <w:rFonts w:cs="Times New Roman"/>
        </w:rPr>
      </w:pPr>
      <w:r w:rsidRPr="00AA0D15">
        <w:rPr>
          <w:rFonts w:cs="Times New Roman"/>
        </w:rPr>
        <w:t>SCHOOL LUNCHES</w:t>
      </w:r>
    </w:p>
    <w:p w:rsidR="00C47278" w:rsidRPr="00AA0D15" w:rsidRDefault="00C47278" w:rsidP="00C47278">
      <w:pPr>
        <w:pStyle w:val="Heading3"/>
        <w:rPr>
          <w:rFonts w:cs="Times New Roman"/>
        </w:rPr>
      </w:pPr>
      <w:r w:rsidRPr="00AA0D15">
        <w:rPr>
          <w:rFonts w:cs="Times New Roman"/>
        </w:rPr>
        <w:t>1nc</w:t>
      </w:r>
    </w:p>
    <w:p w:rsidR="00C47278" w:rsidRPr="00AA0D15" w:rsidRDefault="00C47278" w:rsidP="00C47278">
      <w:pPr>
        <w:pStyle w:val="Heading4"/>
        <w:rPr>
          <w:rFonts w:cs="Times New Roman"/>
        </w:rPr>
      </w:pPr>
      <w:r w:rsidRPr="00AA0D15">
        <w:rPr>
          <w:rFonts w:cs="Times New Roman"/>
        </w:rPr>
        <w:t>Text: The other 49 states and territories should model the Oregonian Farm to School program, including, but not limited to, fully funding a school coordinator position for Farm To School, disseminate economic impact studies to legislators and the public, and distribute pertinent information on Basecamp.</w:t>
      </w:r>
    </w:p>
    <w:p w:rsidR="00C47278" w:rsidRPr="00AA0D15" w:rsidRDefault="00C47278" w:rsidP="00C47278">
      <w:pPr>
        <w:pStyle w:val="Heading4"/>
        <w:rPr>
          <w:rFonts w:cs="Times New Roman"/>
        </w:rPr>
      </w:pPr>
      <w:r w:rsidRPr="00AA0D15">
        <w:rPr>
          <w:rFonts w:cs="Times New Roman"/>
        </w:rPr>
        <w:t>That solves best</w:t>
      </w:r>
    </w:p>
    <w:p w:rsidR="00C47278" w:rsidRPr="00AA0D15" w:rsidRDefault="00C47278" w:rsidP="00C47278">
      <w:r w:rsidRPr="002439A5">
        <w:rPr>
          <w:rStyle w:val="Style13ptBold"/>
        </w:rPr>
        <w:t>NFSN 15</w:t>
      </w:r>
      <w:r w:rsidRPr="00AA0D15">
        <w:rPr>
          <w:b/>
        </w:rPr>
        <w:t xml:space="preserve"> </w:t>
      </w:r>
      <w:r w:rsidRPr="00AA0D15">
        <w:t xml:space="preserve">– NFSN is the National Farm to School Network which is an information, advocacy and networking hub for communities working to bring local food sourcing, school gardens and food and agriculture education into schools and early care and education settings. National Farm to School Network was launched in 2007 by a collaborative of more than 30 organizations seeking to shape the burgeoning farm to school movement. Initially led by staff from the Community Food Security Coalition and the Urban &amp; Environmental Policy Institute at Occidental College. National Farm to School Network is now a project of the Tides Center. (State Farm to School Legislative Survey: 2002-2014," 3-5-2015, http://www.farmtoschool.org/Resources/F2S-Survey-2014.pdf)//jkuffour </w:t>
      </w:r>
    </w:p>
    <w:p w:rsidR="00C47278" w:rsidRPr="00AA0D15" w:rsidRDefault="00C47278" w:rsidP="00C47278">
      <w:r w:rsidRPr="00AA0D15">
        <w:t xml:space="preserve">CASE STUDY 2: OREGON RESEARCH BRINGS RESULTS Overview In 2007, independent of legislative action, </w:t>
      </w:r>
      <w:r w:rsidRPr="00AA0D15">
        <w:rPr>
          <w:rStyle w:val="Emphasis"/>
        </w:rPr>
        <w:t>Oregon’s D</w:t>
      </w:r>
      <w:r w:rsidRPr="00AA0D15">
        <w:rPr>
          <w:rStyle w:val="StyleUnderline"/>
        </w:rPr>
        <w:t xml:space="preserve">epartment </w:t>
      </w:r>
      <w:r w:rsidRPr="00AA0D15">
        <w:rPr>
          <w:rStyle w:val="Emphasis"/>
        </w:rPr>
        <w:t>o</w:t>
      </w:r>
      <w:r w:rsidRPr="00AA0D15">
        <w:rPr>
          <w:rStyle w:val="StyleUnderline"/>
        </w:rPr>
        <w:t xml:space="preserve">f </w:t>
      </w:r>
      <w:r w:rsidRPr="00AA0D15">
        <w:rPr>
          <w:rStyle w:val="Emphasis"/>
        </w:rPr>
        <w:t>A</w:t>
      </w:r>
      <w:r w:rsidRPr="00AA0D15">
        <w:rPr>
          <w:rStyle w:val="StyleUnderline"/>
        </w:rPr>
        <w:t xml:space="preserve">griculture created and </w:t>
      </w:r>
      <w:r w:rsidRPr="00AA0D15">
        <w:rPr>
          <w:rStyle w:val="Emphasis"/>
        </w:rPr>
        <w:t>funded a farm to school coordinator position</w:t>
      </w:r>
      <w:r w:rsidRPr="00AA0D15">
        <w:t xml:space="preserve">. In 2008, </w:t>
      </w:r>
      <w:r w:rsidRPr="00AA0D15">
        <w:rPr>
          <w:rStyle w:val="StyleUnderline"/>
        </w:rPr>
        <w:t xml:space="preserve">Oregon’s legislature established the Oregon Farm-to-School </w:t>
      </w:r>
      <w:r w:rsidRPr="00AA0D15">
        <w:t xml:space="preserve">and School Garden </w:t>
      </w:r>
      <w:r w:rsidRPr="00AA0D15">
        <w:rPr>
          <w:rStyle w:val="StyleUnderline"/>
        </w:rPr>
        <w:t>Program</w:t>
      </w:r>
      <w:r w:rsidRPr="00AA0D15">
        <w:t xml:space="preserve"> </w:t>
      </w:r>
      <w:r w:rsidRPr="00AA0D15">
        <w:rPr>
          <w:rStyle w:val="StyleUnderline"/>
        </w:rPr>
        <w:t>and a separate</w:t>
      </w:r>
      <w:r w:rsidRPr="00AA0D15">
        <w:t xml:space="preserve"> program </w:t>
      </w:r>
      <w:r w:rsidRPr="00AA0D15">
        <w:rPr>
          <w:rStyle w:val="StyleUnderline"/>
        </w:rPr>
        <w:t>coordinator</w:t>
      </w:r>
      <w:r w:rsidRPr="00AA0D15">
        <w:t xml:space="preserve"> position </w:t>
      </w:r>
      <w:r w:rsidRPr="00AA0D15">
        <w:rPr>
          <w:rStyle w:val="StyleUnderline"/>
        </w:rPr>
        <w:t>within the</w:t>
      </w:r>
      <w:r w:rsidRPr="00AA0D15">
        <w:t xml:space="preserve"> Department of Education </w:t>
      </w:r>
      <w:r w:rsidRPr="00AA0D15">
        <w:rPr>
          <w:rStyle w:val="StyleUnderline"/>
        </w:rPr>
        <w:t>(DOE), making Oregon the first state with a farm to school coordinator position in both its departments of agriculture and education</w:t>
      </w:r>
      <w:r w:rsidRPr="00AA0D15">
        <w:t xml:space="preserve">. In 2011, the legislature appropriated $200,000 for DOE to administer a pilot grant program offering school districts reimbursement for purchasing Oregon food products and funding for agricultural education programs designed to increase student knowledge and preference for nutritious local food options. In 2013, the legislature provided nearly $1.2 million in funding for grants in the 2013-2015 biennium. As discussed below, </w:t>
      </w:r>
      <w:r w:rsidRPr="00AA0D15">
        <w:rPr>
          <w:rStyle w:val="StyleUnderline"/>
        </w:rPr>
        <w:t xml:space="preserve">farm to school advocates relied on economic research, information-sharing and media to draw significant public funding for its robust farm to school program. </w:t>
      </w:r>
      <w:r w:rsidRPr="00AA0D15">
        <w:t>STRATEGY 1</w:t>
      </w:r>
      <w:r w:rsidRPr="00AA0D15">
        <w:rPr>
          <w:rStyle w:val="Emphasis"/>
        </w:rPr>
        <w:t>: MESSAGE THAT FARM TO SCHOOL GENERATES LOCAL SPENDING</w:t>
      </w:r>
      <w:r w:rsidRPr="00AA0D15">
        <w:rPr>
          <w:rStyle w:val="StyleUnderline"/>
        </w:rPr>
        <w:t xml:space="preserve"> I</w:t>
      </w:r>
      <w:r w:rsidRPr="00AA0D15">
        <w:t xml:space="preserve">n 2008, as Oregon’s legislature debated funding farm to school efforts, </w:t>
      </w:r>
      <w:r w:rsidRPr="00AA0D15">
        <w:rPr>
          <w:rStyle w:val="Emphasis"/>
        </w:rPr>
        <w:t>Ecotrust conducted an economic impact study demonstrating that with</w:t>
      </w:r>
      <w:r w:rsidRPr="00AA0D15">
        <w:rPr>
          <w:rStyle w:val="StyleUnderline"/>
        </w:rPr>
        <w:t xml:space="preserve"> an initial </w:t>
      </w:r>
      <w:r w:rsidRPr="00AA0D15">
        <w:rPr>
          <w:rStyle w:val="Emphasis"/>
        </w:rPr>
        <w:t>investment</w:t>
      </w:r>
      <w:r w:rsidRPr="00AA0D15">
        <w:rPr>
          <w:rStyle w:val="StyleUnderline"/>
        </w:rPr>
        <w:t xml:space="preserve"> of $160,750</w:t>
      </w:r>
      <w:r w:rsidRPr="00AA0D15">
        <w:t xml:space="preserve"> from private grant funding, </w:t>
      </w:r>
      <w:r w:rsidRPr="00AA0D15">
        <w:rPr>
          <w:rStyle w:val="Emphasis"/>
        </w:rPr>
        <w:t>two school districts</w:t>
      </w:r>
      <w:r w:rsidRPr="00AA0D15">
        <w:rPr>
          <w:rStyle w:val="StyleUnderline"/>
        </w:rPr>
        <w:t xml:space="preserve"> comprised of 89 schools and approximately 48,500 students </w:t>
      </w:r>
      <w:r w:rsidRPr="00AA0D15">
        <w:rPr>
          <w:rStyle w:val="Emphasis"/>
        </w:rPr>
        <w:t>purchased $461,992 of local foods. Advocates leveraged this study to spur public funding</w:t>
      </w:r>
      <w:r w:rsidRPr="00AA0D15">
        <w:rPr>
          <w:rStyle w:val="StyleUnderline"/>
        </w:rPr>
        <w:t xml:space="preserve"> for farm to school programming</w:t>
      </w:r>
      <w:r w:rsidRPr="00AA0D15">
        <w:t>. STRATEGY 2</w:t>
      </w:r>
      <w:r w:rsidRPr="00AA0D15">
        <w:rPr>
          <w:rStyle w:val="Emphasis"/>
        </w:rPr>
        <w:t>: DEMONSTRATE THAT FARM TO SCHOOL CREATES LOCAL JOBS</w:t>
      </w:r>
      <w:r w:rsidRPr="00AA0D15">
        <w:t xml:space="preserve"> In 2011, Upstream Public Health conducted a Health Impact Assessment finding that, statewide, farm to school programs could create up to 270 local jobs. (The Ecotrust study had demonstrated that an investment of $160,750 in just two school districts’ farm to school programs would create 17 local jobs</w:t>
      </w:r>
      <w:r w:rsidRPr="00AA0D15">
        <w:rPr>
          <w:rStyle w:val="StyleUnderline"/>
        </w:rPr>
        <w:t>.) Advocates leveraged the Upstream report to spur legislators to fund farm to school programs.</w:t>
      </w:r>
      <w:r w:rsidRPr="00AA0D15">
        <w:t xml:space="preserve"> STRATEGY 3: </w:t>
      </w:r>
      <w:r w:rsidRPr="00AA0D15">
        <w:rPr>
          <w:rStyle w:val="Emphasis"/>
        </w:rPr>
        <w:t>USE MEDIA TO PROMOTE YOUR RESEARCH AND ADVOCACY EFFORTS</w:t>
      </w:r>
      <w:r w:rsidRPr="00AA0D15">
        <w:rPr>
          <w:rStyle w:val="StyleUnderline"/>
        </w:rPr>
        <w:t xml:space="preserve"> Armed with research and hard data, advocates leveraged media and strategic messaging to persuade lawmakers that a public investment in farm to school would yield results. </w:t>
      </w:r>
      <w:r w:rsidRPr="00AA0D15">
        <w:rPr>
          <w:rStyle w:val="Emphasis"/>
        </w:rPr>
        <w:t>They issued</w:t>
      </w:r>
      <w:r w:rsidRPr="00AA0D15">
        <w:t xml:space="preserve"> timely press </w:t>
      </w:r>
      <w:r w:rsidRPr="00AA0D15">
        <w:rPr>
          <w:rStyle w:val="Emphasis"/>
        </w:rPr>
        <w:t>releases, developed fact sheets for legislators and met with editorial board</w:t>
      </w:r>
      <w:r w:rsidRPr="00AA0D15">
        <w:rPr>
          <w:rStyle w:val="StyleUnderline"/>
        </w:rPr>
        <w:t>s</w:t>
      </w:r>
      <w:r w:rsidRPr="00AA0D15">
        <w:t xml:space="preserve"> to develop stories promoting their legislative efforts (like legislators visiting cafeterias). STRATEGY 4: </w:t>
      </w:r>
      <w:r w:rsidRPr="00AA0D15">
        <w:rPr>
          <w:rStyle w:val="Emphasis"/>
        </w:rPr>
        <w:t>SHARE</w:t>
      </w:r>
      <w:r w:rsidRPr="00AA0D15">
        <w:rPr>
          <w:rStyle w:val="StyleUnderline"/>
        </w:rPr>
        <w:t xml:space="preserve"> </w:t>
      </w:r>
      <w:r w:rsidRPr="00AA0D15">
        <w:rPr>
          <w:rStyle w:val="Emphasis"/>
        </w:rPr>
        <w:t>INFORMATION</w:t>
      </w:r>
      <w:r w:rsidRPr="00AA0D15">
        <w:t xml:space="preserve"> TO BOLSTER ADVOCACY EFFORTS </w:t>
      </w:r>
      <w:r w:rsidRPr="00AA0D15">
        <w:rPr>
          <w:rStyle w:val="StyleUnderline"/>
        </w:rPr>
        <w:t>Advocates used the web-based project management tool Basecamp to share farm to school information, reports and policy materials</w:t>
      </w:r>
      <w:r w:rsidRPr="00AA0D15">
        <w:t>. Legislators joined the dialogue, as well, using Basecamp to access and share relevant information and increase the transparency of their farm to school efforts.</w:t>
      </w:r>
    </w:p>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Alaska proves states can solve and the federal government won’t intervene</w:t>
      </w:r>
    </w:p>
    <w:p w:rsidR="00C47278" w:rsidRPr="00AA0D15" w:rsidRDefault="00C47278" w:rsidP="00C47278">
      <w:r w:rsidRPr="002439A5">
        <w:rPr>
          <w:rStyle w:val="Style13ptBold"/>
        </w:rPr>
        <w:t>NFSN 15</w:t>
      </w:r>
      <w:r w:rsidRPr="00AA0D15">
        <w:rPr>
          <w:b/>
        </w:rPr>
        <w:t xml:space="preserve"> </w:t>
      </w:r>
      <w:r w:rsidRPr="00AA0D15">
        <w:t xml:space="preserve">– NFSN is the National Farm to School Network which is an information, advocacy and networking hub for communities working to bring local food sourcing, school gardens and food and agriculture education into schools and early care and education settings. National Farm to School Network was launched in 2007 by a collaborative of more than 30 organizations seeking to shape the burgeoning farm to school movement. Initially led by staff from the Community Food Security Coalition and the Urban &amp; Environmental Policy Institute at Occidental College. National Farm to School Network is now a project of the Tides Center. (State Farm to School Legislative Survey: 2002-2014," 3-5-2015, http://www.farmtoschool.org/Resources/F2S-Survey-2014.pdf)//jkuffour </w:t>
      </w:r>
    </w:p>
    <w:p w:rsidR="00C47278" w:rsidRPr="00AA0D15" w:rsidRDefault="00C47278" w:rsidP="00C47278">
      <w:r w:rsidRPr="00AA0D15">
        <w:t xml:space="preserve">CASE STUDY 1: ALASKA FROM STRATEGIC PLAN TO FISH TO SCHOOL Overview In 2010, </w:t>
      </w:r>
      <w:r w:rsidRPr="00AA0D15">
        <w:rPr>
          <w:rStyle w:val="Emphasis"/>
        </w:rPr>
        <w:t>Alaska’s legislature</w:t>
      </w:r>
      <w:r w:rsidRPr="00AA0D15">
        <w:rPr>
          <w:rStyle w:val="StyleUnderline"/>
        </w:rPr>
        <w:t xml:space="preserve"> established a four-year pilot Farm to School Program, which </w:t>
      </w:r>
      <w:r w:rsidRPr="00AA0D15">
        <w:rPr>
          <w:rStyle w:val="Emphasis"/>
        </w:rPr>
        <w:t xml:space="preserve">included funding for a program coordinator </w:t>
      </w:r>
      <w:r w:rsidRPr="00AA0D15">
        <w:rPr>
          <w:rStyle w:val="StyleUnderline"/>
        </w:rPr>
        <w:t>to help facilitate public schools’ procurement of local foods</w:t>
      </w:r>
      <w:r w:rsidRPr="00AA0D15">
        <w:t xml:space="preserve">. The program was housed within the Department of Natural Resources’ Division of Agriculture (DOA). In 2012, </w:t>
      </w:r>
      <w:r w:rsidRPr="00AA0D15">
        <w:rPr>
          <w:rStyle w:val="StyleUnderline"/>
        </w:rPr>
        <w:t xml:space="preserve">the legislature </w:t>
      </w:r>
      <w:r w:rsidRPr="00AA0D15">
        <w:rPr>
          <w:rStyle w:val="Emphasis"/>
        </w:rPr>
        <w:t>established a separate $3 million pilot grant program</w:t>
      </w:r>
      <w:r w:rsidRPr="00AA0D15">
        <w:t xml:space="preserve">, Nutritional Alaskan Foods in Schools (NAFS), </w:t>
      </w:r>
      <w:r w:rsidRPr="00AA0D15">
        <w:rPr>
          <w:rStyle w:val="Emphasis"/>
        </w:rPr>
        <w:t>to reimburse schools for their purchases of local</w:t>
      </w:r>
      <w:r w:rsidRPr="00AA0D15">
        <w:rPr>
          <w:rStyle w:val="StyleUnderline"/>
        </w:rPr>
        <w:t xml:space="preserve"> fish and </w:t>
      </w:r>
      <w:r w:rsidRPr="00AA0D15">
        <w:rPr>
          <w:rStyle w:val="Emphasis"/>
        </w:rPr>
        <w:t>farm products</w:t>
      </w:r>
      <w:r w:rsidRPr="00AA0D15">
        <w:rPr>
          <w:rStyle w:val="StyleUnderline"/>
        </w:rPr>
        <w:t>.</w:t>
      </w:r>
      <w:r w:rsidRPr="00AA0D15">
        <w:t xml:space="preserve"> Though the legislature housed NAFS under the Department of Commerce, Community and Economic Development, the program coordinator within DOA coordinates the Farm to School and NAFS programs alike. In 2014, the legislature made the pilot Farm to School Program a permanent fixture within the DOA’s general operating budget. The NAFS grant program continues as a pilot. As discussed below, a strategic plan and increased capacity brought about through the program coordinator position were, and continue to be, central to the growth of Alaska’s farm to school system. After the legislature created the Farm to School Program, </w:t>
      </w:r>
      <w:r w:rsidRPr="00AA0D15">
        <w:rPr>
          <w:rStyle w:val="StyleUnderline"/>
        </w:rPr>
        <w:t>the DOA developed a comprehensive Farm to School Strategic Plan to establish clear objectives and timelines for implementing the program statewide.</w:t>
      </w:r>
      <w:r w:rsidRPr="00AA0D15">
        <w:t xml:space="preserve"> STRATEGY 1: </w:t>
      </w:r>
      <w:r w:rsidRPr="00AA0D15">
        <w:rPr>
          <w:rStyle w:val="Emphasis"/>
        </w:rPr>
        <w:t>DEVELOP A STRATEGIC PLAN</w:t>
      </w:r>
      <w:r w:rsidRPr="00AA0D15">
        <w:t xml:space="preserve"> As referenced above, </w:t>
      </w:r>
      <w:r w:rsidRPr="00AA0D15">
        <w:rPr>
          <w:rStyle w:val="Emphasis"/>
        </w:rPr>
        <w:t>Alaska’s Farm to School Program has grown through collaboration</w:t>
      </w:r>
      <w:r w:rsidRPr="00AA0D15">
        <w:t xml:space="preserve"> with the Alaska Obesity Prevention and Control Program (e.g., mini-grant program) and the UAF (e.g., local foods recipe development), </w:t>
      </w:r>
      <w:r w:rsidRPr="00AA0D15">
        <w:rPr>
          <w:rStyle w:val="Emphasis"/>
        </w:rPr>
        <w:t>among</w:t>
      </w:r>
      <w:r w:rsidRPr="00AA0D15">
        <w:t xml:space="preserve"> other </w:t>
      </w:r>
      <w:r w:rsidRPr="00AA0D15">
        <w:rPr>
          <w:rStyle w:val="Emphasis"/>
        </w:rPr>
        <w:t>institutions</w:t>
      </w:r>
      <w:r w:rsidRPr="00AA0D15">
        <w:t xml:space="preserve">. STRATEGY 2: </w:t>
      </w:r>
      <w:r w:rsidRPr="00AA0D15">
        <w:rPr>
          <w:rStyle w:val="Emphasis"/>
        </w:rPr>
        <w:t>FUND A PROGRAM COORDINATOR</w:t>
      </w:r>
      <w:r w:rsidRPr="00AA0D15">
        <w:t xml:space="preserve"> The legislation establishing the Farm to School Program funded a program coordinator position. </w:t>
      </w:r>
      <w:r w:rsidRPr="00AA0D15">
        <w:rPr>
          <w:rStyle w:val="StyleUnderline"/>
        </w:rPr>
        <w:t xml:space="preserve">Alaska’s </w:t>
      </w:r>
      <w:r w:rsidRPr="00AA0D15">
        <w:rPr>
          <w:rStyle w:val="Emphasis"/>
        </w:rPr>
        <w:t xml:space="preserve">program coordinator works to implement the strategic plan and has been deemed successful in facilitating </w:t>
      </w:r>
      <w:r w:rsidRPr="00AA0D15">
        <w:rPr>
          <w:rStyle w:val="StyleUnderline"/>
        </w:rPr>
        <w:t xml:space="preserve">farm </w:t>
      </w:r>
      <w:r w:rsidRPr="00AA0D15">
        <w:rPr>
          <w:rStyle w:val="Emphasis"/>
        </w:rPr>
        <w:t>tours</w:t>
      </w:r>
      <w:r w:rsidRPr="00AA0D15">
        <w:rPr>
          <w:rStyle w:val="StyleUnderline"/>
        </w:rPr>
        <w:t xml:space="preserve"> for school personnel and school tours for farmers, creating a farm to school mini-grant program</w:t>
      </w:r>
      <w:r w:rsidRPr="00AA0D15">
        <w:t xml:space="preserve"> (more below) </w:t>
      </w:r>
      <w:r w:rsidRPr="00AA0D15">
        <w:rPr>
          <w:rStyle w:val="Emphasis"/>
        </w:rPr>
        <w:t>and developing healthy school recipes</w:t>
      </w:r>
      <w:r w:rsidRPr="00AA0D15">
        <w:t xml:space="preserve"> with the University of Alaska Fairbanks Cooperative Extension Service (UAF). STRATEGY 3: </w:t>
      </w:r>
      <w:r w:rsidRPr="00AA0D15">
        <w:rPr>
          <w:rStyle w:val="Emphasis"/>
        </w:rPr>
        <w:t>PROVIDE MINI-GRANTS TO MEET DIVERSE COMMUNITY NEEDS</w:t>
      </w:r>
      <w:r w:rsidRPr="00AA0D15">
        <w:t xml:space="preserve"> Eighty percent of Alaska’s school districts are off of the road system and accessible only by air or water. To address this challenge, starting in 2011, the </w:t>
      </w:r>
      <w:r w:rsidRPr="00AA0D15">
        <w:rPr>
          <w:rStyle w:val="Emphasis"/>
        </w:rPr>
        <w:t>Alaska</w:t>
      </w:r>
      <w:r w:rsidRPr="00AA0D15">
        <w:t xml:space="preserve"> Obesity Prevention and Control Program </w:t>
      </w:r>
      <w:r w:rsidRPr="00AA0D15">
        <w:rPr>
          <w:rStyle w:val="Emphasis"/>
        </w:rPr>
        <w:t>partnered with the Farm to School Program to co-fund minigrant</w:t>
      </w:r>
      <w:r w:rsidRPr="00AA0D15">
        <w:rPr>
          <w:rStyle w:val="StyleUnderline"/>
        </w:rPr>
        <w:t>s</w:t>
      </w:r>
      <w:r w:rsidRPr="00AA0D15">
        <w:t xml:space="preserve"> ($500-$1,000) </w:t>
      </w:r>
      <w:r w:rsidRPr="00AA0D15">
        <w:rPr>
          <w:rStyle w:val="Emphasis"/>
        </w:rPr>
        <w:t>for</w:t>
      </w:r>
      <w:r w:rsidRPr="00AA0D15">
        <w:rPr>
          <w:rStyle w:val="StyleUnderline"/>
        </w:rPr>
        <w:t xml:space="preserve"> rural, </w:t>
      </w:r>
      <w:r w:rsidRPr="00AA0D15">
        <w:rPr>
          <w:rStyle w:val="Emphasis"/>
        </w:rPr>
        <w:t>community-specific projects</w:t>
      </w:r>
      <w:r w:rsidRPr="00AA0D15">
        <w:t xml:space="preserve"> such as the Sitka Conservation Society’s Fish to School project. The first two rounds of minigrants funded 50 projects in 18 school districts and helped start 21 school gardens. STRATEGY 4: </w:t>
      </w:r>
      <w:r w:rsidRPr="00AA0D15">
        <w:rPr>
          <w:rStyle w:val="StyleUnderline"/>
        </w:rPr>
        <w:t>COLLABORATE WITH INSTITUTIONAL PARTNERS As referenced above</w:t>
      </w:r>
      <w:r w:rsidRPr="00AA0D15">
        <w:t>, Alaska’s Farm to School Program has grown through collaboration with the Alaska Obesity Prevention and Control Program (e.g., mini-grant program) and the UAF (e.g., local foods recipe development), among other institutions.</w:t>
      </w:r>
    </w:p>
    <w:p w:rsidR="00C47278" w:rsidRPr="00AA0D15" w:rsidRDefault="00C47278" w:rsidP="00C47278">
      <w:pPr>
        <w:pStyle w:val="Heading4"/>
        <w:rPr>
          <w:rFonts w:cs="Times New Roman"/>
        </w:rPr>
      </w:pPr>
      <w:r w:rsidRPr="00AA0D15">
        <w:rPr>
          <w:rFonts w:cs="Times New Roman"/>
        </w:rPr>
        <w:t>Texas as well</w:t>
      </w:r>
    </w:p>
    <w:p w:rsidR="00C47278" w:rsidRPr="00AA0D15" w:rsidRDefault="00C47278" w:rsidP="00C47278">
      <w:r w:rsidRPr="002439A5">
        <w:rPr>
          <w:rStyle w:val="Style13ptBold"/>
        </w:rPr>
        <w:t>NFSN 15</w:t>
      </w:r>
      <w:r w:rsidRPr="00AA0D15">
        <w:rPr>
          <w:b/>
        </w:rPr>
        <w:t xml:space="preserve"> </w:t>
      </w:r>
      <w:r w:rsidRPr="00AA0D15">
        <w:t xml:space="preserve">– NFSN is the National Farm to School Network which is an information, advocacy and networking hub for communities working to bring local food sourcing, school gardens and food and agriculture education into schools and early care and education settings. National Farm to School Network was launched in 2007 by a collaborative of more than 30 organizations seeking to shape the burgeoning farm to school movement. Initially led by staff from the Community Food Security Coalition and the Urban &amp; Environmental Policy Institute at Occidental College. National Farm to School Network is now a project of the Tides Center. (State Farm to School Legislative Survey: 2002-2014," 3-5-2015, http://www.farmtoschool.org/Resources/F2S-Survey-2014.pdf)//jkuffour </w:t>
      </w:r>
    </w:p>
    <w:p w:rsidR="00C47278" w:rsidRPr="00AA0D15" w:rsidRDefault="00C47278" w:rsidP="00C47278">
      <w:r w:rsidRPr="00AA0D15">
        <w:t>CASE STUDY 3: TEXAS FROM TASK FORCE TO DEFENSE DEPARTMENT FUNDING Overview In 2009</w:t>
      </w:r>
      <w:r w:rsidRPr="00AA0D15">
        <w:rPr>
          <w:rStyle w:val="StyleUnderline"/>
        </w:rPr>
        <w:t xml:space="preserve">, </w:t>
      </w:r>
      <w:r w:rsidRPr="00AA0D15">
        <w:rPr>
          <w:rStyle w:val="Emphasis"/>
        </w:rPr>
        <w:t>the Texas legislature established a</w:t>
      </w:r>
      <w:r w:rsidRPr="00AA0D15">
        <w:rPr>
          <w:rStyle w:val="Emphasis"/>
          <w:b w:val="0"/>
        </w:rPr>
        <w:t>n</w:t>
      </w:r>
      <w:r w:rsidRPr="00AA0D15">
        <w:rPr>
          <w:rStyle w:val="StyleUnderline"/>
        </w:rPr>
        <w:t xml:space="preserve"> Interagency Farm to School Coordination </w:t>
      </w:r>
      <w:r w:rsidRPr="00AA0D15">
        <w:rPr>
          <w:rStyle w:val="Emphasis"/>
        </w:rPr>
        <w:t xml:space="preserve">Task Force </w:t>
      </w:r>
      <w:r w:rsidRPr="00AA0D15">
        <w:rPr>
          <w:rStyle w:val="Emphasis"/>
          <w:b w:val="0"/>
        </w:rPr>
        <w:t>to develop</w:t>
      </w:r>
      <w:r w:rsidRPr="00AA0D15">
        <w:rPr>
          <w:rStyle w:val="Emphasis"/>
        </w:rPr>
        <w:t xml:space="preserve"> </w:t>
      </w:r>
      <w:r w:rsidRPr="00AA0D15">
        <w:rPr>
          <w:rStyle w:val="StyleUnderline"/>
        </w:rPr>
        <w:t>and implement a plan to facilitate the availability of locally grown foods in the state’s school districts.</w:t>
      </w:r>
      <w:r w:rsidRPr="00AA0D15">
        <w:t xml:space="preserve"> The Task Force included members from the state Department of Agriculture; the Texas Education Agency; the Department of State Health Services; and stakeholders representing farmers, distributors, school nutrition, health advocates, parents and representatives from higher education. In 2009 and 2010, </w:t>
      </w:r>
      <w:r w:rsidRPr="00AA0D15">
        <w:rPr>
          <w:rStyle w:val="Emphasis"/>
        </w:rPr>
        <w:t>the Task Force</w:t>
      </w:r>
      <w:r w:rsidRPr="00AA0D15">
        <w:rPr>
          <w:rStyle w:val="StyleUnderline"/>
        </w:rPr>
        <w:t xml:space="preserve"> examined farm to school programs </w:t>
      </w:r>
      <w:r w:rsidRPr="00AA0D15">
        <w:rPr>
          <w:rStyle w:val="Emphasis"/>
        </w:rPr>
        <w:t>within and outside of Texas, identified opportunities and barriers to implementation</w:t>
      </w:r>
      <w:r w:rsidRPr="00AA0D15">
        <w:rPr>
          <w:rStyle w:val="StyleUnderline"/>
        </w:rPr>
        <w:t xml:space="preserve"> and produced a culminating report of forward-looking recommendations</w:t>
      </w:r>
      <w:r w:rsidRPr="00AA0D15">
        <w:t xml:space="preserve">, including those below, </w:t>
      </w:r>
      <w:r w:rsidRPr="00AA0D15">
        <w:rPr>
          <w:rStyle w:val="StyleUnderline"/>
        </w:rPr>
        <w:t>which laid the foundation for the Texas Farm to School program.</w:t>
      </w:r>
      <w:r w:rsidRPr="00AA0D15">
        <w:t xml:space="preserve"> STRATEGY 1</w:t>
      </w:r>
      <w:r w:rsidRPr="00AA0D15">
        <w:rPr>
          <w:rStyle w:val="Emphasis"/>
        </w:rPr>
        <w:t>: ESTABLISH A FEDERALLY FUNDED PROGRAM COORDINATOR POSITION</w:t>
      </w:r>
      <w:r w:rsidRPr="00AA0D15">
        <w:t xml:space="preserve"> In 2010</w:t>
      </w:r>
      <w:r w:rsidRPr="00AA0D15">
        <w:rPr>
          <w:rStyle w:val="StyleUnderline"/>
        </w:rPr>
        <w:t xml:space="preserve">, </w:t>
      </w:r>
      <w:r w:rsidRPr="00AA0D15">
        <w:rPr>
          <w:rStyle w:val="Emphasis"/>
        </w:rPr>
        <w:t>the Task Force recommended using federal funding</w:t>
      </w:r>
      <w:r w:rsidRPr="00AA0D15">
        <w:rPr>
          <w:rStyle w:val="StyleUnderline"/>
        </w:rPr>
        <w:t xml:space="preserve"> from one of several available</w:t>
      </w:r>
      <w:r w:rsidRPr="00AA0D15">
        <w:t xml:space="preserve"> USDA </w:t>
      </w:r>
      <w:r w:rsidRPr="00AA0D15">
        <w:rPr>
          <w:rStyle w:val="StyleUnderline"/>
        </w:rPr>
        <w:t xml:space="preserve">competitive grant programs </w:t>
      </w:r>
      <w:r w:rsidRPr="00AA0D15">
        <w:rPr>
          <w:rStyle w:val="Emphasis"/>
        </w:rPr>
        <w:t>to establish a program</w:t>
      </w:r>
      <w:r w:rsidRPr="00AA0D15">
        <w:rPr>
          <w:rStyle w:val="StyleUnderline"/>
        </w:rPr>
        <w:t xml:space="preserve"> </w:t>
      </w:r>
      <w:r w:rsidRPr="00AA0D15">
        <w:rPr>
          <w:rStyle w:val="Emphasis"/>
        </w:rPr>
        <w:t>coordinator position</w:t>
      </w:r>
      <w:r w:rsidRPr="00AA0D15">
        <w:t xml:space="preserve">, noting that other states found their coordinators critical to implementing farm to school efforts. Following this suggestion, Texas created the position that year with funding from the USDA State Administrative Expenses for Child Nutrition program. </w:t>
      </w:r>
      <w:r w:rsidRPr="00AA0D15">
        <w:rPr>
          <w:rStyle w:val="Emphasis"/>
        </w:rPr>
        <w:t>The coordinator markets farm to school to producers and schools, connects farmers and cafeterias and provides technical assistance, training and resources</w:t>
      </w:r>
      <w:r w:rsidRPr="00AA0D15">
        <w:t xml:space="preserve">. STRATEGY 2: </w:t>
      </w:r>
      <w:r w:rsidRPr="00AA0D15">
        <w:rPr>
          <w:rStyle w:val="Emphasis"/>
        </w:rPr>
        <w:t>IMPLEMENT DIFFERENT APPROACHES IN DIFFERENT SCHOOL DISTRICTS</w:t>
      </w:r>
      <w:r w:rsidRPr="00AA0D15">
        <w:t xml:space="preserve"> In exploring farm to school models for the state, </w:t>
      </w:r>
      <w:r w:rsidRPr="00AA0D15">
        <w:rPr>
          <w:rStyle w:val="Emphasis"/>
        </w:rPr>
        <w:t>the Task</w:t>
      </w:r>
      <w:r w:rsidRPr="00AA0D15">
        <w:rPr>
          <w:rStyle w:val="StyleUnderline"/>
        </w:rPr>
        <w:t xml:space="preserve"> </w:t>
      </w:r>
      <w:r w:rsidRPr="00AA0D15">
        <w:t>Force reviewed Austin Independent School District’s collaboration with the Sustainable Food Center to</w:t>
      </w:r>
      <w:r w:rsidRPr="00AA0D15">
        <w:rPr>
          <w:rStyle w:val="StyleUnderline"/>
        </w:rPr>
        <w:t xml:space="preserve"> </w:t>
      </w:r>
      <w:r w:rsidRPr="00AA0D15">
        <w:rPr>
          <w:rStyle w:val="Emphasis"/>
        </w:rPr>
        <w:t>provide nutrition education</w:t>
      </w:r>
      <w:r w:rsidRPr="00AA0D15">
        <w:rPr>
          <w:rStyle w:val="StyleUnderline"/>
        </w:rPr>
        <w:t xml:space="preserve"> to its </w:t>
      </w:r>
      <w:r w:rsidRPr="00AA0D15">
        <w:rPr>
          <w:rStyle w:val="Emphasis"/>
        </w:rPr>
        <w:t>students and</w:t>
      </w:r>
      <w:r w:rsidRPr="00AA0D15">
        <w:rPr>
          <w:rStyle w:val="StyleUnderline"/>
        </w:rPr>
        <w:t xml:space="preserve"> </w:t>
      </w:r>
      <w:r w:rsidRPr="00AA0D15">
        <w:rPr>
          <w:rStyle w:val="Emphasis"/>
        </w:rPr>
        <w:t>to facilitate local purchasing</w:t>
      </w:r>
      <w:r w:rsidRPr="00AA0D15">
        <w:rPr>
          <w:rStyle w:val="StyleUnderline"/>
        </w:rPr>
        <w:t xml:space="preserve"> at 17 of its schools</w:t>
      </w:r>
      <w:r w:rsidRPr="00AA0D15">
        <w:t xml:space="preserve">. Ultimately, </w:t>
      </w:r>
      <w:r w:rsidRPr="00AA0D15">
        <w:rPr>
          <w:rStyle w:val="StyleUnderline"/>
        </w:rPr>
        <w:t xml:space="preserve">the Task Force recommended that the state implement different farm to school strategies across regions with different needs. </w:t>
      </w:r>
      <w:r w:rsidRPr="00AA0D15">
        <w:t xml:space="preserve">To that end, the farm to school coordinator worked to enable statewide Regional Education Service Centers to offer full-time training and technical assistance to local school districts. STRATEGY 3: </w:t>
      </w:r>
      <w:r w:rsidRPr="00AA0D15">
        <w:rPr>
          <w:rStyle w:val="Emphasis"/>
        </w:rPr>
        <w:t>LEVERAGE “DOD FRESH” FOR FARM TO SCHOOL Through</w:t>
      </w:r>
      <w:r w:rsidRPr="00AA0D15">
        <w:rPr>
          <w:rStyle w:val="StyleUnderline"/>
        </w:rPr>
        <w:t xml:space="preserve"> its </w:t>
      </w:r>
      <w:r w:rsidRPr="00AA0D15">
        <w:rPr>
          <w:rStyle w:val="Emphasis"/>
        </w:rPr>
        <w:t>participation</w:t>
      </w:r>
      <w:r w:rsidRPr="00AA0D15">
        <w:rPr>
          <w:rStyle w:val="StyleUnderline"/>
        </w:rPr>
        <w:t xml:space="preserve"> in the Department of Defense Fresh Fruit and Vegetable Program</w:t>
      </w:r>
      <w:r w:rsidRPr="00AA0D15">
        <w:rPr>
          <w:rStyle w:val="Emphasis"/>
        </w:rPr>
        <w:t>, Texas Farm to School is able to identify available state produce and to develop an availability calendar</w:t>
      </w:r>
      <w:r w:rsidRPr="00AA0D15">
        <w:rPr>
          <w:rStyle w:val="StyleUnderline"/>
        </w:rPr>
        <w:t xml:space="preserve"> to help school districts plan their purchases</w:t>
      </w:r>
      <w:r w:rsidRPr="00AA0D15">
        <w:t>. In the 2013-2014 school year, schools nationwide purchased over $15 million of local produce from this program. Review this USDA Farm to School Factsheet for more information on using DoD Fresh to purchase local produce.</w:t>
      </w:r>
    </w:p>
    <w:p w:rsidR="00C47278" w:rsidRPr="00AA0D15" w:rsidRDefault="00C47278" w:rsidP="00C47278">
      <w:pPr>
        <w:pStyle w:val="Heading4"/>
        <w:rPr>
          <w:rFonts w:cs="Times New Roman"/>
        </w:rPr>
      </w:pPr>
      <w:r w:rsidRPr="00AA0D15">
        <w:rPr>
          <w:rFonts w:cs="Times New Roman"/>
        </w:rPr>
        <w:t>State action spurs follow-on legislation elsewhere</w:t>
      </w:r>
    </w:p>
    <w:p w:rsidR="00C47278" w:rsidRPr="00AA0D15" w:rsidRDefault="00C47278" w:rsidP="00C47278">
      <w:r w:rsidRPr="002439A5">
        <w:rPr>
          <w:rStyle w:val="Style13ptBold"/>
        </w:rPr>
        <w:t>NFSN 15</w:t>
      </w:r>
      <w:r w:rsidRPr="00AA0D15">
        <w:rPr>
          <w:b/>
        </w:rPr>
        <w:t xml:space="preserve"> </w:t>
      </w:r>
      <w:r w:rsidRPr="00AA0D15">
        <w:t xml:space="preserve">– NFSN is the National Farm to School Network which is an information, advocacy and networking hub for communities working to bring local food sourcing, school gardens and food and agriculture education into schools and early care and education settings. National Farm to School Network was launched in 2007 by a collaborative of more than 30 organizations seeking to shape the burgeoning farm to school movement. Initially led by staff from the Community Food Security Coalition and the Urban &amp; Environmental Policy Institute at Occidental College. National Farm to School Network is now a project of the Tides Center. (State Farm to School Legislative Survey: 2002-2014," 3-5-2015, http://www.farmtoschool.org/Resources/F2S-Survey-2014.pdf)//jkuffour </w:t>
      </w:r>
    </w:p>
    <w:p w:rsidR="00C47278" w:rsidRPr="00AA0D15" w:rsidRDefault="00C47278" w:rsidP="00C47278">
      <w:r w:rsidRPr="00AA0D15">
        <w:t xml:space="preserve">Several federal food and agriculture policies and funding sources support farm to school, yet this </w:t>
      </w:r>
      <w:r w:rsidRPr="00AA0D15">
        <w:rPr>
          <w:rStyle w:val="StyleUnderline"/>
        </w:rPr>
        <w:t>support is limited</w:t>
      </w:r>
      <w:r w:rsidRPr="00AA0D15">
        <w:t xml:space="preserve">. Accordingly, </w:t>
      </w:r>
      <w:r w:rsidRPr="00AA0D15">
        <w:rPr>
          <w:rStyle w:val="Emphasis"/>
        </w:rPr>
        <w:t>states play a crucial role in developing and funding farm to school</w:t>
      </w:r>
      <w:r w:rsidRPr="00AA0D15">
        <w:rPr>
          <w:rStyle w:val="StyleUnderline"/>
        </w:rPr>
        <w:t xml:space="preserve"> laws, </w:t>
      </w:r>
      <w:r w:rsidRPr="00AA0D15">
        <w:rPr>
          <w:rStyle w:val="Emphasis"/>
        </w:rPr>
        <w:t>policies</w:t>
      </w:r>
      <w:r w:rsidRPr="00AA0D15">
        <w:rPr>
          <w:rStyle w:val="StyleUnderline"/>
        </w:rPr>
        <w:t xml:space="preserve"> and programs</w:t>
      </w:r>
      <w:r w:rsidRPr="00AA0D15">
        <w:t xml:space="preserve">. Across the country, state governments and farm to school advocates are working together to connect schools, children, farmers and food entrepreneurs. As the graph below reflects, state farm to school advocacy is on the rise. </w:t>
      </w:r>
      <w:r w:rsidRPr="00AA0D15">
        <w:rPr>
          <w:rStyle w:val="StyleUnderline"/>
        </w:rPr>
        <w:t xml:space="preserve">The time is ripe to leverage relationships and advocacy to expand farm to school through state legislation. The </w:t>
      </w:r>
      <w:r w:rsidRPr="00AA0D15">
        <w:rPr>
          <w:rStyle w:val="Emphasis"/>
        </w:rPr>
        <w:t>increase in state farm to school legislation mirrors the expansion of farm to school programming across the country</w:t>
      </w:r>
      <w:r w:rsidRPr="00AA0D15">
        <w:t xml:space="preserve">. According to the U.S. Department of Agriculture’s (USDA) January 2015 Trends in U.S. Local and Regional Food Systems, the number of farm to school programs in the U.S. increased 430 percent between 2006 and 2012. As of the 2011-2012 USDA Farm to School Census, 4,322 school districts operating 40,328 schools with 23,513,237 students are participating in farm to school. Notably, in 2012, a study published in the Journal of School Health concluded that </w:t>
      </w:r>
      <w:r w:rsidRPr="00AA0D15">
        <w:rPr>
          <w:rStyle w:val="Emphasis"/>
        </w:rPr>
        <w:t>there is a causal relationship</w:t>
      </w:r>
      <w:r w:rsidRPr="00AA0D15">
        <w:rPr>
          <w:rStyle w:val="StyleUnderline"/>
        </w:rPr>
        <w:t xml:space="preserve"> between the rise in state laws requiring or encouraging farm to school and the rise in state farm to school programs</w:t>
      </w:r>
      <w:r w:rsidRPr="00AA0D15">
        <w:t>. Simply put, strong laws facilitate strong programs.</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Federal solvency deficits</w:t>
      </w:r>
    </w:p>
    <w:p w:rsidR="00C47278" w:rsidRPr="00AA0D15" w:rsidRDefault="00C47278" w:rsidP="00C47278">
      <w:pPr>
        <w:pStyle w:val="Heading4"/>
        <w:rPr>
          <w:rFonts w:cs="Times New Roman"/>
        </w:rPr>
      </w:pPr>
      <w:r w:rsidRPr="00AA0D15">
        <w:rPr>
          <w:rFonts w:cs="Times New Roman"/>
        </w:rPr>
        <w:t xml:space="preserve">Fed regulation on lunches fails </w:t>
      </w:r>
    </w:p>
    <w:p w:rsidR="00C47278" w:rsidRPr="00AA0D15" w:rsidRDefault="00C47278" w:rsidP="00C47278">
      <w:r w:rsidRPr="00AA0D15">
        <w:t xml:space="preserve">Ellen </w:t>
      </w:r>
      <w:r w:rsidRPr="00AA0D15">
        <w:rPr>
          <w:rStyle w:val="Style13ptBold"/>
        </w:rPr>
        <w:t>Fried</w:t>
      </w:r>
      <w:r w:rsidRPr="00AA0D15">
        <w:t xml:space="preserve"> and Michele </w:t>
      </w:r>
      <w:r w:rsidRPr="00AA0D15">
        <w:rPr>
          <w:rStyle w:val="Style13ptBold"/>
        </w:rPr>
        <w:t>Simon</w:t>
      </w:r>
      <w:r w:rsidRPr="00AA0D15">
        <w:t xml:space="preserve"> </w:t>
      </w:r>
      <w:r w:rsidRPr="00AA0D15">
        <w:rPr>
          <w:rStyle w:val="Style13ptBold"/>
        </w:rPr>
        <w:t>2007</w:t>
      </w:r>
      <w:r w:rsidRPr="00AA0D15">
        <w:t xml:space="preserve"> - Fried is an assistant clinical professor at NYU, J.D. from Fordham and A.B. from Barnard, Simon is an assistant professor at the University of California, J.D. from the University of California and M.P.H. from Yale (“THIRTY-SEVENTH ANNUAL ADMINISTRATIVE LAW ISSUE: Essay: THE COMPETITIVE FOOD CONUNDRUM: CAN GOVERNMENT REGULATIONS IMPROVE SCHOOL FOOD?,” Duke Law Journal, LexisNexis) </w:t>
      </w:r>
    </w:p>
    <w:p w:rsidR="00C47278" w:rsidRPr="00AA0D15" w:rsidRDefault="00C47278" w:rsidP="00C47278">
      <w:r w:rsidRPr="00AA0D15">
        <w:t xml:space="preserve">Speaking at a legal conference in 2005, Foreman pointed out that </w:t>
      </w:r>
      <w:r w:rsidRPr="00AA0D15">
        <w:rPr>
          <w:rStyle w:val="StyleUnderline"/>
        </w:rPr>
        <w:t>although constrained by governing statutes, "regulators can choose to read the law narrowly or view their mandate expansively, to use the bully pulpit to educate both public policy makers or hide in their offices</w:t>
      </w:r>
      <w:r w:rsidRPr="00AA0D15">
        <w:t xml:space="preserve">." </w:t>
      </w:r>
      <w:bookmarkStart w:id="3" w:name="r133"/>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"n133" </w:instrText>
      </w:r>
      <w:r w:rsidRPr="00AA0D15">
        <w:fldChar w:fldCharType="separate"/>
      </w:r>
      <w:r w:rsidRPr="00AA0D15">
        <w:rPr>
          <w:rStyle w:val="Hyperlink"/>
        </w:rPr>
        <w:t>n133</w:t>
      </w:r>
      <w:r w:rsidRPr="00AA0D15">
        <w:fldChar w:fldCharType="end"/>
      </w:r>
      <w:bookmarkEnd w:id="3"/>
      <w:r w:rsidRPr="00AA0D15">
        <w:t xml:space="preserve"> She described the first attempt by the USDA to identify categories of non-nutritious foods, followed by the broad application of time and place restrictions, as "based on the slimmest congressional mandate." </w:t>
      </w:r>
      <w:bookmarkStart w:id="4" w:name="r134"/>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"n134" </w:instrText>
      </w:r>
      <w:r w:rsidRPr="00AA0D15">
        <w:fldChar w:fldCharType="separate"/>
      </w:r>
      <w:r w:rsidRPr="00AA0D15">
        <w:rPr>
          <w:rStyle w:val="Hyperlink"/>
        </w:rPr>
        <w:t>n134</w:t>
      </w:r>
      <w:r w:rsidRPr="00AA0D15">
        <w:fldChar w:fldCharType="end"/>
      </w:r>
      <w:bookmarkEnd w:id="4"/>
      <w:r w:rsidRPr="00AA0D15">
        <w:t xml:space="preserve"> In other words, USDA administrators at that time were focused on establishing bold initiatives that would make a difference by restricting the time and place of competitive food sales. After the appellate decision in Block struck down the secretary's broad application, USDA administrators never again sought to control competitive foods in any meaningful way. Whether administrators use the Harkin bill's grant of powers to effect meaningful change remains to be seen. In assessing the </w:t>
      </w:r>
      <w:bookmarkStart w:id="5" w:name="ORIGHIT_194"/>
      <w:bookmarkStart w:id="6" w:name="HIT_194"/>
      <w:bookmarkEnd w:id="5"/>
      <w:bookmarkEnd w:id="6"/>
      <w:r w:rsidRPr="00AA0D15">
        <w:t>school lunch situation across the nation in 2005, Foreman noted that "</w:t>
      </w:r>
      <w:r w:rsidRPr="00AA0D15">
        <w:rPr>
          <w:rStyle w:val="StyleUnderline"/>
        </w:rPr>
        <w:t xml:space="preserve">many </w:t>
      </w:r>
      <w:bookmarkStart w:id="7" w:name="ORIGHIT_196"/>
      <w:bookmarkStart w:id="8" w:name="HIT_196"/>
      <w:bookmarkEnd w:id="7"/>
      <w:bookmarkEnd w:id="8"/>
      <w:r w:rsidRPr="00AA0D15">
        <w:rPr>
          <w:rStyle w:val="StyleUnderline"/>
        </w:rPr>
        <w:t xml:space="preserve">school districts openly flout" nutrition requirements for </w:t>
      </w:r>
      <w:bookmarkStart w:id="9" w:name="ORIGHIT_197"/>
      <w:bookmarkStart w:id="10" w:name="HIT_197"/>
      <w:bookmarkEnd w:id="9"/>
      <w:bookmarkEnd w:id="10"/>
      <w:r w:rsidRPr="00AA0D15">
        <w:rPr>
          <w:rStyle w:val="StyleUnderline"/>
        </w:rPr>
        <w:t>school meal</w:t>
      </w:r>
      <w:r w:rsidRPr="00AA0D15">
        <w:t xml:space="preserve">s. </w:t>
      </w:r>
      <w:bookmarkStart w:id="11" w:name="r135"/>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"n135" </w:instrText>
      </w:r>
      <w:r w:rsidRPr="00AA0D15">
        <w:fldChar w:fldCharType="separate"/>
      </w:r>
      <w:r w:rsidRPr="00AA0D15">
        <w:rPr>
          <w:rStyle w:val="Hyperlink"/>
        </w:rPr>
        <w:t>n135</w:t>
      </w:r>
      <w:r w:rsidRPr="00AA0D15">
        <w:fldChar w:fldCharType="end"/>
      </w:r>
      <w:bookmarkEnd w:id="11"/>
      <w:r w:rsidRPr="00AA0D15">
        <w:t xml:space="preserve">A 2001 government review revealed that only 15 percent of elementary </w:t>
      </w:r>
      <w:bookmarkStart w:id="12" w:name="ORIGHIT_198"/>
      <w:bookmarkStart w:id="13" w:name="HIT_198"/>
      <w:bookmarkEnd w:id="12"/>
      <w:bookmarkEnd w:id="13"/>
      <w:r w:rsidRPr="00AA0D15">
        <w:t xml:space="preserve">schools and 13 percent of secondary </w:t>
      </w:r>
      <w:bookmarkStart w:id="14" w:name="ORIGHIT_199"/>
      <w:bookmarkStart w:id="15" w:name="HIT_199"/>
      <w:bookmarkEnd w:id="14"/>
      <w:bookmarkEnd w:id="15"/>
      <w:r w:rsidRPr="00AA0D15">
        <w:t xml:space="preserve">schools meet the NSLP program requirements for saturated fat. </w:t>
      </w:r>
      <w:bookmarkStart w:id="16" w:name="r136"/>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"n136" </w:instrText>
      </w:r>
      <w:r w:rsidRPr="00AA0D15">
        <w:fldChar w:fldCharType="separate"/>
      </w:r>
      <w:r w:rsidRPr="00AA0D15">
        <w:rPr>
          <w:rStyle w:val="Hyperlink"/>
        </w:rPr>
        <w:t>n136</w:t>
      </w:r>
      <w:r w:rsidRPr="00AA0D15">
        <w:fldChar w:fldCharType="end"/>
      </w:r>
      <w:bookmarkEnd w:id="16"/>
      <w:r w:rsidRPr="00AA0D15">
        <w:t xml:space="preserve"> </w:t>
      </w:r>
      <w:bookmarkStart w:id="17" w:name="ORIGHIT_200"/>
      <w:bookmarkStart w:id="18" w:name="HIT_200"/>
      <w:bookmarkEnd w:id="17"/>
      <w:bookmarkEnd w:id="18"/>
      <w:r w:rsidRPr="00AA0D15">
        <w:t>Schools can do this "without fear," Foreman pointed out, because the "</w:t>
      </w:r>
      <w:r w:rsidRPr="00AA0D15">
        <w:rPr>
          <w:rStyle w:val="StyleUnderline"/>
        </w:rPr>
        <w:t>USDA has very few tools to require compliance" and enforcement options are limited</w:t>
      </w:r>
      <w:r w:rsidRPr="00AA0D15">
        <w:t xml:space="preserve">. </w:t>
      </w:r>
      <w:bookmarkStart w:id="19" w:name="r137"/>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"n137" </w:instrText>
      </w:r>
      <w:r w:rsidRPr="00AA0D15">
        <w:fldChar w:fldCharType="separate"/>
      </w:r>
      <w:r w:rsidRPr="00AA0D15">
        <w:rPr>
          <w:rStyle w:val="Hyperlink"/>
        </w:rPr>
        <w:t>n137</w:t>
      </w:r>
      <w:r w:rsidRPr="00AA0D15">
        <w:fldChar w:fldCharType="end"/>
      </w:r>
      <w:bookmarkEnd w:id="19"/>
      <w:r w:rsidRPr="00AA0D15">
        <w:t xml:space="preserve">For example, if the USDA refused to provide federal support to noncompliant </w:t>
      </w:r>
      <w:bookmarkStart w:id="20" w:name="ORIGHIT_201"/>
      <w:bookmarkStart w:id="21" w:name="HIT_201"/>
      <w:bookmarkEnd w:id="20"/>
      <w:bookmarkEnd w:id="21"/>
      <w:r w:rsidRPr="00AA0D15">
        <w:t xml:space="preserve">school districts, "the burden would fall not on the </w:t>
      </w:r>
      <w:bookmarkStart w:id="22" w:name="ORIGHIT_202"/>
      <w:bookmarkStart w:id="23" w:name="HIT_202"/>
      <w:bookmarkEnd w:id="22"/>
      <w:bookmarkEnd w:id="23"/>
      <w:r w:rsidRPr="00AA0D15">
        <w:t xml:space="preserve">school system personnel who've failed to meet the rules but on poor children who depend on </w:t>
      </w:r>
      <w:bookmarkStart w:id="24" w:name="ORIGHIT_203"/>
      <w:bookmarkStart w:id="25" w:name="HIT_203"/>
      <w:bookmarkEnd w:id="24"/>
      <w:bookmarkEnd w:id="25"/>
      <w:r w:rsidRPr="00AA0D15">
        <w:t xml:space="preserve">school lunch to get enough calories." </w:t>
      </w:r>
      <w:bookmarkStart w:id="26" w:name="r138"/>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"n138" </w:instrText>
      </w:r>
      <w:r w:rsidRPr="00AA0D15">
        <w:fldChar w:fldCharType="separate"/>
      </w:r>
      <w:r w:rsidRPr="00AA0D15">
        <w:rPr>
          <w:rStyle w:val="Hyperlink"/>
        </w:rPr>
        <w:t>n138</w:t>
      </w:r>
      <w:r w:rsidRPr="00AA0D15">
        <w:fldChar w:fldCharType="end"/>
      </w:r>
      <w:bookmarkEnd w:id="26"/>
      <w:r w:rsidRPr="00AA0D15">
        <w:t xml:space="preserve"> The same would be true with competitive food. The litany of issues that lead </w:t>
      </w:r>
      <w:bookmarkStart w:id="27" w:name="ORIGHIT_205"/>
      <w:bookmarkStart w:id="28" w:name="HIT_205"/>
      <w:bookmarkEnd w:id="27"/>
      <w:bookmarkEnd w:id="28"/>
      <w:r w:rsidRPr="00AA0D15">
        <w:t xml:space="preserve">schools to allow the sale of competitive foods has been consistent throughout the forty-year [*1515] attempt to curb junk food in </w:t>
      </w:r>
      <w:bookmarkStart w:id="29" w:name="ORIGHIT_206"/>
      <w:bookmarkStart w:id="30" w:name="HIT_206"/>
      <w:bookmarkEnd w:id="29"/>
      <w:bookmarkEnd w:id="30"/>
      <w:r w:rsidRPr="00AA0D15">
        <w:t xml:space="preserve">schools. School administrators argue that a la carte lines in which foods do not meet the USDA's dietary guidelines "must stay because children don't like and won't eat the approved meals and the foodservice must [meet financial goals]." </w:t>
      </w:r>
      <w:bookmarkStart w:id="31" w:name="r139"/>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"n139" </w:instrText>
      </w:r>
      <w:r w:rsidRPr="00AA0D15">
        <w:fldChar w:fldCharType="separate"/>
      </w:r>
      <w:r w:rsidRPr="00AA0D15">
        <w:rPr>
          <w:rStyle w:val="Hyperlink"/>
        </w:rPr>
        <w:t>n139</w:t>
      </w:r>
      <w:r w:rsidRPr="00AA0D15">
        <w:fldChar w:fldCharType="end"/>
      </w:r>
      <w:bookmarkEnd w:id="31"/>
      <w:r w:rsidRPr="00AA0D15">
        <w:t xml:space="preserve"> Some districts even threaten to have no </w:t>
      </w:r>
      <w:bookmarkStart w:id="32" w:name="ORIGHIT_208"/>
      <w:bookmarkStart w:id="33" w:name="HIT_208"/>
      <w:bookmarkEnd w:id="32"/>
      <w:bookmarkEnd w:id="33"/>
      <w:r w:rsidRPr="00AA0D15">
        <w:t xml:space="preserve">school feeding programs at all rather than invest more money. </w:t>
      </w:r>
      <w:bookmarkStart w:id="34" w:name="r140"/>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"n140" </w:instrText>
      </w:r>
      <w:r w:rsidRPr="00AA0D15">
        <w:fldChar w:fldCharType="separate"/>
      </w:r>
      <w:r w:rsidRPr="00AA0D15">
        <w:rPr>
          <w:rStyle w:val="Hyperlink"/>
        </w:rPr>
        <w:t>n140</w:t>
      </w:r>
      <w:r w:rsidRPr="00AA0D15">
        <w:fldChar w:fldCharType="end"/>
      </w:r>
      <w:bookmarkEnd w:id="34"/>
      <w:r w:rsidRPr="00AA0D15">
        <w:t xml:space="preserve"> Foreman notes: "This, they remind us, would hurt poor children who receive free </w:t>
      </w:r>
      <w:bookmarkStart w:id="35" w:name="ORIGHIT_209"/>
      <w:bookmarkStart w:id="36" w:name="HIT_209"/>
      <w:bookmarkEnd w:id="35"/>
      <w:bookmarkEnd w:id="36"/>
      <w:r w:rsidRPr="00AA0D15">
        <w:t xml:space="preserve">lunches and often use </w:t>
      </w:r>
      <w:bookmarkStart w:id="37" w:name="ORIGHIT_210"/>
      <w:bookmarkStart w:id="38" w:name="HIT_210"/>
      <w:bookmarkEnd w:id="37"/>
      <w:bookmarkEnd w:id="38"/>
      <w:r w:rsidRPr="00AA0D15">
        <w:t xml:space="preserve">school lunch as their primary meal of the day." </w:t>
      </w:r>
      <w:bookmarkStart w:id="39" w:name="r141"/>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"n141" </w:instrText>
      </w:r>
      <w:r w:rsidRPr="00AA0D15">
        <w:fldChar w:fldCharType="separate"/>
      </w:r>
      <w:r w:rsidRPr="00AA0D15">
        <w:rPr>
          <w:rStyle w:val="Hyperlink"/>
        </w:rPr>
        <w:t>n141</w:t>
      </w:r>
      <w:r w:rsidRPr="00AA0D15">
        <w:fldChar w:fldCharType="end"/>
      </w:r>
      <w:bookmarkEnd w:id="39"/>
      <w:r w:rsidRPr="00AA0D15">
        <w:t>These funding arguments must be resolved so that enforcement can improve.</w:t>
      </w:r>
    </w:p>
    <w:p w:rsidR="00C47278" w:rsidRPr="00AA0D15" w:rsidRDefault="00C47278" w:rsidP="00C47278">
      <w:pPr>
        <w:pStyle w:val="Heading4"/>
        <w:rPr>
          <w:rFonts w:cs="Times New Roman"/>
        </w:rPr>
      </w:pPr>
      <w:r w:rsidRPr="00AA0D15">
        <w:rPr>
          <w:rFonts w:cs="Times New Roman"/>
        </w:rPr>
        <w:t xml:space="preserve">States don’t comply with federal mandates </w:t>
      </w:r>
    </w:p>
    <w:p w:rsidR="00C47278" w:rsidRPr="00AA0D15" w:rsidRDefault="00C47278" w:rsidP="00C47278">
      <w:r w:rsidRPr="00AA0D15">
        <w:t xml:space="preserve">Ellen </w:t>
      </w:r>
      <w:r w:rsidRPr="00AA0D15">
        <w:rPr>
          <w:rStyle w:val="Style13ptBold"/>
        </w:rPr>
        <w:t>Fried</w:t>
      </w:r>
      <w:r w:rsidRPr="00AA0D15">
        <w:t xml:space="preserve"> and Michele </w:t>
      </w:r>
      <w:r w:rsidRPr="00AA0D15">
        <w:rPr>
          <w:rStyle w:val="Style13ptBold"/>
        </w:rPr>
        <w:t>Simon</w:t>
      </w:r>
      <w:r w:rsidRPr="00AA0D15">
        <w:t xml:space="preserve"> </w:t>
      </w:r>
      <w:r w:rsidRPr="00AA0D15">
        <w:rPr>
          <w:rStyle w:val="Style13ptBold"/>
        </w:rPr>
        <w:t>2007</w:t>
      </w:r>
      <w:r w:rsidRPr="00AA0D15">
        <w:t xml:space="preserve"> - Fried is an assistant clinical professor at NYU, J.D. from Fordham and A.B. from Barnard, Simon is an assistant professor at the University of California, J.D. from the University of California and M.P.H. from Yale (“THIRTY-SEVENTH ANNUAL ADMINISTRATIVE LAW ISSUE: Essay: THE COMPETITIVE FOOD CONUNDRUM: CAN GOVERNMENT REGULATIONS IMPROVE SCHOOL FOOD?,” Duke Law Journal, LexisNexis) </w:t>
      </w:r>
    </w:p>
    <w:p w:rsidR="00C47278" w:rsidRPr="00AA0D15" w:rsidRDefault="00C47278" w:rsidP="00C47278">
      <w:r w:rsidRPr="00AA0D15">
        <w:t xml:space="preserve">In 2004, in lieu of setting federal standards, Congress mandated that by the start of the 2006-07 </w:t>
      </w:r>
      <w:bookmarkStart w:id="40" w:name="ORIGHIT_282"/>
      <w:bookmarkStart w:id="41" w:name="HIT_282"/>
      <w:bookmarkEnd w:id="40"/>
      <w:bookmarkEnd w:id="41"/>
      <w:r w:rsidRPr="00AA0D15">
        <w:t xml:space="preserve">school year all </w:t>
      </w:r>
      <w:bookmarkStart w:id="42" w:name="ORIGHIT_283"/>
      <w:bookmarkStart w:id="43" w:name="HIT_283"/>
      <w:bookmarkEnd w:id="42"/>
      <w:bookmarkEnd w:id="43"/>
      <w:r w:rsidRPr="00AA0D15">
        <w:t xml:space="preserve">schools participating in the NSLP must have local wellness policies in place that address nutrition and physical activity. </w:t>
      </w:r>
      <w:bookmarkStart w:id="44" w:name="r202"/>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"n202" </w:instrText>
      </w:r>
      <w:r w:rsidRPr="00AA0D15">
        <w:fldChar w:fldCharType="separate"/>
      </w:r>
      <w:r w:rsidRPr="00AA0D15">
        <w:rPr>
          <w:rStyle w:val="Hyperlink"/>
        </w:rPr>
        <w:t>n202</w:t>
      </w:r>
      <w:r w:rsidRPr="00AA0D15">
        <w:fldChar w:fldCharType="end"/>
      </w:r>
      <w:bookmarkEnd w:id="44"/>
      <w:r w:rsidRPr="00AA0D15">
        <w:t xml:space="preserve"> </w:t>
      </w:r>
      <w:r w:rsidRPr="00AA0D15">
        <w:rPr>
          <w:rStyle w:val="StyleUnderline"/>
        </w:rPr>
        <w:t>Although the federal law is theoretically mandatory, the lack of punishment and enforcement mechanisms means that it is essentially voluntary</w:t>
      </w:r>
      <w:r w:rsidRPr="00AA0D15">
        <w:t xml:space="preserve">. With the wellness policies, </w:t>
      </w:r>
      <w:r w:rsidRPr="00AA0D15">
        <w:rPr>
          <w:rStyle w:val="StyleUnderline"/>
        </w:rPr>
        <w:t xml:space="preserve">the mixed messages coming from the </w:t>
      </w:r>
      <w:bookmarkStart w:id="45" w:name="ORIGHIT_284"/>
      <w:bookmarkStart w:id="46" w:name="HIT_284"/>
      <w:bookmarkEnd w:id="45"/>
      <w:bookmarkEnd w:id="46"/>
      <w:r w:rsidRPr="00AA0D15">
        <w:rPr>
          <w:rStyle w:val="StyleUnderline"/>
        </w:rPr>
        <w:t xml:space="preserve">federal government suggest that it does not want to touch this again, but it is going to require local </w:t>
      </w:r>
      <w:bookmarkStart w:id="47" w:name="ORIGHIT_285"/>
      <w:bookmarkStart w:id="48" w:name="HIT_285"/>
      <w:bookmarkEnd w:id="47"/>
      <w:bookmarkEnd w:id="48"/>
      <w:r w:rsidRPr="00AA0D15">
        <w:rPr>
          <w:rStyle w:val="StyleUnderline"/>
        </w:rPr>
        <w:t>schools to develop their own language rather than just provide models</w:t>
      </w:r>
      <w:r w:rsidRPr="00AA0D15">
        <w:t xml:space="preserve"> (although the </w:t>
      </w:r>
      <w:bookmarkStart w:id="49" w:name="ORIGHIT_286"/>
      <w:bookmarkStart w:id="50" w:name="HIT_286"/>
      <w:bookmarkEnd w:id="49"/>
      <w:bookmarkEnd w:id="50"/>
      <w:r w:rsidRPr="00AA0D15">
        <w:t xml:space="preserve">federal government continues to do that too). No additional funding or other financial incentive was offered to </w:t>
      </w:r>
      <w:bookmarkStart w:id="51" w:name="ORIGHIT_287"/>
      <w:bookmarkStart w:id="52" w:name="HIT_287"/>
      <w:bookmarkEnd w:id="51"/>
      <w:bookmarkEnd w:id="52"/>
      <w:r w:rsidRPr="00AA0D15">
        <w:t xml:space="preserve">schools with the wellness policy law. [*1529] Curiously, Congress did allocate four million dollars to the USDA for implementation, to be used for "technical assistance ... for guidance purposes only and not to be construed as binding or as a mandate to </w:t>
      </w:r>
      <w:bookmarkStart w:id="53" w:name="ORIGHIT_288"/>
      <w:bookmarkStart w:id="54" w:name="HIT_288"/>
      <w:bookmarkEnd w:id="53"/>
      <w:bookmarkEnd w:id="54"/>
      <w:r w:rsidRPr="00AA0D15">
        <w:t xml:space="preserve">schools." </w:t>
      </w:r>
      <w:bookmarkStart w:id="55" w:name="r203"/>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"n203" </w:instrText>
      </w:r>
      <w:r w:rsidRPr="00AA0D15">
        <w:fldChar w:fldCharType="separate"/>
      </w:r>
      <w:r w:rsidRPr="00AA0D15">
        <w:rPr>
          <w:rStyle w:val="Hyperlink"/>
        </w:rPr>
        <w:t>n203</w:t>
      </w:r>
      <w:r w:rsidRPr="00AA0D15">
        <w:fldChar w:fldCharType="end"/>
      </w:r>
      <w:bookmarkEnd w:id="55"/>
      <w:r w:rsidRPr="00AA0D15">
        <w:t xml:space="preserve"> For example, the USDA's Team Nutrition website includes a plethora of materials, including sample guidelines that come with the following disclaimer: "These examples are being provided as references. USDA is not promoting one over another." </w:t>
      </w:r>
      <w:bookmarkStart w:id="56" w:name="r204"/>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"n204" </w:instrText>
      </w:r>
      <w:r w:rsidRPr="00AA0D15">
        <w:fldChar w:fldCharType="separate"/>
      </w:r>
      <w:r w:rsidRPr="00AA0D15">
        <w:rPr>
          <w:rStyle w:val="Hyperlink"/>
        </w:rPr>
        <w:t>n204</w:t>
      </w:r>
      <w:r w:rsidRPr="00AA0D15">
        <w:fldChar w:fldCharType="end"/>
      </w:r>
      <w:bookmarkEnd w:id="56"/>
      <w:r w:rsidRPr="00AA0D15">
        <w:t xml:space="preserve"> On a very long webpage called "The Local Process: How to Create and Implement a Local Wellness Policy," the USDA lists no fewer than eight steps, under each of which are many more steps and links to numerous resources. </w:t>
      </w:r>
      <w:bookmarkStart w:id="57" w:name="r205"/>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"n205" </w:instrText>
      </w:r>
      <w:r w:rsidRPr="00AA0D15">
        <w:fldChar w:fldCharType="separate"/>
      </w:r>
      <w:r w:rsidRPr="00AA0D15">
        <w:rPr>
          <w:rStyle w:val="Hyperlink"/>
        </w:rPr>
        <w:t>n205</w:t>
      </w:r>
      <w:r w:rsidRPr="00AA0D15">
        <w:fldChar w:fldCharType="end"/>
      </w:r>
      <w:bookmarkEnd w:id="57"/>
      <w:r w:rsidRPr="00AA0D15">
        <w:t xml:space="preserve"> How are the wellness policies going? It may be too soon to tell, but there are early signs of challenges. According to one survey, only about half of all approved policies met even the minimum guidelines required by statute. Moreover, 40 percent of the policies did not specify who was in charge of implementation, and few indicated any timeline or measurable objectives. </w:t>
      </w:r>
      <w:bookmarkStart w:id="58" w:name="r206"/>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"n206" </w:instrText>
      </w:r>
      <w:r w:rsidRPr="00AA0D15">
        <w:fldChar w:fldCharType="separate"/>
      </w:r>
      <w:r w:rsidRPr="00AA0D15">
        <w:rPr>
          <w:rStyle w:val="Hyperlink"/>
        </w:rPr>
        <w:t>n206</w:t>
      </w:r>
      <w:r w:rsidRPr="00AA0D15">
        <w:fldChar w:fldCharType="end"/>
      </w:r>
      <w:bookmarkEnd w:id="58"/>
      <w:r w:rsidRPr="00AA0D15">
        <w:t xml:space="preserve"> Another survey showed that although most wellness policies addressed nutrition standards for competitive foods, only 16 percent of districts laid out "prescriptive/specific nutrition standards for [a] la carte and vending." </w:t>
      </w:r>
      <w:bookmarkStart w:id="59" w:name="r207"/>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"n207" </w:instrText>
      </w:r>
      <w:r w:rsidRPr="00AA0D15">
        <w:fldChar w:fldCharType="separate"/>
      </w:r>
      <w:r w:rsidRPr="00AA0D15">
        <w:rPr>
          <w:rStyle w:val="Hyperlink"/>
        </w:rPr>
        <w:t>n207</w:t>
      </w:r>
      <w:r w:rsidRPr="00AA0D15">
        <w:fldChar w:fldCharType="end"/>
      </w:r>
      <w:bookmarkEnd w:id="59"/>
      <w:r w:rsidRPr="00AA0D15">
        <w:t xml:space="preserve"> What are some of the specific challenges that </w:t>
      </w:r>
      <w:bookmarkStart w:id="60" w:name="ORIGHIT_289"/>
      <w:bookmarkStart w:id="61" w:name="HIT_289"/>
      <w:bookmarkEnd w:id="60"/>
      <w:bookmarkEnd w:id="61"/>
      <w:r w:rsidRPr="00AA0D15">
        <w:t xml:space="preserve">schools are facing in complying with the federal wellness policy mandate? The Illinois State Board of Education went so far as to write an entire report on this very issue, listing no fewer than twenty-seven barriers identified by members of the </w:t>
      </w:r>
      <w:bookmarkStart w:id="62" w:name="ORIGHIT_290"/>
      <w:bookmarkStart w:id="63" w:name="HIT_290"/>
      <w:bookmarkEnd w:id="62"/>
      <w:bookmarkEnd w:id="63"/>
      <w:r w:rsidRPr="00AA0D15">
        <w:t xml:space="preserve">School Wellness Policy Task Force. </w:t>
      </w:r>
      <w:r w:rsidRPr="00AA0D15">
        <w:rPr>
          <w:rStyle w:val="StyleUnderline"/>
        </w:rPr>
        <w:t>Topping the list of barriers to implementation were (1) the distraction of other priorities, such as No Child Left Behind requirements; (2) lack of [*1530] resources, including time, staff, and money; and (3) fear of losing revenue.</w:t>
      </w:r>
      <w:r w:rsidRPr="00AA0D15">
        <w:t xml:space="preserve"> </w:t>
      </w:r>
      <w:bookmarkStart w:id="64" w:name="r208"/>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"n208" </w:instrText>
      </w:r>
      <w:r w:rsidRPr="00AA0D15">
        <w:fldChar w:fldCharType="separate"/>
      </w:r>
      <w:r w:rsidRPr="00AA0D15">
        <w:rPr>
          <w:rStyle w:val="Hyperlink"/>
        </w:rPr>
        <w:t>n208</w:t>
      </w:r>
      <w:r w:rsidRPr="00AA0D15">
        <w:fldChar w:fldCharType="end"/>
      </w:r>
      <w:bookmarkEnd w:id="64"/>
      <w:r w:rsidRPr="00AA0D15">
        <w:t xml:space="preserve"> Although some of these barriers, such as increased standardized testing, may be new, most of these arguments were raised in one form or another whenever attempts were made to curb sales of competitive junk foods in </w:t>
      </w:r>
      <w:bookmarkStart w:id="65" w:name="ORIGHIT_291"/>
      <w:bookmarkStart w:id="66" w:name="HIT_291"/>
      <w:bookmarkEnd w:id="65"/>
      <w:bookmarkEnd w:id="66"/>
      <w:r w:rsidRPr="00AA0D15">
        <w:t xml:space="preserve">schools. Even if </w:t>
      </w:r>
      <w:bookmarkStart w:id="67" w:name="ORIGHIT_292"/>
      <w:bookmarkStart w:id="68" w:name="HIT_292"/>
      <w:bookmarkEnd w:id="67"/>
      <w:bookmarkEnd w:id="68"/>
      <w:r w:rsidRPr="00AA0D15">
        <w:t xml:space="preserve">schools can overcome these barriers to put a wellness policy in place, there are still many questions regarding enforcement. A representative of the Illinois Association of Regional </w:t>
      </w:r>
      <w:bookmarkStart w:id="69" w:name="ORIGHIT_293"/>
      <w:bookmarkStart w:id="70" w:name="HIT_293"/>
      <w:bookmarkEnd w:id="69"/>
      <w:bookmarkEnd w:id="70"/>
      <w:r w:rsidRPr="00AA0D15">
        <w:t xml:space="preserve">School Superintendents and a member of the statewide task force (the body charged with oversight of the local wellness policies) admitted, "It's unclear how this is ever going to be enforced." </w:t>
      </w:r>
      <w:bookmarkStart w:id="71" w:name="r209"/>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"n209" </w:instrText>
      </w:r>
      <w:r w:rsidRPr="00AA0D15">
        <w:fldChar w:fldCharType="separate"/>
      </w:r>
      <w:r w:rsidRPr="00AA0D15">
        <w:rPr>
          <w:rStyle w:val="Hyperlink"/>
        </w:rPr>
        <w:t>n209</w:t>
      </w:r>
      <w:r w:rsidRPr="00AA0D15">
        <w:fldChar w:fldCharType="end"/>
      </w:r>
      <w:bookmarkEnd w:id="71"/>
      <w:r w:rsidRPr="00AA0D15">
        <w:t xml:space="preserve"> There are other signs that </w:t>
      </w:r>
      <w:bookmarkStart w:id="72" w:name="ORIGHIT_294"/>
      <w:bookmarkStart w:id="73" w:name="HIT_294"/>
      <w:bookmarkEnd w:id="72"/>
      <w:bookmarkEnd w:id="73"/>
      <w:r w:rsidRPr="00AA0D15">
        <w:t xml:space="preserve">schools are too afraid of losing revenue to enact truly meaningful policies. For example, the Monongalia County Board of Education in West Virginia passed a </w:t>
      </w:r>
      <w:bookmarkStart w:id="74" w:name="ORIGHIT_295"/>
      <w:bookmarkStart w:id="75" w:name="HIT_295"/>
      <w:bookmarkEnd w:id="74"/>
      <w:bookmarkEnd w:id="75"/>
      <w:r w:rsidRPr="00AA0D15">
        <w:t xml:space="preserve">school wellness policy without recommending a ban on candy sales at fundraisers because "it could hurt </w:t>
      </w:r>
      <w:bookmarkStart w:id="76" w:name="ORIGHIT_296"/>
      <w:bookmarkStart w:id="77" w:name="HIT_296"/>
      <w:bookmarkEnd w:id="76"/>
      <w:bookmarkEnd w:id="77"/>
      <w:r w:rsidRPr="00AA0D15">
        <w:t xml:space="preserve">school groups' ability to raise money for uniforms and equipment." </w:t>
      </w:r>
      <w:bookmarkStart w:id="78" w:name="r210"/>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"n210" </w:instrText>
      </w:r>
      <w:r w:rsidRPr="00AA0D15">
        <w:fldChar w:fldCharType="separate"/>
      </w:r>
      <w:r w:rsidRPr="00AA0D15">
        <w:rPr>
          <w:rStyle w:val="Hyperlink"/>
        </w:rPr>
        <w:t>n210</w:t>
      </w:r>
      <w:r w:rsidRPr="00AA0D15">
        <w:fldChar w:fldCharType="end"/>
      </w:r>
      <w:bookmarkEnd w:id="78"/>
      <w:r w:rsidRPr="00AA0D15">
        <w:t xml:space="preserve"> The </w:t>
      </w:r>
      <w:bookmarkStart w:id="79" w:name="ORIGHIT_297"/>
      <w:bookmarkStart w:id="80" w:name="HIT_297"/>
      <w:bookmarkEnd w:id="79"/>
      <w:bookmarkEnd w:id="80"/>
      <w:r w:rsidRPr="00AA0D15">
        <w:t xml:space="preserve">school board president argued that even if </w:t>
      </w:r>
      <w:bookmarkStart w:id="81" w:name="ORIGHIT_298"/>
      <w:bookmarkStart w:id="82" w:name="HIT_298"/>
      <w:bookmarkEnd w:id="81"/>
      <w:bookmarkEnd w:id="82"/>
      <w:r w:rsidRPr="00AA0D15">
        <w:t xml:space="preserve">schools did not sell it, candy would still be available elsewhere, and it is "important for the school district to offer more chances for kids to get exercise after </w:t>
      </w:r>
      <w:bookmarkStart w:id="83" w:name="ORIGHIT_300"/>
      <w:bookmarkStart w:id="84" w:name="HIT_300"/>
      <w:bookmarkEnd w:id="83"/>
      <w:bookmarkEnd w:id="84"/>
      <w:r w:rsidRPr="00AA0D15">
        <w:t xml:space="preserve">school." </w:t>
      </w:r>
      <w:bookmarkStart w:id="85" w:name="r211"/>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"n211" </w:instrText>
      </w:r>
      <w:r w:rsidRPr="00AA0D15">
        <w:fldChar w:fldCharType="separate"/>
      </w:r>
      <w:r w:rsidRPr="00AA0D15">
        <w:rPr>
          <w:rStyle w:val="Hyperlink"/>
        </w:rPr>
        <w:t>n211</w:t>
      </w:r>
      <w:r w:rsidRPr="00AA0D15">
        <w:fldChar w:fldCharType="end"/>
      </w:r>
      <w:bookmarkEnd w:id="85"/>
      <w:r w:rsidRPr="00AA0D15">
        <w:t xml:space="preserve"> Another board member said that districts should not dictate these policies, and "</w:t>
      </w:r>
      <w:bookmarkStart w:id="86" w:name="ORIGHIT_301"/>
      <w:bookmarkStart w:id="87" w:name="HIT_301"/>
      <w:bookmarkEnd w:id="86"/>
      <w:bookmarkEnd w:id="87"/>
      <w:r w:rsidRPr="00AA0D15">
        <w:t xml:space="preserve">schools should make those decisions on a more local level." </w:t>
      </w:r>
      <w:bookmarkStart w:id="88" w:name="r212"/>
      <w:r w:rsidRPr="00AA0D15">
        <w:fldChar w:fldCharType="begin"/>
      </w:r>
      <w:r w:rsidRPr="00AA0D15">
        <w:instrText xml:space="preserve"> HYPERLINK "http://www.lexisnexis.com.proxy.lib.umich.edu/lnacui2api/frame.do?tokenKey=rsh-20.417597.4915148605&amp;target=results_DocumentContent&amp;returnToKey=20_T26169050126&amp;parent=docview&amp;rand=1498438790813&amp;reloadEntirePage=true" \l "n212" </w:instrText>
      </w:r>
      <w:r w:rsidRPr="00AA0D15">
        <w:fldChar w:fldCharType="separate"/>
      </w:r>
      <w:r w:rsidRPr="00AA0D15">
        <w:rPr>
          <w:rStyle w:val="Hyperlink"/>
        </w:rPr>
        <w:t>n212</w:t>
      </w:r>
      <w:r w:rsidRPr="00AA0D15">
        <w:fldChar w:fldCharType="end"/>
      </w:r>
      <w:bookmarkEnd w:id="88"/>
      <w:r w:rsidRPr="00AA0D15">
        <w:t xml:space="preserve"> So the debate over local control has gone from the federal level to the state level, down even to the district level. Once again, disingenuous arguments over local control and exercise are deployed when the real concern is loss of funding. And although some arguments never appear to change, there is no denying that children's health has indeed changed - and for the worse.</w:t>
      </w:r>
    </w:p>
    <w:p w:rsidR="00C47278" w:rsidRPr="00AA0D15" w:rsidRDefault="00C47278" w:rsidP="00C47278">
      <w:pPr>
        <w:pStyle w:val="Heading4"/>
        <w:rPr>
          <w:rFonts w:cs="Times New Roman"/>
        </w:rPr>
      </w:pPr>
      <w:r w:rsidRPr="00AA0D15">
        <w:rPr>
          <w:rFonts w:cs="Times New Roman"/>
        </w:rPr>
        <w:t xml:space="preserve">States wont listen to federal mandates </w:t>
      </w:r>
    </w:p>
    <w:p w:rsidR="00C47278" w:rsidRPr="00AA0D15" w:rsidRDefault="00C47278" w:rsidP="00C47278">
      <w:r w:rsidRPr="00AA0D15">
        <w:t xml:space="preserve">Ellen </w:t>
      </w:r>
      <w:r w:rsidRPr="00AA0D15">
        <w:rPr>
          <w:rStyle w:val="Style13ptBold"/>
        </w:rPr>
        <w:t>Fried</w:t>
      </w:r>
      <w:r w:rsidRPr="00AA0D15">
        <w:t xml:space="preserve"> and Michele </w:t>
      </w:r>
      <w:r w:rsidRPr="00AA0D15">
        <w:rPr>
          <w:rStyle w:val="Style13ptBold"/>
        </w:rPr>
        <w:t>Simon</w:t>
      </w:r>
      <w:r w:rsidRPr="00AA0D15">
        <w:t xml:space="preserve"> </w:t>
      </w:r>
      <w:r w:rsidRPr="00AA0D15">
        <w:rPr>
          <w:rStyle w:val="Style13ptBold"/>
        </w:rPr>
        <w:t>2007</w:t>
      </w:r>
      <w:r w:rsidRPr="00AA0D15">
        <w:t xml:space="preserve"> - Fried is an assistant clinical professor at NYU, J.D. from Fordham and A.B. from Barnard, Simon is an assistant professor at the University of California, J.D. from the University of California and M.P.H. from Yale (“THIRTY-SEVENTH ANNUAL ADMINISTRATIVE LAW ISSUE: Essay: THE COMPETITIVE FOOD CONUNDRUM: CAN GOVERNMENT REGULATIONS IMPROVE SCHOOL FOOD?,” Duke Law Journal, LexisNexis) </w:t>
      </w:r>
    </w:p>
    <w:p w:rsidR="00C47278" w:rsidRPr="00AA0D15" w:rsidRDefault="00C47278" w:rsidP="00C47278">
      <w:r w:rsidRPr="00AA0D15">
        <w:t xml:space="preserve">Moreover, comparing standards across states proves problematic because each set has its plusses and minuses, and more information is needed to evaluate them. For example, although it seems that Arkansas has a "good" provision because it does not allow vending in elementary </w:t>
      </w:r>
      <w:bookmarkStart w:id="89" w:name="ORIGHIT_268"/>
      <w:bookmarkStart w:id="90" w:name="HIT_268"/>
      <w:bookmarkEnd w:id="89"/>
      <w:bookmarkEnd w:id="90"/>
      <w:r w:rsidRPr="00AA0D15">
        <w:t xml:space="preserve">schools, that does not explain the extent to which this was even a problem prior to the law. That the provision passed the state legislature so easily indicates its relatively minor importance. Also, although Illinois can be criticized for only applying its regulations to kindergarten through eighth grade, it is unclear whether leaving out high </w:t>
      </w:r>
      <w:bookmarkStart w:id="91" w:name="ORIGHIT_269"/>
      <w:bookmarkStart w:id="92" w:name="HIT_269"/>
      <w:bookmarkEnd w:id="91"/>
      <w:bookmarkEnd w:id="92"/>
      <w:r w:rsidRPr="00AA0D15">
        <w:t xml:space="preserve">schools was a result of the particular policy route that the state chose to take. Indeed, as California demonstrated, it was a political challenge to include high </w:t>
      </w:r>
      <w:bookmarkStart w:id="93" w:name="ORIGHIT_270"/>
      <w:bookmarkStart w:id="94" w:name="HIT_270"/>
      <w:bookmarkEnd w:id="93"/>
      <w:bookmarkEnd w:id="94"/>
      <w:r w:rsidRPr="00AA0D15">
        <w:t xml:space="preserve">schools via the legislative route as well. Moreover, Illinois was unable to enact any legislation at all, so perhaps some regulation is better than nothing. Finally, just looking at the nutrition standards on paper does not take into account the enforceability mechanism, which in each of these three case studies is unclear. </w:t>
      </w:r>
      <w:r w:rsidRPr="00AA0D15">
        <w:rPr>
          <w:rStyle w:val="StyleUnderline"/>
        </w:rPr>
        <w:t xml:space="preserve">State education departments often have standard oversight procedures in place for any rules. But how that oversight will be implemented regarding new </w:t>
      </w:r>
      <w:bookmarkStart w:id="95" w:name="ORIGHIT_271"/>
      <w:bookmarkStart w:id="96" w:name="HIT_271"/>
      <w:bookmarkEnd w:id="95"/>
      <w:bookmarkEnd w:id="96"/>
      <w:r w:rsidRPr="00AA0D15">
        <w:rPr>
          <w:rStyle w:val="StyleUnderline"/>
        </w:rPr>
        <w:t>school vending requirements remains to be seen.</w:t>
      </w:r>
      <w:r w:rsidRPr="00AA0D15">
        <w:t xml:space="preserve"> Moreover, </w:t>
      </w:r>
      <w:r w:rsidRPr="00AA0D15">
        <w:rPr>
          <w:rStyle w:val="Emphasis"/>
        </w:rPr>
        <w:t xml:space="preserve">national </w:t>
      </w:r>
      <w:bookmarkStart w:id="97" w:name="ORIGHIT_272"/>
      <w:bookmarkStart w:id="98" w:name="HIT_272"/>
      <w:bookmarkEnd w:id="97"/>
      <w:bookmarkEnd w:id="98"/>
      <w:r w:rsidRPr="00AA0D15">
        <w:rPr>
          <w:rStyle w:val="Emphasis"/>
        </w:rPr>
        <w:t xml:space="preserve">school meal nutrition standards, which states are responsible for monitoring, are consistently violated. </w:t>
      </w:r>
      <w:bookmarkStart w:id="99" w:name="r194"/>
      <w:r w:rsidRPr="00AA0D15">
        <w:rPr>
          <w:rStyle w:val="Emphasis"/>
        </w:rPr>
        <w:fldChar w:fldCharType="begin"/>
      </w:r>
      <w:r w:rsidRPr="00AA0D15">
        <w:rPr>
          <w:rStyle w:val="Emphasis"/>
        </w:rPr>
        <w:instrText xml:space="preserve"> HYPERLINK "http://www.lexisnexis.com.proxy.lib.umich.edu/lnacui2api/frame.do?tokenKey=rsh-20.417597.4915148605&amp;target=results_DocumentContent&amp;returnToKey=20_T26169050126&amp;parent=docview&amp;rand=1498438790813&amp;reloadEntirePage=true" \l "n194" </w:instrText>
      </w:r>
      <w:r w:rsidRPr="00AA0D15">
        <w:rPr>
          <w:rStyle w:val="Emphasis"/>
        </w:rPr>
        <w:fldChar w:fldCharType="separate"/>
      </w:r>
      <w:r w:rsidRPr="00AA0D15">
        <w:rPr>
          <w:rStyle w:val="Emphasis"/>
        </w:rPr>
        <w:t>n194</w:t>
      </w:r>
      <w:r w:rsidRPr="00AA0D15">
        <w:rPr>
          <w:rStyle w:val="Emphasis"/>
        </w:rPr>
        <w:fldChar w:fldCharType="end"/>
      </w:r>
      <w:bookmarkEnd w:id="99"/>
      <w:r w:rsidRPr="00AA0D15">
        <w:rPr>
          <w:rStyle w:val="Emphasis"/>
        </w:rPr>
        <w:t xml:space="preserve"> </w:t>
      </w:r>
      <w:r w:rsidRPr="00AA0D15">
        <w:t>So why would states do a better job of enforcing competitive food regulations?</w:t>
      </w:r>
    </w:p>
    <w:p w:rsidR="00C47278" w:rsidRPr="00AA0D15" w:rsidRDefault="00C47278" w:rsidP="00C47278"/>
    <w:p w:rsidR="00C47278" w:rsidRPr="00AA0D15" w:rsidRDefault="00C47278" w:rsidP="00C47278">
      <w:pPr>
        <w:pStyle w:val="Heading2"/>
        <w:rPr>
          <w:rFonts w:cs="Times New Roman"/>
        </w:rPr>
      </w:pPr>
      <w:r w:rsidRPr="00AA0D15">
        <w:rPr>
          <w:rFonts w:cs="Times New Roman"/>
        </w:rPr>
        <w:t>SAN ANTONIO V RODRIGUEZ</w:t>
      </w:r>
    </w:p>
    <w:p w:rsidR="00C47278" w:rsidRPr="00AA0D15" w:rsidRDefault="00C47278" w:rsidP="00C47278">
      <w:pPr>
        <w:pStyle w:val="Heading3"/>
        <w:rPr>
          <w:rFonts w:cs="Times New Roman"/>
        </w:rPr>
      </w:pPr>
      <w:r w:rsidRPr="00AA0D15">
        <w:rPr>
          <w:rFonts w:cs="Times New Roman"/>
        </w:rPr>
        <w:t>1nc</w:t>
      </w:r>
    </w:p>
    <w:p w:rsidR="00C47278" w:rsidRPr="00AA0D15" w:rsidRDefault="00C47278" w:rsidP="00C47278">
      <w:pPr>
        <w:pStyle w:val="Heading4"/>
        <w:rPr>
          <w:rFonts w:cs="Times New Roman"/>
        </w:rPr>
      </w:pPr>
      <w:r w:rsidRPr="00AA0D15">
        <w:rPr>
          <w:rFonts w:cs="Times New Roman"/>
        </w:rPr>
        <w:t>The 50 states should redefine “equal educational opportunity” as equal funding per student for all schools in that state.</w:t>
      </w:r>
      <w:r w:rsidR="002439A5">
        <w:rPr>
          <w:rFonts w:cs="Times New Roman"/>
        </w:rPr>
        <w:t xml:space="preserve">  The 50 states should provide full funding of education.</w:t>
      </w:r>
    </w:p>
    <w:p w:rsidR="002439A5" w:rsidRDefault="002439A5" w:rsidP="002439A5">
      <w:pPr>
        <w:pStyle w:val="Heading4"/>
      </w:pPr>
      <w:r>
        <w:t xml:space="preserve">The courts of last resort of the 50 states and relevant subnational actors should rule that </w:t>
      </w:r>
    </w:p>
    <w:p w:rsidR="002439A5" w:rsidRDefault="002439A5" w:rsidP="002439A5">
      <w:pPr>
        <w:pStyle w:val="Heading4"/>
      </w:pPr>
      <w:r>
        <w:t xml:space="preserve">(1) the quality of a child's education may not be a function of the wealth of his parents, neighbors, or school district. </w:t>
      </w:r>
    </w:p>
    <w:p w:rsidR="002439A5" w:rsidRDefault="002439A5" w:rsidP="002439A5">
      <w:pPr>
        <w:pStyle w:val="Heading4"/>
      </w:pPr>
      <w:r>
        <w:t xml:space="preserve">(2) The quality of a child's education may not be a function of the willingness or unwillingness of the local electorate to vote funds for education. </w:t>
      </w:r>
    </w:p>
    <w:p w:rsidR="002439A5" w:rsidRDefault="002439A5" w:rsidP="002439A5">
      <w:pPr>
        <w:pStyle w:val="Heading4"/>
      </w:pPr>
      <w:r>
        <w:t xml:space="preserve">(3) There must be an equitable distribution of the educational tax burden. </w:t>
      </w:r>
    </w:p>
    <w:p w:rsidR="002439A5" w:rsidRDefault="002439A5" w:rsidP="002439A5">
      <w:pPr>
        <w:pStyle w:val="Heading4"/>
      </w:pPr>
      <w:r>
        <w:t xml:space="preserve">(4) The opportunity for an education is a right which must be made available to all on equal terms. </w:t>
      </w:r>
    </w:p>
    <w:p w:rsidR="002439A5" w:rsidRDefault="002439A5" w:rsidP="002439A5">
      <w:pPr>
        <w:pStyle w:val="Heading4"/>
      </w:pPr>
      <w:r>
        <w:t>(5) The accidents of geography and the arbitrary boundary lines of local school districts can afford no ground for discrimination among the school children of a state.</w:t>
      </w:r>
    </w:p>
    <w:p w:rsidR="002439A5" w:rsidRDefault="002439A5" w:rsidP="002439A5">
      <w:pPr>
        <w:pStyle w:val="Heading4"/>
      </w:pPr>
      <w:r>
        <w:t>The state legislature plank solves</w:t>
      </w:r>
    </w:p>
    <w:p w:rsidR="002439A5" w:rsidRPr="00AA0D15" w:rsidRDefault="002439A5" w:rsidP="002439A5">
      <w:pPr>
        <w:pStyle w:val="Heading4"/>
        <w:rPr>
          <w:rFonts w:cs="Times New Roman"/>
        </w:rPr>
      </w:pPr>
      <w:r w:rsidRPr="00AA0D15">
        <w:rPr>
          <w:rFonts w:cs="Times New Roman"/>
        </w:rPr>
        <w:t>Solves</w:t>
      </w:r>
    </w:p>
    <w:p w:rsidR="002439A5" w:rsidRPr="00AA0D15" w:rsidRDefault="002439A5" w:rsidP="002439A5">
      <w:r w:rsidRPr="00AA0D15">
        <w:rPr>
          <w:rStyle w:val="Style13ptBold"/>
        </w:rPr>
        <w:t xml:space="preserve">Weishart 16 </w:t>
      </w:r>
      <w:r w:rsidRPr="00AA0D15">
        <w:t xml:space="preserve">(Joshua, Associate Professor of Law and Policy at WVU Law and the Rockefeller School of Politics and Public Policy. | “RECONSTITUTING THE RIGHT TO EDUCATION” in </w:t>
      </w:r>
      <w:r w:rsidRPr="00AA0D15">
        <w:rPr>
          <w:i/>
        </w:rPr>
        <w:t>West Virginia University College of Law</w:t>
      </w:r>
      <w:r w:rsidRPr="00AA0D15">
        <w:t>, Legal Studies research paper No. 2016-3.)//tbrooks</w:t>
      </w:r>
    </w:p>
    <w:p w:rsidR="002439A5" w:rsidRDefault="002439A5" w:rsidP="002439A5">
      <w:r w:rsidRPr="00AA0D15">
        <w:t xml:space="preserve">Taking the form of an immunity, </w:t>
      </w:r>
      <w:r w:rsidRPr="00AA0D15">
        <w:rPr>
          <w:u w:val="single"/>
        </w:rPr>
        <w:t>the right to education has been understood to protect against certain types of inequalities or inequities</w:t>
      </w:r>
      <w:r w:rsidRPr="00AA0D15">
        <w:t xml:space="preserve">. Brown’s broad declaration that “the opportunity of an education . . . is a right which must be made available to all on equal terms”303 initially held the promise of advancing substantive equality of educational opportunity. Yet, as mentioned, the Court’s subsequent decisions narrowed Brown’s reach to forbid only de jure segregation, curbing the right to protect formal equality—via an immunity against intentional, state-imposed, racial discrimination.304 </w:t>
      </w:r>
      <w:r w:rsidRPr="00AA0D15">
        <w:rPr>
          <w:u w:val="single"/>
        </w:rPr>
        <w:t>Following Rodriguez, the mantle fell to state courts adjudicating school finance challenges to give further meaning to equal educational opportunity. Early decisions retained the emphasis on securing formal equality, immunizing children from discrimination based on the wealth of the school district they happened to reside in</w:t>
      </w:r>
      <w:r w:rsidRPr="00AA0D15">
        <w:t xml:space="preserve">.305 </w:t>
      </w:r>
      <w:r w:rsidRPr="00AA0D15">
        <w:rPr>
          <w:u w:val="single"/>
        </w:rPr>
        <w:t>The remedy for unequal spending was</w:t>
      </w:r>
      <w:r w:rsidRPr="00AA0D15">
        <w:t xml:space="preserve"> “either horizontal </w:t>
      </w:r>
      <w:r w:rsidRPr="00AA0D15">
        <w:rPr>
          <w:u w:val="single"/>
        </w:rPr>
        <w:t>equity among school districts, such that per-pupil revenues were roughly equalized by the state, or at least fiscal neutrality, such that the revenues available to a school district would not depend solely on the property wealth of the school district</w:t>
      </w:r>
      <w:r w:rsidRPr="00AA0D15">
        <w:t>.”306</w:t>
      </w:r>
    </w:p>
    <w:p w:rsidR="002439A5" w:rsidRPr="002439A5" w:rsidRDefault="002439A5" w:rsidP="002439A5"/>
    <w:p w:rsidR="002439A5" w:rsidRDefault="002439A5" w:rsidP="002439A5">
      <w:pPr>
        <w:pStyle w:val="Heading4"/>
      </w:pPr>
      <w:r>
        <w:t>The 5-part plank solves</w:t>
      </w:r>
    </w:p>
    <w:p w:rsidR="002439A5" w:rsidRDefault="002439A5" w:rsidP="002439A5">
      <w:r w:rsidRPr="00AF3A62">
        <w:rPr>
          <w:rStyle w:val="Style13ptBold"/>
        </w:rPr>
        <w:t>Wise 72.</w:t>
      </w:r>
      <w:r w:rsidRPr="005310A2">
        <w:t xml:space="preserve"> </w:t>
      </w:r>
      <w:r>
        <w:t>Arthur E., associate dean and associate professor of education at the University of Chicago, and captain at the U.S. Military Academy, West Point, graduate of Harvard College, and received an MBA and a Ph.D. in education from the University of Chicago,</w:t>
      </w:r>
      <w:r w:rsidRPr="00AF3A62">
        <w:t xml:space="preserve"> </w:t>
      </w:r>
      <w:r>
        <w:t>“Movement toward Full State Funding: A Proposal,”</w:t>
      </w:r>
      <w:r w:rsidRPr="00AF3A62">
        <w:t xml:space="preserve"> </w:t>
      </w:r>
      <w:r>
        <w:t>pp. 131-136,</w:t>
      </w:r>
      <w:r w:rsidRPr="00AF3A62">
        <w:t xml:space="preserve"> </w:t>
      </w:r>
      <w:r>
        <w:t>Theory Into Practice, Vol. 11, No. 2, A Revolution in School Finance? Apr., 1972, Taylor &amp; Francis, Ltd., http://www.jstor.org/stable/1475772//HL</w:t>
      </w:r>
    </w:p>
    <w:p w:rsidR="002439A5" w:rsidRDefault="002439A5" w:rsidP="002439A5">
      <w:r w:rsidRPr="008C120B">
        <w:rPr>
          <w:rStyle w:val="StyleUnderline"/>
        </w:rPr>
        <w:t>Providing free education for all is a State function</w:t>
      </w:r>
      <w:r>
        <w:t xml:space="preserve">. It must be accorded to all on equal terms. </w:t>
      </w:r>
      <w:r w:rsidRPr="005310A2">
        <w:rPr>
          <w:rStyle w:val="StyleUnderline"/>
        </w:rPr>
        <w:t>Public education cannot be financed by a method that makes a pupil's education depend upon the wealth of his family and neighbors as distinguished from the wealth of all taxpayers of the same class throughout the State</w:t>
      </w:r>
      <w:r>
        <w:t xml:space="preserve">. The New Jersey system of financing public education denies equal protection rights guaranteed by the New Jersey and Federal Constitutions. Education is one of the most important functions of state gov- ernments, and educational opportunities, where the state has undertaken to provide them, is a right that must be made available to all on equal terms. </w:t>
      </w:r>
      <w:r w:rsidRPr="005310A2">
        <w:rPr>
          <w:rStyle w:val="StyleUnderline"/>
        </w:rPr>
        <w:t>Education is a funda- mental interest, vital to the future of every citizen. Lines drawn on the basis of wealth or property, like those of race, are tradition- ally disfavored. Thus, where fundamental rights are asserted under the equal protec- tion clause, classifications will be closely scrutinized</w:t>
      </w:r>
      <w:r>
        <w:t xml:space="preserve">." </w:t>
      </w:r>
      <w:r w:rsidRPr="005310A2">
        <w:rPr>
          <w:rStyle w:val="StyleUnderline"/>
        </w:rPr>
        <w:t xml:space="preserve">The inequities which exist are </w:t>
      </w:r>
      <w:r w:rsidRPr="005310A2">
        <w:rPr>
          <w:rStyle w:val="Emphasis"/>
        </w:rPr>
        <w:t>taxpayer inequities and educational inequities.</w:t>
      </w:r>
      <w:r>
        <w:t xml:space="preserve"> Serrano strikes only at taxpayer inequities and then only in a special way. </w:t>
      </w:r>
      <w:r w:rsidRPr="005310A2">
        <w:t>It requires only that the quality of public education not be a function of local wealth. It postulates a relationship between tax burden and educational benefit such that a given tax rate (locally determined), together with state funds, will yield a given educational offering.</w:t>
      </w:r>
      <w:r>
        <w:t xml:space="preserve"> </w:t>
      </w:r>
      <w:r w:rsidRPr="005310A2">
        <w:rPr>
          <w:rStyle w:val="StyleUnderline"/>
        </w:rPr>
        <w:t>Robinson, on the other hand, is more ex- pansive and requires the following</w:t>
      </w:r>
      <w:r>
        <w:t xml:space="preserve">: </w:t>
      </w:r>
      <w:r w:rsidRPr="005310A2">
        <w:rPr>
          <w:rStyle w:val="StyleUnderline"/>
        </w:rPr>
        <w:t>(1) the quality of a child's education may not be a function of the wealth of his parents, neighbors, or school district. (2) The quality of a child's education may not be a function of the willingness or unwilling- ness of the local electorate to vote funds for education. (3) There must be an equitable distribution of the educational tax burden. (4) The opportunity for an education is a right which must be made available to all on equal terms.</w:t>
      </w:r>
      <w:r>
        <w:rPr>
          <w:rStyle w:val="StyleUnderline"/>
        </w:rPr>
        <w:t xml:space="preserve"> </w:t>
      </w:r>
      <w:r w:rsidRPr="005310A2">
        <w:rPr>
          <w:rStyle w:val="StyleUnderline"/>
        </w:rPr>
        <w:t xml:space="preserve">(5) The accidents of geography and the ar- bitrary boundary lines of local school districts can afford no ground for discrimination among the school children of a state. </w:t>
      </w:r>
      <w:r>
        <w:t xml:space="preserve">In other words, the principles which emerge from Robinson suggest that a constitutional state school finance scheme would have to have the following characteristics: </w:t>
      </w:r>
      <w:r w:rsidRPr="005310A2">
        <w:rPr>
          <w:rStyle w:val="StyleUnderline"/>
        </w:rPr>
        <w:t>(1) It would bring all of a state's education- al tax base to bear on the education of all chil- dren in the public schools of that state. (2) It would provide for equity both in edu- cational taxation and in educational resource allocation. (3) It would require that educational re- source allocation not depend upon where a stu- dent lives, what his parental circumstances are, or how highly his neighbors value education. (4) It would avoid the specious state/local distinction in the generation of educational rev- enues, for all taxes raised for education are, in fact, state taxes. (5) It would accommodate a variety of edu- cational resource allocation schemes and sys- tems for educational taxation. (6) Its essential characteristics would be that there be equity in the benefits and burdens of education. Thus, a full state funding scheme must be con- sistent with these principles and these prin- ciples taken together constitute a new definition of full state funding.</w:t>
      </w:r>
      <w:r>
        <w:t xml:space="preserve"> As already suggested, the definition of full state funding is fairly generalized and requires adaptation to individual state circumstances and preferences. </w:t>
      </w:r>
      <w:r w:rsidRPr="00E35207">
        <w:rPr>
          <w:rStyle w:val="StyleUnderline"/>
        </w:rPr>
        <w:t>As part of a Ford Foundation spon- sored study by the Citizens Commission on Mary- land Government, there was an attempt to devise a plan which would meet the criteria of this definition and yet be responsive to the unique circumstances of Maryland</w:t>
      </w:r>
      <w:r>
        <w:t>.</w:t>
      </w:r>
    </w:p>
    <w:p w:rsidR="002439A5" w:rsidRPr="00AA0D15" w:rsidRDefault="002439A5" w:rsidP="00C47278"/>
    <w:p w:rsidR="00C47278" w:rsidRPr="00AA0D15" w:rsidRDefault="00C47278" w:rsidP="00C47278">
      <w:pPr>
        <w:pStyle w:val="Heading3"/>
        <w:rPr>
          <w:rFonts w:cs="Times New Roman"/>
        </w:rPr>
      </w:pPr>
      <w:r w:rsidRPr="00AA0D15">
        <w:rPr>
          <w:rFonts w:cs="Times New Roman"/>
        </w:rPr>
        <w:t>2nc solvency</w:t>
      </w:r>
    </w:p>
    <w:p w:rsidR="00C47278" w:rsidRPr="00AA0D15" w:rsidRDefault="00C47278" w:rsidP="00C47278">
      <w:pPr>
        <w:pStyle w:val="Heading4"/>
        <w:rPr>
          <w:rFonts w:cs="Times New Roman"/>
        </w:rPr>
      </w:pPr>
      <w:r w:rsidRPr="00AA0D15">
        <w:rPr>
          <w:rFonts w:cs="Times New Roman"/>
        </w:rPr>
        <w:t>States have the experience to achieve funding equality.</w:t>
      </w:r>
    </w:p>
    <w:p w:rsidR="00C47278" w:rsidRPr="00AA0D15" w:rsidRDefault="00C47278" w:rsidP="00C47278">
      <w:r w:rsidRPr="00AA0D15">
        <w:rPr>
          <w:rStyle w:val="Style13ptBold"/>
        </w:rPr>
        <w:t>NCSL 14</w:t>
      </w:r>
      <w:r w:rsidRPr="00AA0D15">
        <w:t xml:space="preserve"> (National Conference of State Legislatures, Bipartisan non-governmental organization (NGO) established in 1975 to serve the members and staff of state legislatures of the United States (states, commonwealths, and territories). | “STATE ROLE IN EDUCATION FINANCE,” December 2014. </w:t>
      </w:r>
      <w:hyperlink r:id="rId147" w:history="1">
        <w:r w:rsidRPr="00AA0D15">
          <w:rPr>
            <w:rStyle w:val="Hyperlink"/>
          </w:rPr>
          <w:t>http://www.ncsl.org/research/education/state-role-in-education-finance.aspx</w:t>
        </w:r>
      </w:hyperlink>
      <w:r w:rsidRPr="00AA0D15">
        <w:t xml:space="preserve"> )//tbrooks</w:t>
      </w:r>
    </w:p>
    <w:p w:rsidR="00C47278" w:rsidRPr="00AA0D15" w:rsidRDefault="00C47278" w:rsidP="00C47278">
      <w:r w:rsidRPr="00AA0D15">
        <w:rPr>
          <w:u w:val="single"/>
        </w:rPr>
        <w:t>In</w:t>
      </w:r>
      <w:r w:rsidRPr="00AA0D15">
        <w:t xml:space="preserve"> the 1973 case </w:t>
      </w:r>
      <w:hyperlink r:id="rId148" w:tgtFrame="_blank" w:history="1">
        <w:r w:rsidRPr="00AA0D15">
          <w:rPr>
            <w:rStyle w:val="Hyperlink"/>
            <w:u w:val="single"/>
          </w:rPr>
          <w:t>San Antonio School District v. Rodriguez</w:t>
        </w:r>
      </w:hyperlink>
      <w:r w:rsidRPr="00AA0D15">
        <w:rPr>
          <w:u w:val="single"/>
        </w:rPr>
        <w:t>, the</w:t>
      </w:r>
      <w:r w:rsidRPr="00AA0D15">
        <w:t xml:space="preserve"> U.S. </w:t>
      </w:r>
      <w:r w:rsidRPr="00AA0D15">
        <w:rPr>
          <w:u w:val="single"/>
        </w:rPr>
        <w:t>Supreme Court ruled that education “is not among the rights afforded explicit protection under our Federal Constitution," but that "no other state function is so uniformly recognized as an essential element of our society's well-being."</w:t>
      </w:r>
      <w:r w:rsidRPr="00AA0D15">
        <w:t xml:space="preserve"> Rodriguez effectively removed the constitutional burden for providing public education away from the federal government and placed it squarely on the states. </w:t>
      </w:r>
      <w:r w:rsidRPr="00AA0D15">
        <w:rPr>
          <w:u w:val="single"/>
        </w:rPr>
        <w:t>Since Rodriguez, state high courts in all but seven states have ruled with varying outcomes on whether their state systems were "equitably" or "adequately" providing public education</w:t>
      </w:r>
      <w:r w:rsidRPr="00AA0D15">
        <w:t xml:space="preserve"> as required by their respective state constitutional provisions (see</w:t>
      </w:r>
      <w:hyperlink r:id="rId149" w:anchor="EducationClauses" w:history="1">
        <w:r w:rsidRPr="00AA0D15">
          <w:rPr>
            <w:rStyle w:val="Hyperlink"/>
          </w:rPr>
          <w:t xml:space="preserve"> below</w:t>
        </w:r>
      </w:hyperlink>
      <w:r w:rsidRPr="00AA0D15">
        <w:t xml:space="preserve">). State legislative responses to these rulings have varied, but perhaps </w:t>
      </w:r>
      <w:r w:rsidRPr="00AA0D15">
        <w:rPr>
          <w:u w:val="single"/>
        </w:rPr>
        <w:t>the</w:t>
      </w:r>
      <w:r w:rsidRPr="00AA0D15">
        <w:t xml:space="preserve"> long-term aggregate </w:t>
      </w:r>
      <w:r w:rsidRPr="00AA0D15">
        <w:rPr>
          <w:u w:val="single"/>
        </w:rPr>
        <w:t>result is that states today collectively provide the largest share of funding for public education in the United States, surpassing the total local government share of funding—including local property tax revenues</w:t>
      </w:r>
      <w:r w:rsidRPr="00AA0D15">
        <w:t xml:space="preserve">—for the first time in 1979. In 1950, for instance, states contributed 40 percent of the $5.4 billion total in K-12 revenues nationwide while local governments and the federal government contributed 57 percent and 3 percent respectively. States’ share of total K-12 funding peaked in 2001 when states contributed almost 7 percent more than local governments to the $530 billion of total K-12 revenues for that year, according to the </w:t>
      </w:r>
      <w:hyperlink r:id="rId150" w:tgtFrame="_blank" w:history="1">
        <w:r w:rsidRPr="00AA0D15">
          <w:rPr>
            <w:rStyle w:val="Hyperlink"/>
          </w:rPr>
          <w:t>National Center for Education Statistics</w:t>
        </w:r>
      </w:hyperlink>
      <w:r w:rsidRPr="00AA0D15">
        <w:t xml:space="preserve"> (NCES). Current and historical </w:t>
      </w:r>
      <w:hyperlink r:id="rId151" w:tgtFrame="_blank" w:history="1">
        <w:r w:rsidRPr="00AA0D15">
          <w:rPr>
            <w:rStyle w:val="Hyperlink"/>
          </w:rPr>
          <w:t>K-12 revenues figures</w:t>
        </w:r>
      </w:hyperlink>
      <w:r w:rsidRPr="00AA0D15">
        <w:t xml:space="preserve"> can be found at NCES. </w:t>
      </w:r>
      <w:r w:rsidRPr="00AA0D15">
        <w:rPr>
          <w:u w:val="single"/>
        </w:rPr>
        <w:t>States also bear the burden of ensuring the statewide education finance system is founded on sound governance principles. A</w:t>
      </w:r>
      <w:r w:rsidRPr="00AA0D15">
        <w:t xml:space="preserve"> sound </w:t>
      </w:r>
      <w:r w:rsidRPr="00AA0D15">
        <w:rPr>
          <w:u w:val="single"/>
        </w:rPr>
        <w:t xml:space="preserve">state school finance system: Provides equity for both students and taxpayers. Is efficient, making the best possible use of resources. Provides adequate resources to local school districts so that they may achieve state and local educational goals and standards. Incorporates fiscal accountability through generally accepted budgeting, accounting, and auditing procedures. Promotes predictability and stability of education revenues and expenditures over time. Supports student learning. </w:t>
      </w:r>
      <w:bookmarkStart w:id="100" w:name="EdFinanceLitigation"/>
      <w:r w:rsidRPr="00AA0D15">
        <w:t>Education Finance Litigation in the States</w:t>
      </w:r>
      <w:bookmarkEnd w:id="100"/>
      <w:r w:rsidRPr="00AA0D15">
        <w:t xml:space="preserve"> Post Rodriguez, an estimated </w:t>
      </w:r>
      <w:r w:rsidRPr="00AA0D15">
        <w:rPr>
          <w:u w:val="single"/>
        </w:rPr>
        <w:t>45 states have undergone legal challenges to their school finance systems</w:t>
      </w:r>
      <w:r w:rsidRPr="00AA0D15">
        <w:t xml:space="preserve">. </w:t>
      </w:r>
      <w:hyperlink r:id="rId152" w:tgtFrame="_blank" w:history="1">
        <w:r w:rsidRPr="00AA0D15">
          <w:rPr>
            <w:rStyle w:val="Hyperlink"/>
          </w:rPr>
          <w:t>Click here</w:t>
        </w:r>
      </w:hyperlink>
      <w:r w:rsidRPr="00AA0D15">
        <w:t xml:space="preserve"> to access an online spreadsheet containing information on over 160 cases addressing federal and state constitutional challenges to statewide school finance systems. Information on the most recent litigation is below.</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States should offer equal funding per student at all schools in the state. State legislatures are best.</w:t>
      </w:r>
    </w:p>
    <w:p w:rsidR="00C47278" w:rsidRPr="00AA0D15" w:rsidRDefault="00C47278" w:rsidP="00C47278">
      <w:r w:rsidRPr="00AA0D15">
        <w:rPr>
          <w:rStyle w:val="Style13ptBold"/>
        </w:rPr>
        <w:t>Davis 14</w:t>
      </w:r>
      <w:r w:rsidRPr="00AA0D15">
        <w:t xml:space="preserve"> (Daniel. | “HOW TO REFORM SCHOOL FINANCING IN ILLINOIS,” Education Law &amp; Policy – Final Paper, Loyola University Chicago. </w:t>
      </w:r>
      <w:hyperlink r:id="rId153" w:history="1">
        <w:r w:rsidRPr="00AA0D15">
          <w:rPr>
            <w:rStyle w:val="Hyperlink"/>
          </w:rPr>
          <w:t>http://www.luc.edu/media/lucedu/law/centers/childlaw/childed/pdfs/2014studentpapers/Davis.pdf</w:t>
        </w:r>
      </w:hyperlink>
      <w:r w:rsidRPr="00AA0D15">
        <w:t xml:space="preserve"> )//tbrooks</w:t>
      </w:r>
    </w:p>
    <w:p w:rsidR="00C47278" w:rsidRPr="00AA0D15" w:rsidRDefault="00C47278" w:rsidP="00C47278">
      <w:r w:rsidRPr="00AA0D15">
        <w:rPr>
          <w:u w:val="single"/>
        </w:rPr>
        <w:t>Educational funding reform should start by establishing a</w:t>
      </w:r>
      <w:r w:rsidRPr="00AA0D15">
        <w:t xml:space="preserve"> meaningful </w:t>
      </w:r>
      <w:r w:rsidRPr="00AA0D15">
        <w:rPr>
          <w:u w:val="single"/>
        </w:rPr>
        <w:t>Foundation Level for schools</w:t>
      </w:r>
      <w:r w:rsidRPr="00AA0D15">
        <w:t xml:space="preserve">. At present, Illinois has a Foundation Level of $6,119, a level that has not changed since 2009. While the EFAB has recently recommended a Foundation Level increase to $8,672, EFAB’s recommendations have not been incorporated into the state’s budget. Instead, because of the state’s financial condition, the governor and general assembly refuse to increase the Foundation Level. As stated in its recent report, “While EFAB recognizes the dire financial position of the State of Illinois, the lack of adequate funding for basic education is a failure of the state’s moral and fiduciary responsibilities.”41 The governor and general assembly should not be able to determine the Foundation Level by assessing what funds remain in the state’s coffers. Instead, the EFAB, or </w:t>
      </w:r>
      <w:r w:rsidRPr="00AA0D15">
        <w:rPr>
          <w:u w:val="single"/>
        </w:rPr>
        <w:t>a</w:t>
      </w:r>
      <w:r w:rsidRPr="00AA0D15">
        <w:t xml:space="preserve">nother </w:t>
      </w:r>
      <w:r w:rsidRPr="00AA0D15">
        <w:rPr>
          <w:u w:val="single"/>
        </w:rPr>
        <w:t>non-partisan group of experts should determine a meaningful Foundation Level for schools</w:t>
      </w:r>
      <w:r w:rsidRPr="00AA0D15">
        <w:t xml:space="preserve">. After a meaningful Foundation Level has been determined, </w:t>
      </w:r>
      <w:r w:rsidRPr="00AA0D15">
        <w:rPr>
          <w:u w:val="single"/>
        </w:rPr>
        <w:t>the state should be required to fully fund its obligation and ensure that all schools in the state receive Foundation Level funding</w:t>
      </w:r>
      <w:r w:rsidRPr="00AA0D15">
        <w:t xml:space="preserve">. As previously discussed, the state currently fails to fully fund its obligation to meet the Foundation Level of $6,119. Instead of ensuring that all schools receive this modest level of funding, the state prorates its obligation and pays schools only 89% of what they are owed. This practice cannot continue. Prorating payments based on the state’s financial situation produces an unreliable and inadequate funding stream. Schools must reliably receive the money promised by the State of Illinois. </w:t>
      </w:r>
      <w:r w:rsidRPr="00AA0D15">
        <w:rPr>
          <w:u w:val="single"/>
        </w:rPr>
        <w:t>Setting a meaningful Foundation Level</w:t>
      </w:r>
      <w:r w:rsidRPr="00AA0D15">
        <w:t xml:space="preserve"> and requiring Illinois </w:t>
      </w:r>
      <w:r w:rsidRPr="00AA0D15">
        <w:rPr>
          <w:u w:val="single"/>
        </w:rPr>
        <w:t>to fully fund</w:t>
      </w:r>
      <w:r w:rsidRPr="00AA0D15">
        <w:t xml:space="preserve"> its </w:t>
      </w:r>
      <w:r w:rsidRPr="00AA0D15">
        <w:rPr>
          <w:u w:val="single"/>
        </w:rPr>
        <w:t xml:space="preserve">obligations to schools will dramatically improve public education in the State </w:t>
      </w:r>
      <w:r w:rsidRPr="00AA0D15">
        <w:t xml:space="preserve">of Illinois. It would also avoid the political landmines that killed so many past proposals. CONCLUSION </w:t>
      </w:r>
      <w:r w:rsidRPr="00AA0D15">
        <w:rPr>
          <w:u w:val="single"/>
        </w:rPr>
        <w:t>Instead of expending considerable political capital on proposals that are destined to fail, the Illinois General Assembly should ensure that all public schools receive sufficient funds to provide an adequate education to Illinois students</w:t>
      </w:r>
      <w:r w:rsidRPr="00AA0D15">
        <w:t xml:space="preserve">. In a truly egalitarian system, an equal share of nothing is nothing. Once a realistic funding baseline is established, and enough money is flowing into the public education system, </w:t>
      </w:r>
      <w:r w:rsidRPr="00AA0D15">
        <w:rPr>
          <w:u w:val="single"/>
        </w:rPr>
        <w:t>the legislature can introduce new proposals aimed at equalizing public school funding in the State of Illinois. If adequately funding all public education</w:t>
      </w:r>
      <w:r w:rsidRPr="00AA0D15">
        <w:t xml:space="preserve"> in Illinois </w:t>
      </w:r>
      <w:r w:rsidRPr="00AA0D15">
        <w:rPr>
          <w:u w:val="single"/>
        </w:rPr>
        <w:t>fails to become a reality, the current depressed condition of the state will not improve.</w:t>
      </w:r>
      <w:r w:rsidRPr="00AA0D15">
        <w:t xml:space="preserve"> While creditors view Illinois as a risky investment, Illinois must view public education as a safe investment in its present and its future. An investment requires funding. Meaningful reform starts with funding.</w:t>
      </w:r>
    </w:p>
    <w:p w:rsidR="00C47278" w:rsidRDefault="00C47278" w:rsidP="00C47278"/>
    <w:p w:rsidR="002439A5" w:rsidRDefault="002439A5" w:rsidP="002439A5">
      <w:pPr>
        <w:pStyle w:val="Heading3"/>
      </w:pPr>
      <w:r>
        <w:t>AT courts bad</w:t>
      </w:r>
    </w:p>
    <w:p w:rsidR="002439A5" w:rsidRDefault="002439A5" w:rsidP="002439A5">
      <w:pPr>
        <w:pStyle w:val="Heading4"/>
      </w:pPr>
      <w:r>
        <w:t>The counterplan should not be held to historical failures of state courts – shortcomings due to a lack of precisely targeted, judicially manageable remedies are not applicable to the CP</w:t>
      </w:r>
    </w:p>
    <w:p w:rsidR="002439A5" w:rsidRPr="00EE44D4" w:rsidRDefault="002439A5" w:rsidP="002439A5">
      <w:r w:rsidRPr="00F30D70">
        <w:rPr>
          <w:rStyle w:val="Style13ptBold"/>
        </w:rPr>
        <w:t>Reynolds 9.</w:t>
      </w:r>
      <w:r>
        <w:t xml:space="preserve"> Laurie, Professor of Law @ U of Illinois College, “Full State Funding Of Education As A State Constitutional Imperative”, 60 Hastings L.J. 749//HL</w:t>
      </w:r>
    </w:p>
    <w:p w:rsidR="002439A5" w:rsidRDefault="002439A5" w:rsidP="002439A5">
      <w:r w:rsidRPr="00EE44D4">
        <w:rPr>
          <w:rStyle w:val="StyleUnderline"/>
        </w:rPr>
        <w:t>Taken together, the long-term ineffectiveness of the legislative response combines with the recent evidence of judicial withdrawal to dampen enthusiasm about the future course of school finance litigation. On the surface, these two phenomena may appear unrelated, but I posit here that both result in part from plaintiffs' failure to seek a precisely targeted, judicially manageable declaration and remedy.</w:t>
      </w:r>
      <w:r>
        <w:t xml:space="preserve"> With regard to the lack of legislative sustainability, failing to seek the invalidation of the local property tax means that judicial decrees leave in place the structure that will once again guarantee a reemergence of the system declared unconstitutional. </w:t>
      </w:r>
      <w:r w:rsidRPr="00EE44D4">
        <w:rPr>
          <w:rStyle w:val="StyleUnderline"/>
        </w:rPr>
        <w:t>No matter how massive the legislative funding increase, if the local property tax remains a source of school funding, the state legislature will never move beyond playing catch up</w:t>
      </w:r>
      <w:r>
        <w:t xml:space="preserve">. Its efforts will [*767] perhaps smooth out the rough edges of the state's funding allocation or eliminate the most glaring unfairness produced by its school finance statute, but it will not correct the structural inequality inherent in the local property tax system. </w:t>
      </w:r>
      <w:r w:rsidRPr="00EE44D4">
        <w:rPr>
          <w:rStyle w:val="StyleUnderline"/>
        </w:rPr>
        <w:t>Similarly, the phenomenon of judicial weariness may also reflect the plaintiffs' decision to eschew a narrow doctrinal declaration. If a court concludes that its only role in the case is the micromanagement of difficult questions of educational policy that it feels ill-equipped to handle, it may choose to forego judicial involvement altogether</w:t>
      </w:r>
      <w:r>
        <w:t xml:space="preserve">. It seems, then, that at least some responsibility for the disappointing results lies in the structure of the original lawsuits and their wide-ranging claims that would involve the court in the dispute about the meaning of the state's constitutional duty to provide education. In an earlier article, </w:t>
      </w:r>
      <w:r w:rsidRPr="00EE44D4">
        <w:rPr>
          <w:rStyle w:val="StyleUnderline"/>
        </w:rPr>
        <w:t>I suggested that the uniformity of taxation clause could be used to raise a doctrinal challenge to school finance statutes. This principle provides a narrow basis of judicial decision with a clear identification of the source of the statute's unconstitutionality, establishes the straightforward requirement of full state funding of education, and transfers the responsibility for determining a constitutional education spending formula to the state legislature.</w:t>
      </w:r>
      <w:r>
        <w:t xml:space="preserve"> Thus, it removes the court from the debates over educational policy and how the state can best allocate its limited resources to implement that policy. In the next Part I elaborate on how that argument could be the catalyst for overhaul of school funding formulas without requiring the court to immerse itself in the "Stygian swamp" so feared by some state courts.</w:t>
      </w:r>
    </w:p>
    <w:p w:rsidR="002439A5" w:rsidRPr="002439A5" w:rsidRDefault="002439A5" w:rsidP="002439A5"/>
    <w:p w:rsidR="00C81BC7" w:rsidRPr="00AA0D15" w:rsidRDefault="00C81BC7" w:rsidP="00C81BC7">
      <w:pPr>
        <w:pStyle w:val="Heading2"/>
        <w:rPr>
          <w:rFonts w:cs="Times New Roman"/>
        </w:rPr>
      </w:pPr>
      <w:r w:rsidRPr="00AA0D15">
        <w:rPr>
          <w:rFonts w:cs="Times New Roman"/>
        </w:rPr>
        <w:t>ONLINE LEARNING</w:t>
      </w:r>
    </w:p>
    <w:p w:rsidR="00C81BC7" w:rsidRPr="00AA0D15" w:rsidRDefault="00C81BC7" w:rsidP="00C81BC7">
      <w:pPr>
        <w:pStyle w:val="Heading3"/>
        <w:rPr>
          <w:rFonts w:cs="Times New Roman"/>
        </w:rPr>
      </w:pPr>
      <w:r w:rsidRPr="00AA0D15">
        <w:rPr>
          <w:rFonts w:cs="Times New Roman"/>
        </w:rPr>
        <w:t>Solvency</w:t>
      </w:r>
    </w:p>
    <w:p w:rsidR="00C81BC7" w:rsidRPr="00AA0D15" w:rsidRDefault="00C81BC7" w:rsidP="00C81BC7">
      <w:pPr>
        <w:pStyle w:val="Heading4"/>
        <w:rPr>
          <w:rFonts w:cs="Times New Roman"/>
        </w:rPr>
      </w:pPr>
      <w:r w:rsidRPr="00AA0D15">
        <w:rPr>
          <w:rFonts w:cs="Times New Roman"/>
        </w:rPr>
        <w:t>States solve online education --- can conduct effective data collection</w:t>
      </w:r>
    </w:p>
    <w:p w:rsidR="00C81BC7" w:rsidRPr="00AA0D15" w:rsidRDefault="00C81BC7" w:rsidP="00C81BC7">
      <w:r w:rsidRPr="00AA0D15">
        <w:rPr>
          <w:b/>
        </w:rPr>
        <w:t xml:space="preserve">Smith et al. 5 </w:t>
      </w:r>
      <w:r w:rsidRPr="00AA0D15">
        <w:t>Clark – PhD TA Consulting and Robert Blomeyer – PhD learning point associates. Rosina Smith – PhD Aberta Online Consortium. (“A Synthesis of New Research</w:t>
      </w:r>
    </w:p>
    <w:p w:rsidR="00C81BC7" w:rsidRPr="00AA0D15" w:rsidRDefault="00C81BC7" w:rsidP="00C81BC7">
      <w:r w:rsidRPr="00AA0D15">
        <w:t>on K–12 Online Learning”, http://www.blomeyerandclemente.com/Documents/Policy%20and%20Practice%20Recommendations.pdf)//Et</w:t>
      </w:r>
    </w:p>
    <w:p w:rsidR="00C81BC7" w:rsidRPr="00AA0D15" w:rsidRDefault="00C81BC7" w:rsidP="00C81BC7">
      <w:pPr>
        <w:rPr>
          <w:u w:val="single"/>
        </w:rPr>
      </w:pPr>
      <w:r w:rsidRPr="00AA0D15">
        <w:t xml:space="preserve">• Local and </w:t>
      </w:r>
      <w:r w:rsidRPr="00AA0D15">
        <w:rPr>
          <w:u w:val="single"/>
        </w:rPr>
        <w:t>state education agencies should begin reporting accountability data describing academic performance in online courses by the five categories guiding disaggregate reporting of achievement by disadvantaged groups</w:t>
      </w:r>
      <w:r w:rsidRPr="00AA0D15">
        <w:t>, as mandated under No Child Left</w:t>
      </w:r>
    </w:p>
    <w:p w:rsidR="00C81BC7" w:rsidRPr="00AA0D15" w:rsidRDefault="00C81BC7" w:rsidP="00C81BC7">
      <w:r w:rsidRPr="00AA0D15">
        <w:t xml:space="preserve">Behind: major racial or ethnic groups, economically disadvantaged students, limited English-proficient students, migrant students, and students with disabilities (Blomeyer &amp; Dawson, 2005). </w:t>
      </w:r>
      <w:r w:rsidRPr="00AA0D15">
        <w:rPr>
          <w:u w:val="single"/>
        </w:rPr>
        <w:t>This reporting should increase accountability and oversight for</w:t>
      </w:r>
    </w:p>
    <w:p w:rsidR="00C81BC7" w:rsidRPr="00AA0D15" w:rsidRDefault="00C81BC7" w:rsidP="00C81BC7">
      <w:pPr>
        <w:rPr>
          <w:u w:val="single"/>
        </w:rPr>
      </w:pPr>
      <w:r w:rsidRPr="00AA0D15">
        <w:rPr>
          <w:u w:val="single"/>
        </w:rPr>
        <w:t>performance of disadvantaged students enrolling in online courses, ensure that disadvantaged students receive the support they need to become successful online students, and prevent online courses from becoming unsupported “dumping grounds” for</w:t>
      </w:r>
    </w:p>
    <w:p w:rsidR="00C81BC7" w:rsidRPr="00AA0D15" w:rsidRDefault="00C81BC7" w:rsidP="00C81BC7">
      <w:pPr>
        <w:rPr>
          <w:u w:val="single"/>
        </w:rPr>
      </w:pPr>
      <w:r w:rsidRPr="00AA0D15">
        <w:rPr>
          <w:u w:val="single"/>
        </w:rPr>
        <w:t xml:space="preserve">at-risk students. </w:t>
      </w:r>
      <w:r w:rsidRPr="00AA0D15">
        <w:t>Recommendations Relating to Qualities of Effective Online Courses</w:t>
      </w:r>
      <w:r w:rsidRPr="00AA0D15">
        <w:rPr>
          <w:u w:val="single"/>
        </w:rPr>
        <w:t xml:space="preserve"> </w:t>
      </w:r>
      <w:r w:rsidRPr="00AA0D15">
        <w:t>Online high-school courses and “virtual schools” apparently suffer from the perception on the</w:t>
      </w:r>
      <w:r w:rsidRPr="00AA0D15">
        <w:rPr>
          <w:u w:val="single"/>
        </w:rPr>
        <w:t xml:space="preserve"> </w:t>
      </w:r>
      <w:r w:rsidRPr="00AA0D15">
        <w:t>part of educational leaders, educators, and community members that they are in some way</w:t>
      </w:r>
      <w:r w:rsidRPr="00AA0D15">
        <w:rPr>
          <w:u w:val="single"/>
        </w:rPr>
        <w:t xml:space="preserve"> </w:t>
      </w:r>
      <w:r w:rsidRPr="00AA0D15">
        <w:t>“inferior” to traditional instructional models and methods.</w:t>
      </w:r>
      <w:r w:rsidRPr="00AA0D15">
        <w:rPr>
          <w:u w:val="single"/>
        </w:rPr>
        <w:t xml:space="preserve"> </w:t>
      </w:r>
    </w:p>
    <w:p w:rsidR="00C81BC7" w:rsidRPr="00AA0D15" w:rsidRDefault="00C81BC7" w:rsidP="00C81BC7">
      <w:pPr>
        <w:rPr>
          <w:u w:val="single"/>
        </w:rPr>
      </w:pPr>
      <w:r w:rsidRPr="00AA0D15">
        <w:t>• Accountability data documenting the effectiveness of online courses and online schools,</w:t>
      </w:r>
      <w:r w:rsidRPr="00AA0D15">
        <w:rPr>
          <w:u w:val="single"/>
        </w:rPr>
        <w:t xml:space="preserve"> </w:t>
      </w:r>
      <w:r w:rsidRPr="00AA0D15">
        <w:t>with attention paid to standardized measures of achievement that support comparisons of</w:t>
      </w:r>
      <w:r w:rsidRPr="00AA0D15">
        <w:rPr>
          <w:u w:val="single"/>
        </w:rPr>
        <w:t xml:space="preserve"> </w:t>
      </w:r>
      <w:r w:rsidRPr="00AA0D15">
        <w:t>performance to national, state, and regional norms should be collected and made</w:t>
      </w:r>
      <w:r w:rsidRPr="00AA0D15">
        <w:rPr>
          <w:u w:val="single"/>
        </w:rPr>
        <w:t xml:space="preserve"> </w:t>
      </w:r>
      <w:r w:rsidRPr="00AA0D15">
        <w:t>available for public review by all schools with online programs.</w:t>
      </w:r>
    </w:p>
    <w:p w:rsidR="00C81BC7" w:rsidRPr="00AA0D15" w:rsidRDefault="00C81BC7" w:rsidP="00C81BC7">
      <w:r w:rsidRPr="00AA0D15">
        <w:t>• Parties supporting the development and implementation of online learning should contribute to the development and validation of professional standards and guidelines supporting the implementation of highly effective online courses delivering standards based content.</w:t>
      </w:r>
    </w:p>
    <w:p w:rsidR="00C81BC7" w:rsidRPr="00AA0D15" w:rsidRDefault="00C81BC7" w:rsidP="00C81BC7">
      <w:r w:rsidRPr="00AA0D15">
        <w:t>• Research-based standards for “best practice” supporting online teaching and learning need to be developed, validated, disseminated widely, and made available for public review.</w:t>
      </w:r>
    </w:p>
    <w:p w:rsidR="00C81BC7" w:rsidRPr="00AA0D15" w:rsidRDefault="00C81BC7" w:rsidP="00C81BC7">
      <w:r w:rsidRPr="00AA0D15">
        <w:t>• The instructional models and designs commonly used to develop and implement online courses should be more thoroughly documented and described, so that schools offering online courses (or online schools) can effectively communicate the variety and subtlety of these designs and models to the communities they seek to serve.</w:t>
      </w:r>
    </w:p>
    <w:p w:rsidR="00C81BC7" w:rsidRPr="00AA0D15" w:rsidRDefault="00C81BC7" w:rsidP="00C81BC7">
      <w:r w:rsidRPr="00AA0D15">
        <w:t>• Because discourse and interaction between and among students and teachers in online courses apparently lacks the nonverbal components that accompany spontaneous face-to- face verbal communications, students and educators should be supported to better understand how opportunities for online interactions can be optimized and enhanced.</w:t>
      </w:r>
    </w:p>
    <w:p w:rsidR="00C81BC7" w:rsidRPr="00AA0D15" w:rsidRDefault="00C81BC7" w:rsidP="00C81BC7">
      <w:r w:rsidRPr="00AA0D15">
        <w:t>Recommendations Relating to Professional Development for Effective Online Teaching and Learning</w:t>
      </w:r>
    </w:p>
    <w:p w:rsidR="00C81BC7" w:rsidRPr="00AA0D15" w:rsidRDefault="00C81BC7" w:rsidP="00C81BC7">
      <w:r w:rsidRPr="00AA0D15">
        <w:t>All eight studies identify the situated and effective preparation of “highly qualified” online teachers as a crucial element in the implementation of effective online learning programs.</w:t>
      </w:r>
    </w:p>
    <w:p w:rsidR="00C81BC7" w:rsidRPr="00AA0D15" w:rsidRDefault="00C81BC7" w:rsidP="00C81BC7">
      <w:pPr>
        <w:rPr>
          <w:u w:val="single"/>
        </w:rPr>
      </w:pPr>
      <w:r w:rsidRPr="00AA0D15">
        <w:t xml:space="preserve">• </w:t>
      </w:r>
      <w:r w:rsidRPr="00AA0D15">
        <w:rPr>
          <w:u w:val="single"/>
        </w:rPr>
        <w:t xml:space="preserve">State education agencies </w:t>
      </w:r>
      <w:r w:rsidRPr="00AA0D15">
        <w:rPr>
          <w:b/>
          <w:u w:val="single"/>
        </w:rPr>
        <w:t>in all 50 states should work</w:t>
      </w:r>
      <w:r w:rsidRPr="00AA0D15">
        <w:rPr>
          <w:u w:val="single"/>
        </w:rPr>
        <w:t xml:space="preserve"> toward establishing performance based qualifications for online teachers and require that all teachers assigned to online high school courses have appropriate subject area teaching certification.</w:t>
      </w:r>
    </w:p>
    <w:p w:rsidR="00C81BC7" w:rsidRPr="00AA0D15" w:rsidRDefault="00C81BC7" w:rsidP="00C81BC7">
      <w:r w:rsidRPr="00AA0D15">
        <w:t>• State education agencies should work toward developing and enforcing performance based professional requirements for all online teachers.</w:t>
      </w:r>
    </w:p>
    <w:p w:rsidR="00C81BC7" w:rsidRPr="00AA0D15" w:rsidRDefault="00C81BC7" w:rsidP="00C81BC7">
      <w:r w:rsidRPr="00AA0D15">
        <w:t>• Completion of appropriate professional development experiences, based on professionally appropriate standards, should be required before any certified teacher is assigned duties as an online teacher.</w:t>
      </w:r>
    </w:p>
    <w:p w:rsidR="00C81BC7" w:rsidRPr="00AA0D15" w:rsidRDefault="00C81BC7" w:rsidP="00C81BC7">
      <w:r w:rsidRPr="00AA0D15">
        <w:t>• All newly qualified online teachers should be provided with mentoring by an experienced online teacher during their first online teaching assignments.</w:t>
      </w:r>
    </w:p>
    <w:p w:rsidR="00C81BC7" w:rsidRPr="00AA0D15" w:rsidRDefault="00C81BC7" w:rsidP="00C81BC7">
      <w:r w:rsidRPr="00AA0D15">
        <w:t>• The performance of online teachers should be periodically evaluated by supervisors or administrators who are themselves professionally prepared and experienced online teachers.</w:t>
      </w:r>
    </w:p>
    <w:p w:rsidR="00C81BC7" w:rsidRPr="00AA0D15" w:rsidRDefault="00C81BC7" w:rsidP="00C81BC7"/>
    <w:p w:rsidR="00C47278" w:rsidRPr="00AA0D15" w:rsidRDefault="00C47278" w:rsidP="00C47278">
      <w:pPr>
        <w:pStyle w:val="Heading2"/>
        <w:rPr>
          <w:rFonts w:cs="Times New Roman"/>
        </w:rPr>
      </w:pPr>
      <w:r w:rsidRPr="00AA0D15">
        <w:rPr>
          <w:rFonts w:cs="Times New Roman"/>
        </w:rPr>
        <w:t>DISABILITIES</w:t>
      </w:r>
    </w:p>
    <w:p w:rsidR="00C47278" w:rsidRPr="00AA0D15" w:rsidRDefault="00C47278" w:rsidP="00C47278">
      <w:pPr>
        <w:pStyle w:val="Heading3"/>
        <w:rPr>
          <w:rFonts w:cs="Times New Roman"/>
        </w:rPr>
      </w:pPr>
      <w:r w:rsidRPr="00AA0D15">
        <w:rPr>
          <w:rFonts w:cs="Times New Roman"/>
        </w:rPr>
        <w:t>1nc</w:t>
      </w:r>
    </w:p>
    <w:p w:rsidR="00C47278" w:rsidRPr="00AA0D15" w:rsidRDefault="00C47278" w:rsidP="00C47278">
      <w:pPr>
        <w:pStyle w:val="Heading4"/>
        <w:rPr>
          <w:rFonts w:cs="Times New Roman"/>
        </w:rPr>
      </w:pPr>
      <w:r w:rsidRPr="00AA0D15">
        <w:rPr>
          <w:rFonts w:cs="Times New Roman"/>
        </w:rPr>
        <w:t xml:space="preserve">CP Text: </w:t>
      </w:r>
      <w:r w:rsidRPr="00AA0D15">
        <w:rPr>
          <w:rFonts w:cs="Times New Roman"/>
        </w:rPr>
        <w:softHyphen/>
      </w:r>
      <w:r w:rsidRPr="00AA0D15">
        <w:rPr>
          <w:rFonts w:cs="Times New Roman"/>
        </w:rPr>
        <w:softHyphen/>
      </w:r>
      <w:r w:rsidRPr="00AA0D15">
        <w:rPr>
          <w:rFonts w:cs="Times New Roman"/>
        </w:rPr>
        <w:softHyphen/>
        <w:t>Congress should</w:t>
      </w:r>
    </w:p>
    <w:p w:rsidR="00C47278" w:rsidRPr="00AA0D15" w:rsidRDefault="00C47278" w:rsidP="00C47278">
      <w:r w:rsidRPr="00AA0D15">
        <w:t>Devolve responsibility for special education to the states,</w:t>
      </w:r>
    </w:p>
    <w:p w:rsidR="00C47278" w:rsidRPr="00AA0D15" w:rsidRDefault="00C47278" w:rsidP="00C47278">
      <w:r w:rsidRPr="00AA0D15">
        <w:t>Eliminate federal regulations determined by the United States Secretary of Education to waste resources, and</w:t>
      </w:r>
    </w:p>
    <w:p w:rsidR="00C47278" w:rsidRPr="00AA0D15" w:rsidRDefault="00C47278" w:rsidP="00C47278">
      <w:r w:rsidRPr="00AA0D15">
        <w:t>Refuse to turn the Individuals with Disabilities in Education Act (IDEA) into an entitlement for state governments.</w:t>
      </w:r>
    </w:p>
    <w:p w:rsidR="00C47278" w:rsidRPr="00AA0D15" w:rsidRDefault="00C47278" w:rsidP="00C47278">
      <w:r w:rsidRPr="00AA0D15">
        <w:t>The fifty state governments should. [________]</w:t>
      </w:r>
    </w:p>
    <w:p w:rsidR="00C47278" w:rsidRPr="00AA0D15" w:rsidRDefault="00C47278" w:rsidP="00C47278"/>
    <w:p w:rsidR="00C47278" w:rsidRPr="00AA0D15" w:rsidRDefault="00C47278" w:rsidP="00C47278">
      <w:r w:rsidRPr="00AA0D15">
        <w:rPr>
          <w:rStyle w:val="Style13ptBold"/>
        </w:rPr>
        <w:t>Gryphon 3</w:t>
      </w:r>
      <w:r w:rsidRPr="00AA0D15">
        <w:t xml:space="preserve"> (Marie, Senior Fellow with the Center for Legal Policy at the Federalist Society. | </w:t>
      </w:r>
      <w:r w:rsidRPr="00AA0D15">
        <w:rPr>
          <w:i/>
        </w:rPr>
        <w:t>Cato Handbook for Congress</w:t>
      </w:r>
      <w:r w:rsidRPr="00AA0D15">
        <w:t xml:space="preserve"> Ch. 29: Special Education. </w:t>
      </w:r>
      <w:hyperlink r:id="rId154" w:history="1">
        <w:r w:rsidRPr="00AA0D15">
          <w:rPr>
            <w:rStyle w:val="Hyperlink"/>
          </w:rPr>
          <w:t>https://object.cato.org/sites/cato.org/files/serials/files/cato-handbook-policymakers/2003/9/hb108-29.pdf</w:t>
        </w:r>
      </w:hyperlink>
      <w:r w:rsidRPr="00AA0D15">
        <w:t xml:space="preserve"> )//tbrooks</w:t>
      </w:r>
    </w:p>
    <w:p w:rsidR="00C47278" w:rsidRPr="00AA0D15" w:rsidRDefault="00C47278" w:rsidP="00C47278">
      <w:pPr>
        <w:rPr>
          <w:u w:val="single"/>
        </w:rPr>
      </w:pPr>
      <w:r w:rsidRPr="00AA0D15">
        <w:rPr>
          <w:u w:val="single"/>
        </w:rPr>
        <w:t>Congress should…</w:t>
      </w:r>
    </w:p>
    <w:p w:rsidR="00C47278" w:rsidRPr="00AA0D15" w:rsidRDefault="00C47278" w:rsidP="00C47278">
      <w:pPr>
        <w:rPr>
          <w:u w:val="single"/>
        </w:rPr>
      </w:pPr>
      <w:r w:rsidRPr="00AA0D15">
        <w:rPr>
          <w:u w:val="single"/>
        </w:rPr>
        <w:t xml:space="preserve">● devolve responsibility for special education to the states, </w:t>
      </w:r>
    </w:p>
    <w:p w:rsidR="00C47278" w:rsidRPr="00AA0D15" w:rsidRDefault="00C47278" w:rsidP="00C47278">
      <w:pPr>
        <w:rPr>
          <w:u w:val="single"/>
        </w:rPr>
      </w:pPr>
      <w:r w:rsidRPr="00AA0D15">
        <w:rPr>
          <w:u w:val="single"/>
        </w:rPr>
        <w:t xml:space="preserve">● eliminate federal regulations that waste resources and pit parents against teachers, and </w:t>
      </w:r>
    </w:p>
    <w:p w:rsidR="00C47278" w:rsidRPr="00AA0D15" w:rsidRDefault="00C47278" w:rsidP="00C47278">
      <w:pPr>
        <w:rPr>
          <w:u w:val="single"/>
        </w:rPr>
      </w:pPr>
      <w:r w:rsidRPr="00AA0D15">
        <w:rPr>
          <w:u w:val="single"/>
        </w:rPr>
        <w:t>● refuse to turn the Individuals with Disabilities in Education Act into an entitlement for state governments.</w:t>
      </w:r>
    </w:p>
    <w:p w:rsidR="00C47278" w:rsidRPr="00AA0D15" w:rsidRDefault="00C47278" w:rsidP="00C47278"/>
    <w:p w:rsidR="00C47278" w:rsidRPr="00AA0D15" w:rsidRDefault="00C47278" w:rsidP="00C47278">
      <w:pPr>
        <w:pStyle w:val="Heading4"/>
        <w:rPr>
          <w:rFonts w:cs="Times New Roman"/>
        </w:rPr>
      </w:pPr>
      <w:r w:rsidRPr="00AA0D15">
        <w:rPr>
          <w:rFonts w:cs="Times New Roman"/>
        </w:rPr>
        <w:t>Special education should be devolved to the states – lowers costs and less red tape.</w:t>
      </w:r>
    </w:p>
    <w:p w:rsidR="00C47278" w:rsidRPr="00AA0D15" w:rsidRDefault="00C47278" w:rsidP="00C47278">
      <w:r w:rsidRPr="00AA0D15">
        <w:rPr>
          <w:rStyle w:val="Style13ptBold"/>
        </w:rPr>
        <w:t>Gryphon 3</w:t>
      </w:r>
      <w:r w:rsidRPr="00AA0D15">
        <w:t xml:space="preserve"> (Marie, Senior Fellow with the Center for Legal Policy at the Federalist Society. | </w:t>
      </w:r>
      <w:r w:rsidRPr="00AA0D15">
        <w:rPr>
          <w:i/>
        </w:rPr>
        <w:t>Cato Handbook for Congress</w:t>
      </w:r>
      <w:r w:rsidRPr="00AA0D15">
        <w:t xml:space="preserve"> Ch. 29: Special Education. </w:t>
      </w:r>
      <w:hyperlink r:id="rId155" w:history="1">
        <w:r w:rsidRPr="00AA0D15">
          <w:rPr>
            <w:rStyle w:val="Hyperlink"/>
          </w:rPr>
          <w:t>https://object.cato.org/sites/cato.org/files/serials/files/cato-handbook-policymakers/2003/9/hb108-29.pdf</w:t>
        </w:r>
      </w:hyperlink>
      <w:r w:rsidRPr="00AA0D15">
        <w:t xml:space="preserve"> )//tbrooks</w:t>
      </w:r>
    </w:p>
    <w:p w:rsidR="00C47278" w:rsidRPr="00AA0D15" w:rsidRDefault="00C47278" w:rsidP="00C47278">
      <w:pPr>
        <w:rPr>
          <w:u w:val="single"/>
        </w:rPr>
      </w:pPr>
      <w:r w:rsidRPr="00AA0D15">
        <w:t xml:space="preserve">The battle between parents and schools over each child’s educational plan must end with a decisive victory for parents in the form of portable benefits. </w:t>
      </w:r>
      <w:r w:rsidRPr="00AA0D15">
        <w:rPr>
          <w:u w:val="single"/>
        </w:rPr>
        <w:t>Special education should be reformed to allow parents to control how their child’s educational dollars are spent in the public or private school of their choice.</w:t>
      </w:r>
      <w:r w:rsidRPr="00AA0D15">
        <w:t xml:space="preserve"> Choice-based reform would improve educational outcomes by allowing parents to choose their child’s very best option, and successful schools would be those that served parents and children well. Accompanied by massive deregulation, thoughtful choice-based reform will free teachers to teach and allow funds currently wasted on administration to be returned to the classroom. </w:t>
      </w:r>
      <w:r w:rsidRPr="00AA0D15">
        <w:rPr>
          <w:u w:val="single"/>
        </w:rPr>
        <w:t>Devolution of all responsibility for special education to the states would be optimal.</w:t>
      </w:r>
      <w:r w:rsidRPr="00AA0D15">
        <w:t xml:space="preserve"> If complete devolution is not immediately possible, Congress should amend IDEA to allow states to opt into a reformed special education system, which would eliminate the failed dispute resolution model entirely in favor of a state-administered, largely state-funded system based on parental choice. </w:t>
      </w:r>
      <w:r w:rsidRPr="00AA0D15">
        <w:rPr>
          <w:u w:val="single"/>
        </w:rPr>
        <w:t>A state would opt into the program by creating a matrix of disability categories and monetary contributions designed to represent the total average cost of both general and special services required to educate a child in each category of disability. The state would then create a menu of special education services no less comprehensive than those currently available in each school district and their estimated cost per child per hour or per semester, as appropriate.</w:t>
      </w:r>
      <w:r w:rsidRPr="00AA0D15">
        <w:t xml:space="preserve"> Parents in a reformed special education system would find themselves transformed from combatants into customers. </w:t>
      </w:r>
      <w:r w:rsidRPr="00AA0D15">
        <w:rPr>
          <w:u w:val="single"/>
        </w:rPr>
        <w:t>Instead of fighting each year over educational programming, parents would be invited to their local school to select from the menu of available special services</w:t>
      </w:r>
      <w:r w:rsidRPr="00AA0D15">
        <w:t xml:space="preserve"> with the advice of special educators or anyone else the parent felt was appropriate, up to the amount of the child’s defined monetary contribution under the matrix. Or the parent could take his or her child’s total educational allowance to a private school of choice. Because parental choice would replace negotiation as the method of determining a child’s educational plan, Congress should exempt states opting into a reformed system from all of the IEP and due process requirements of IDEA, and they should no longer be subject to civil suit under the act. The sole remaining potential dispute in a reforming state would be the accuracy of a child’s diagnosis and, accordingly, the size of his or her monetary contribution. Congress should ask those </w:t>
      </w:r>
      <w:r w:rsidRPr="00AA0D15">
        <w:rPr>
          <w:u w:val="single"/>
        </w:rPr>
        <w:t>states</w:t>
      </w:r>
      <w:r w:rsidRPr="00AA0D15">
        <w:t xml:space="preserve"> to </w:t>
      </w:r>
      <w:r w:rsidRPr="00AA0D15">
        <w:rPr>
          <w:u w:val="single"/>
        </w:rPr>
        <w:t>create rules for genuinely independent binding arbitration of disputes related to the diagnosis of a child covered by IDEA. The end result for a state opting for reform would be a state-administered,</w:t>
      </w:r>
      <w:r w:rsidRPr="00AA0D15">
        <w:t xml:space="preserve"> largely </w:t>
      </w:r>
      <w:r w:rsidRPr="00AA0D15">
        <w:rPr>
          <w:u w:val="single"/>
        </w:rPr>
        <w:t>state-funded portable benefits plan that would avoid IDEA’s worst problems.</w:t>
      </w:r>
    </w:p>
    <w:p w:rsidR="00C47278" w:rsidRPr="00AA0D15" w:rsidRDefault="00C47278" w:rsidP="00C47278">
      <w:pPr>
        <w:rPr>
          <w:u w:val="single"/>
        </w:rPr>
      </w:pPr>
    </w:p>
    <w:p w:rsidR="00C47278" w:rsidRPr="00AA0D15" w:rsidRDefault="00C47278" w:rsidP="00C47278">
      <w:pPr>
        <w:pStyle w:val="Heading4"/>
        <w:tabs>
          <w:tab w:val="left" w:pos="16000"/>
        </w:tabs>
        <w:rPr>
          <w:rFonts w:cs="Times New Roman"/>
        </w:rPr>
      </w:pPr>
      <w:r w:rsidRPr="00AA0D15">
        <w:rPr>
          <w:rFonts w:cs="Times New Roman"/>
        </w:rPr>
        <w:t>The states must adopt a uniform standard of inclusion in the IDEA.</w:t>
      </w:r>
    </w:p>
    <w:p w:rsidR="00C47278" w:rsidRPr="00AA0D15" w:rsidRDefault="00C47278" w:rsidP="00C47278">
      <w:r w:rsidRPr="00AA0D15">
        <w:rPr>
          <w:rStyle w:val="Style13ptBold"/>
        </w:rPr>
        <w:t>Sailor 2</w:t>
      </w:r>
      <w:r w:rsidRPr="00AA0D15">
        <w:t xml:space="preserve"> (Wayne, School of Education - Special Education Professor, Director - Schoolwide Integrated Framework for Transformation (SWIFT), Center Associate Director - Beach Center on Disability, Ph.D., Psychology, University of Kansas. | “Devolution, School/Community/Family Partnerships, and Inclusive Education” in </w:t>
      </w:r>
      <w:r w:rsidRPr="00AA0D15">
        <w:rPr>
          <w:i/>
        </w:rPr>
        <w:t>Whole-School Success and Inclusive Education</w:t>
      </w:r>
      <w:r w:rsidRPr="00AA0D15">
        <w:t xml:space="preserve">. </w:t>
      </w:r>
      <w:hyperlink r:id="rId156" w:history="1">
        <w:r w:rsidRPr="00AA0D15">
          <w:rPr>
            <w:rStyle w:val="Hyperlink"/>
          </w:rPr>
          <w:t>https://pdfs.semanticscholar.org/009e/b5c5ec3e36ec99d6239db6e183f34aaf758a.pdf</w:t>
        </w:r>
      </w:hyperlink>
      <w:r w:rsidRPr="00AA0D15">
        <w:t xml:space="preserve"> )//tbrooks</w:t>
      </w:r>
    </w:p>
    <w:p w:rsidR="00C47278" w:rsidRPr="00AA0D15" w:rsidRDefault="00C47278" w:rsidP="00C47278">
      <w:r w:rsidRPr="00AA0D15">
        <w:t xml:space="preserve">Sailor (1991) attempted a specific six-point definition of </w:t>
      </w:r>
      <w:r w:rsidRPr="00AA0D15">
        <w:rPr>
          <w:u w:val="single"/>
        </w:rPr>
        <w:t>inclusion</w:t>
      </w:r>
      <w:r w:rsidRPr="00AA0D15">
        <w:t xml:space="preserve"> that was further developed and elaborated upon in Turnbull, Turnbull, Shank, and Leal (1995). The six points are: </w:t>
      </w:r>
      <w:r w:rsidRPr="00AA0D15">
        <w:rPr>
          <w:u w:val="single"/>
        </w:rPr>
        <w:t>1. All students receive education in the school that they would attend if they had no disability. 2. A natural proportion (i.e., representative of the school district at large) of students with disabilities occurs at each school site.</w:t>
      </w:r>
      <w:r w:rsidRPr="00AA0D15">
        <w:t xml:space="preserve"> 1 </w:t>
      </w:r>
      <w:r w:rsidRPr="00AA0D15">
        <w:rPr>
          <w:u w:val="single"/>
        </w:rPr>
        <w:t>3. A zero-reject philosophy exists so that typically no student will be excluded on the basis of type or extent of disability. 4. School and general education placements are age- and grade-appropriate so that no self-contained special education classes will exist. 5. Cooperative learning and peer instruction are the preferred instructional methods. 6. Special education supports exist within the general education class and in other integrated environments.</w:t>
      </w:r>
      <w:r w:rsidRPr="00AA0D15">
        <w:t xml:space="preserve"> Lipsky and Gartner (1997) reviewed some 21 </w:t>
      </w:r>
      <w:r w:rsidRPr="00AA0D15">
        <w:rPr>
          <w:u w:val="single"/>
        </w:rPr>
        <w:t>state policies</w:t>
      </w:r>
      <w:r w:rsidRPr="00AA0D15">
        <w:t xml:space="preserve">, from an assortment of states, that address inclusion. They concluded that they </w:t>
      </w:r>
      <w:r w:rsidRPr="00AA0D15">
        <w:rPr>
          <w:u w:val="single"/>
        </w:rPr>
        <w:t>share a “number of common features in the movement toward inclusion</w:t>
      </w:r>
      <w:r w:rsidRPr="00AA0D15">
        <w:t xml:space="preserve">: the importance of leadership, collaboration across the lines of general and special education, the need for changes in pedagogy and school staffing, and financial issues” (p. 113). It is clear from reviewing the literature on definitions of, and approaches to, inclusive education that the focus has shifted away from special education concerns to whole school concerns. </w:t>
      </w:r>
      <w:r w:rsidRPr="00AA0D15">
        <w:rPr>
          <w:u w:val="single"/>
        </w:rPr>
        <w:t>The debate has shifted from how to best apply special education supports and services in the general education classroom to how to align special education with all other school-based resources</w:t>
      </w:r>
      <w:r w:rsidRPr="00AA0D15">
        <w:t xml:space="preserve">, including general education, </w:t>
      </w:r>
      <w:r w:rsidRPr="00AA0D15">
        <w:rPr>
          <w:u w:val="single"/>
        </w:rPr>
        <w:t>in a manner that most effectively and efficiently imparts a quality education to all of the students at the school.</w:t>
      </w:r>
      <w:r w:rsidRPr="00AA0D15">
        <w:t xml:space="preserve"> Nowhere has this palpable shift in public policy been more forcefully revealed than in the debate that has occurred in both the 104th and 105th Congresses over reauthorization of IDEA. In previous reauthorizations of IDEA—for example, 1990—debate was focused exclusively on special education concerns. Organizations with a primary focus on general education issues and concerns, such as the National School Boards Association, contributed little to the debate. By contrast, the debate in the 104th and 105th Congresses, leading to the 1997 reauthorization, was largely dominated by the general education organizations, particularly over the issue of removal from placement for reasons of discipline (Egnor, 2000).</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Solvency</w:t>
      </w:r>
    </w:p>
    <w:p w:rsidR="00C47278" w:rsidRPr="00AA0D15" w:rsidRDefault="00C47278" w:rsidP="00C47278">
      <w:pPr>
        <w:pStyle w:val="Heading4"/>
        <w:rPr>
          <w:rFonts w:cs="Times New Roman"/>
        </w:rPr>
      </w:pPr>
      <w:r w:rsidRPr="00AA0D15">
        <w:rPr>
          <w:rFonts w:cs="Times New Roman"/>
        </w:rPr>
        <w:t xml:space="preserve">States aren’t just sufficient – but </w:t>
      </w:r>
      <w:r w:rsidRPr="00AA0D15">
        <w:rPr>
          <w:rFonts w:cs="Times New Roman"/>
          <w:u w:val="single"/>
        </w:rPr>
        <w:t>necessary</w:t>
      </w:r>
      <w:r w:rsidRPr="00AA0D15">
        <w:rPr>
          <w:rFonts w:cs="Times New Roman"/>
        </w:rPr>
        <w:t xml:space="preserve"> to solve</w:t>
      </w:r>
    </w:p>
    <w:p w:rsidR="00C47278" w:rsidRPr="00AA0D15" w:rsidRDefault="00C47278" w:rsidP="00C47278">
      <w:pPr>
        <w:rPr>
          <w:rStyle w:val="Style13ptBold"/>
          <w:b w:val="0"/>
        </w:rPr>
      </w:pPr>
      <w:r w:rsidRPr="00AA0D15">
        <w:rPr>
          <w:rStyle w:val="Style13ptBold"/>
        </w:rPr>
        <w:t xml:space="preserve">Defur 2 </w:t>
      </w:r>
      <w:r w:rsidRPr="00AA0D15">
        <w:rPr>
          <w:rStyle w:val="Style13ptBold"/>
          <w:b w:val="0"/>
        </w:rPr>
        <w:t>– Sharon H. from the School of Education, College of William and Mary, “Education Reform, High-Stakes Assessment, and Students with Disabilities,” REMEDIAL AND SPECIAL EDUCATION Volume 23, Number 4, July/August 2002, pages 203-211//ninerz</w:t>
      </w:r>
    </w:p>
    <w:p w:rsidR="00C47278" w:rsidRPr="00AA0D15" w:rsidRDefault="00C47278" w:rsidP="00C47278">
      <w:pPr>
        <w:rPr>
          <w:sz w:val="12"/>
        </w:rPr>
      </w:pPr>
      <w:r w:rsidRPr="00AA0D15">
        <w:rPr>
          <w:rStyle w:val="Emphasis"/>
        </w:rPr>
        <w:t xml:space="preserve">DISABILITY POLICY AND EDUCATIONAL REFORM </w:t>
      </w:r>
      <w:r w:rsidRPr="00AA0D15">
        <w:rPr>
          <w:sz w:val="12"/>
        </w:rPr>
        <w:t xml:space="preserve">Concurrent with general educational reform initiatives, </w:t>
      </w:r>
      <w:r w:rsidRPr="00AA0D15">
        <w:rPr>
          <w:rStyle w:val="StyleUnderline"/>
        </w:rPr>
        <w:t>national policies</w:t>
      </w:r>
      <w:r w:rsidRPr="00AA0D15">
        <w:rPr>
          <w:sz w:val="12"/>
        </w:rPr>
        <w:t xml:space="preserve"> addressing the education of students with disabilities changed. Special education policies of the 1970s focused on educational access and equality for students with disabilities. Without question, these policies </w:t>
      </w:r>
      <w:r w:rsidRPr="00AA0D15">
        <w:rPr>
          <w:rStyle w:val="StyleUnderline"/>
        </w:rPr>
        <w:t>reformed how public schools included students with disabilities in their progra</w:t>
      </w:r>
      <w:r w:rsidRPr="00AA0D15">
        <w:rPr>
          <w:sz w:val="12"/>
        </w:rPr>
        <w:t xml:space="preserve">ms. In retrospect, a free, appropriate public education was defined as attendance in public schools. Accountability in special education was defined for students and based in Individualized Education Programs (IEPs). </w:t>
      </w:r>
      <w:r w:rsidRPr="00AA0D15">
        <w:rPr>
          <w:rStyle w:val="StyleUnderline"/>
        </w:rPr>
        <w:t xml:space="preserve">In spite of remarkable changes over this past quarter-century, </w:t>
      </w:r>
      <w:r w:rsidRPr="00AA0D15">
        <w:rPr>
          <w:rStyle w:val="Emphasis"/>
        </w:rPr>
        <w:t>special education reform efforts have fallen short of universally improving the achievement outcomes of all students with disabilities in a substantial way.</w:t>
      </w:r>
      <w:r w:rsidRPr="00AA0D15">
        <w:rPr>
          <w:sz w:val="12"/>
        </w:rPr>
        <w:t xml:space="preserve"> </w:t>
      </w:r>
      <w:r w:rsidRPr="00AA0D15">
        <w:rPr>
          <w:rStyle w:val="StyleUnderline"/>
        </w:rPr>
        <w:t xml:space="preserve">In response to these findings, the 1997 </w:t>
      </w:r>
      <w:r w:rsidRPr="00AA0D15">
        <w:rPr>
          <w:rStyle w:val="Emphasis"/>
        </w:rPr>
        <w:t>amendments</w:t>
      </w:r>
      <w:r w:rsidRPr="00AA0D15">
        <w:rPr>
          <w:rStyle w:val="StyleUnderline"/>
        </w:rPr>
        <w:t xml:space="preserve"> to the Individuals with Disabilities Education Act (IDEA ’97) asserted that the educational progress of students with disabilities had been </w:t>
      </w:r>
      <w:r w:rsidRPr="00AA0D15">
        <w:rPr>
          <w:rStyle w:val="Emphasis"/>
        </w:rPr>
        <w:t>limited by low academic expectations</w:t>
      </w:r>
      <w:r w:rsidRPr="00AA0D15">
        <w:rPr>
          <w:rStyle w:val="StyleUnderline"/>
        </w:rPr>
        <w:t xml:space="preserve"> that in turn narrowed student access to the general curriculum</w:t>
      </w:r>
      <w:r w:rsidRPr="00AA0D15">
        <w:rPr>
          <w:sz w:val="12"/>
        </w:rPr>
        <w:t xml:space="preserve">. Furthermore, IDEA ’97 </w:t>
      </w:r>
      <w:r w:rsidRPr="00AA0D15">
        <w:rPr>
          <w:rStyle w:val="StyleUnderline"/>
        </w:rPr>
        <w:t xml:space="preserve">indicated that </w:t>
      </w:r>
      <w:r w:rsidRPr="00AA0D15">
        <w:rPr>
          <w:rStyle w:val="Emphasis"/>
          <w:sz w:val="26"/>
          <w:szCs w:val="26"/>
        </w:rPr>
        <w:t xml:space="preserve">participation in state accountability systems </w:t>
      </w:r>
      <w:r w:rsidRPr="00AA0D15">
        <w:rPr>
          <w:sz w:val="12"/>
        </w:rPr>
        <w:t>(</w:t>
      </w:r>
      <w:r w:rsidRPr="00AA0D15">
        <w:rPr>
          <w:sz w:val="12"/>
          <w:szCs w:val="26"/>
        </w:rPr>
        <w:t>assessmen</w:t>
      </w:r>
      <w:r w:rsidRPr="00AA0D15">
        <w:rPr>
          <w:sz w:val="12"/>
        </w:rPr>
        <w:t>t)</w:t>
      </w:r>
      <w:r w:rsidRPr="00AA0D15">
        <w:rPr>
          <w:rStyle w:val="Emphasis"/>
          <w:sz w:val="26"/>
          <w:szCs w:val="26"/>
        </w:rPr>
        <w:t xml:space="preserve"> was the key to increasing participation in the general curriculum and raising the academic expectations for all students with disabilities</w:t>
      </w:r>
      <w:r w:rsidRPr="00AA0D15">
        <w:rPr>
          <w:sz w:val="12"/>
          <w:szCs w:val="26"/>
        </w:rPr>
        <w:t>. Most</w:t>
      </w:r>
      <w:r w:rsidRPr="00AA0D15">
        <w:rPr>
          <w:sz w:val="12"/>
        </w:rPr>
        <w:t xml:space="preserve"> recently, the Office of Special Education (OSEP) of the U.S. Department of Education issued a policy memorandum that offered interpretation of the IDEA ’97 requirements regarding participation in state assessments (August, 2000). This policy memo stated that exemption from the state assessment program for students with disabilities was no longer an option; in fact, to do so violated a student’s civil rights. </w:t>
      </w:r>
      <w:r w:rsidRPr="00AA0D15">
        <w:rPr>
          <w:rStyle w:val="StyleUnderline"/>
        </w:rPr>
        <w:t>Students with disabilities should participate in the state assessment system (as defined by the state’s accountability system</w:t>
      </w:r>
      <w:r w:rsidRPr="00AA0D15">
        <w:rPr>
          <w:sz w:val="12"/>
        </w:rPr>
        <w:t xml:space="preserve"> under the Improving America’s Schools Act [USDOE, 2000]), with or without modifications, or in the state alternate assessment. (Other articles in this special series provide thorough discussion regarding these emerging policy dilemmas.) Figure 1 illustrates two assumptions regarding intended consequences underlying the inclusion of students with disabilities in high-stakes educational reform efforts and state accountability systems. IDEA ’97, and several educational researchers (McDonnell, McLaughlin, &amp; Morrison, 1997), asserted that participation in </w:t>
      </w:r>
      <w:r w:rsidRPr="00AA0D15">
        <w:rPr>
          <w:rStyle w:val="Emphasis"/>
          <w:sz w:val="26"/>
          <w:szCs w:val="26"/>
        </w:rPr>
        <w:t>state educational reform efforts is paramount to the establishment of high expectations</w:t>
      </w:r>
      <w:r w:rsidRPr="00AA0D15">
        <w:rPr>
          <w:sz w:val="12"/>
          <w:szCs w:val="26"/>
        </w:rPr>
        <w:t>.</w:t>
      </w:r>
      <w:r w:rsidRPr="00AA0D15">
        <w:rPr>
          <w:sz w:val="12"/>
        </w:rPr>
        <w:t xml:space="preserve"> Research has consistently shown that </w:t>
      </w:r>
      <w:r w:rsidRPr="00AA0D15">
        <w:rPr>
          <w:rStyle w:val="StyleUnderline"/>
        </w:rPr>
        <w:t>increased student achievement correlates with high expectations of teachers</w:t>
      </w:r>
      <w:r w:rsidRPr="00AA0D15">
        <w:rPr>
          <w:sz w:val="12"/>
        </w:rPr>
        <w:t xml:space="preserve"> (Arroyo, Rhoad, &amp; Drew, 1999; G. M. Johnson, 1998; WhartonMcDonald, Pressley, &amp; Hampston, 1998). Following this logic, </w:t>
      </w:r>
      <w:r w:rsidRPr="00AA0D15">
        <w:rPr>
          <w:rStyle w:val="StyleUnderline"/>
        </w:rPr>
        <w:t xml:space="preserve">raising expectations should lead to </w:t>
      </w:r>
      <w:r w:rsidRPr="00AA0D15">
        <w:rPr>
          <w:rStyle w:val="Emphasis"/>
        </w:rPr>
        <w:t>increased access to the general curriculum</w:t>
      </w:r>
      <w:r w:rsidRPr="00AA0D15">
        <w:rPr>
          <w:rStyle w:val="StyleUnderline"/>
        </w:rPr>
        <w:t>,</w:t>
      </w:r>
      <w:r w:rsidRPr="00AA0D15">
        <w:rPr>
          <w:sz w:val="12"/>
        </w:rPr>
        <w:t xml:space="preserve"> increased participation in the state assessment system, </w:t>
      </w:r>
      <w:r w:rsidRPr="00AA0D15">
        <w:rPr>
          <w:rStyle w:val="Emphasis"/>
        </w:rPr>
        <w:t>and higher individual student achievement</w:t>
      </w:r>
      <w:r w:rsidRPr="00AA0D15">
        <w:rPr>
          <w:sz w:val="12"/>
        </w:rPr>
        <w:t xml:space="preserve"> </w:t>
      </w:r>
      <w:r w:rsidRPr="00AA0D15">
        <w:rPr>
          <w:rStyle w:val="Emphasis"/>
        </w:rPr>
        <w:t>levels</w:t>
      </w:r>
      <w:r w:rsidRPr="00AA0D15">
        <w:rPr>
          <w:sz w:val="12"/>
        </w:rPr>
        <w:t xml:space="preserve">. </w:t>
      </w:r>
      <w:r w:rsidRPr="00AA0D15">
        <w:rPr>
          <w:rStyle w:val="StyleUnderline"/>
        </w:rPr>
        <w:t>These strategies are believed to help students with disabilities achieve essential skills tied to state curriculum standards that are consistent with those of their peers without disabilities.</w:t>
      </w:r>
      <w:r w:rsidRPr="00AA0D15">
        <w:rPr>
          <w:sz w:val="12"/>
        </w:rPr>
        <w:t xml:space="preserve"> The second assumption is that assessment data will be used to make improved individual instructional program decisions. In theory, these data-based decisions then influence teaching methods and curriculum, which in turn lead to enhanced educational opportunities. As a result, students with disabilities will achieve academic—as well as nonacademic— success. The expectation is that success translates to improved postschool outcomes for students with disabilities.</w:t>
      </w:r>
    </w:p>
    <w:p w:rsidR="00C47278" w:rsidRPr="00AA0D15" w:rsidRDefault="00C47278" w:rsidP="00C47278">
      <w:pPr>
        <w:pStyle w:val="Heading4"/>
        <w:rPr>
          <w:rFonts w:cs="Times New Roman"/>
        </w:rPr>
      </w:pPr>
      <w:r w:rsidRPr="00AA0D15">
        <w:rPr>
          <w:rFonts w:cs="Times New Roman"/>
        </w:rPr>
        <w:t>States empirically are effective actors for disability reform</w:t>
      </w:r>
    </w:p>
    <w:p w:rsidR="00C47278" w:rsidRPr="00AA0D15" w:rsidRDefault="00C47278" w:rsidP="00C47278">
      <w:pPr>
        <w:rPr>
          <w:rStyle w:val="Style13ptBold"/>
          <w:b w:val="0"/>
        </w:rPr>
      </w:pPr>
      <w:r w:rsidRPr="00AA0D15">
        <w:rPr>
          <w:rStyle w:val="Style13ptBold"/>
        </w:rPr>
        <w:t xml:space="preserve">Shyyan et al 15 </w:t>
      </w:r>
      <w:r w:rsidRPr="00AA0D15">
        <w:rPr>
          <w:rStyle w:val="Style13ptBold"/>
          <w:b w:val="0"/>
        </w:rPr>
        <w:t>– Vitaliy,  Research Associate at the National Center on Educational Outcomes, “2014 Survey of States: Initiatives, Trends, and Accomplishments,” National Association of State Directors of Special Education, National Center on Educational Outcomes, accessed via proquest//ninerz</w:t>
      </w:r>
    </w:p>
    <w:p w:rsidR="00C47278" w:rsidRPr="00AA0D15" w:rsidRDefault="00C47278" w:rsidP="00C47278">
      <w:r w:rsidRPr="00AA0D15">
        <w:rPr>
          <w:rStyle w:val="StyleUnderline"/>
        </w:rPr>
        <w:t>This report summarizes the fourteenth survey of states by the National Center on Educational Outcomes (NCEO</w:t>
      </w:r>
      <w:r w:rsidRPr="00AA0D15">
        <w:t xml:space="preserve">) at the University of Minnesota. Results are presented for the 50 regular states and eight of the 11 unique states. The purpose of this report is </w:t>
      </w:r>
      <w:r w:rsidRPr="00AA0D15">
        <w:rPr>
          <w:rStyle w:val="StyleUnderline"/>
        </w:rPr>
        <w:t>to provide a snapshot of the new initiatives, trends, accomplishments</w:t>
      </w:r>
      <w:r w:rsidRPr="00AA0D15">
        <w:t xml:space="preserve">, and emerging issues during this important period of education reform </w:t>
      </w:r>
      <w:r w:rsidRPr="00AA0D15">
        <w:rPr>
          <w:rStyle w:val="StyleUnderline"/>
        </w:rPr>
        <w:t>as states documented the academic achievement of students with disabilities</w:t>
      </w:r>
      <w:r w:rsidRPr="00AA0D15">
        <w:t xml:space="preserve">. </w:t>
      </w:r>
      <w:r w:rsidRPr="00AA0D15">
        <w:rPr>
          <w:rStyle w:val="StyleUnderline"/>
        </w:rPr>
        <w:t>Key findings include</w:t>
      </w:r>
      <w:r w:rsidRPr="00AA0D15">
        <w:t>: (</w:t>
      </w:r>
      <w:r w:rsidRPr="00AA0D15">
        <w:rPr>
          <w:rStyle w:val="StyleUnderline"/>
        </w:rPr>
        <w:t xml:space="preserve">1) Most states supported teachers by implementing college- and career-ready standards for all students, </w:t>
      </w:r>
      <w:r w:rsidRPr="00AA0D15">
        <w:rPr>
          <w:rStyle w:val="Emphasis"/>
        </w:rPr>
        <w:t>including students with disabilities</w:t>
      </w:r>
      <w:r w:rsidRPr="00AA0D15">
        <w:t xml:space="preserve">; (2) Many states participated in general, alternate, and English language proficiency assessment consortia; </w:t>
      </w:r>
      <w:r w:rsidRPr="00AA0D15">
        <w:rPr>
          <w:rStyle w:val="StyleUnderline"/>
        </w:rPr>
        <w:t>(3) More than half of the states indicated that they disaggregated assessment results by primary disability category for the purpose of examining trends or reporting assessment results for students with disabilities; (4) More than half of the states reported studying validity of results for accessibility features and accommodations using data collected during assessments; (5) More than three-quarters of states reported a need for technology-related investments for the majority of districts in their states in order to improve the participation of students with disabilities in instructional activities and assessments</w:t>
      </w:r>
      <w:r w:rsidRPr="00AA0D15">
        <w:t>. The types of investments most frequently cited as needed were additional devices and improved bandwidth or capacity for Internet connectivity; (6) More than three-quarters of the states considered universal design during test conceptualization and construction; (</w:t>
      </w:r>
      <w:r w:rsidRPr="00AA0D15">
        <w:rPr>
          <w:rStyle w:val="StyleUnderline"/>
        </w:rPr>
        <w:t xml:space="preserve">7) More than half of the states reported </w:t>
      </w:r>
      <w:r w:rsidRPr="00AA0D15">
        <w:rPr>
          <w:rStyle w:val="Emphasis"/>
        </w:rPr>
        <w:t>including data for all students with disabilities in their evaluation system</w:t>
      </w:r>
      <w:r w:rsidRPr="00AA0D15">
        <w:rPr>
          <w:rStyle w:val="StyleUnderline"/>
        </w:rPr>
        <w:t xml:space="preserve"> for general education teachers; (8) More than half of the states reported that they </w:t>
      </w:r>
      <w:r w:rsidRPr="00AA0D15">
        <w:rPr>
          <w:rStyle w:val="Emphasis"/>
        </w:rPr>
        <w:t>required students with disabilities to meet exactly the same state requirements as other students to receive a standard diploma</w:t>
      </w:r>
      <w:r w:rsidRPr="00AA0D15">
        <w:rPr>
          <w:rStyle w:val="StyleUnderline"/>
        </w:rPr>
        <w:t>;</w:t>
      </w:r>
      <w:r w:rsidRPr="00AA0D15">
        <w:t xml:space="preserve"> (9) Seven states offered end-of-course alternate assessments based on AA-AAS; and (10) More than half of the states disaggregated assessment results for English language learners with disabilities. </w:t>
      </w:r>
      <w:r w:rsidRPr="00AA0D15">
        <w:rPr>
          <w:rStyle w:val="Emphasis"/>
        </w:rPr>
        <w:t>States were cognizant of the benefits of inclusive assessment and accountability systems, and continued to improve assessment design, participation, accessibility and accommodations policies, monitoring practices, and data reporting</w:t>
      </w:r>
      <w:r w:rsidRPr="00AA0D15">
        <w:t>. States also identified key areas of need for technical assistance to facilitate the implementation of next generation assessments. "Implications of ESEA Graduation Rate Accountability" is appended.</w:t>
      </w:r>
    </w:p>
    <w:p w:rsidR="00C47278" w:rsidRPr="00AA0D15" w:rsidRDefault="00C47278" w:rsidP="00C47278">
      <w:pPr>
        <w:pStyle w:val="Heading4"/>
        <w:rPr>
          <w:rFonts w:cs="Times New Roman"/>
        </w:rPr>
      </w:pPr>
      <w:r w:rsidRPr="00AA0D15">
        <w:rPr>
          <w:rFonts w:cs="Times New Roman"/>
        </w:rPr>
        <w:t>Federal special education is too costly and doesn’t solve</w:t>
      </w:r>
    </w:p>
    <w:p w:rsidR="00C47278" w:rsidRPr="00AA0D15" w:rsidRDefault="00C47278" w:rsidP="00C47278">
      <w:pPr>
        <w:rPr>
          <w:b/>
          <w:bCs/>
          <w:sz w:val="26"/>
        </w:rPr>
      </w:pPr>
      <w:r w:rsidRPr="00AA0D15">
        <w:rPr>
          <w:rStyle w:val="Style13ptBold"/>
        </w:rPr>
        <w:t xml:space="preserve">Ravitch and Loveless 2k </w:t>
      </w:r>
      <w:r w:rsidRPr="00AA0D15">
        <w:t>(Diane Ravitch and Tom Loveless, Nonresident Senior Fellow - Governance Studies, Brown Center on Education Policy, Brookings, “Broken Promises: What the Federal Government Can Do To Improve American Education” 3/1/2000 () https://www.brookings.edu/articles/broken-promises-what-the-federal-government-can-do-to-improve-american-education/) GG</w:t>
      </w:r>
    </w:p>
    <w:p w:rsidR="00C47278" w:rsidRPr="00AA0D15" w:rsidRDefault="00C47278" w:rsidP="00C47278">
      <w:pPr>
        <w:rPr>
          <w:rStyle w:val="StyleUnderline"/>
        </w:rPr>
      </w:pPr>
      <w:r w:rsidRPr="00AA0D15">
        <w:rPr>
          <w:rStyle w:val="StyleUnderline"/>
        </w:rPr>
        <w:t>Special education serves 5.2 million students at a cost of about $43 billion a year</w:t>
      </w:r>
      <w:r w:rsidRPr="00AA0D15">
        <w:t xml:space="preserve">. The Education for All Handicapped Children Act, passed in 1975, established the right of all handicapped children to receive “a free and appropriate education which emphasizes special education and related services designed to meet their unique needs.” In addition to creating a host of new legal rights, the </w:t>
      </w:r>
      <w:r w:rsidRPr="00AA0D15">
        <w:rPr>
          <w:rStyle w:val="StyleUnderline"/>
        </w:rPr>
        <w:t>legislation mandated specific procedures for placing students in special education programs</w:t>
      </w:r>
      <w:r w:rsidRPr="00AA0D15">
        <w:t xml:space="preserve">, including designing individual educational plans for each student. The act also declared Congress’s intent eventually to fund 40 percent of the costs of special education services beyond the regular school program. </w:t>
      </w:r>
      <w:r w:rsidRPr="00AA0D15">
        <w:rPr>
          <w:rStyle w:val="StyleUnderline"/>
        </w:rPr>
        <w:t>But Washington has never come close to that share. It now contributes some $5.2 billion, about 12 percent of special education’s national total—and $12 billion short of the promised 40 percent. The rest comes out of regular state and local education revenues</w:t>
      </w:r>
      <w:r w:rsidRPr="00AA0D15">
        <w:t xml:space="preserve">. In a 1997 study of nine representative school districts, Richard Rothstein of the Economic Policy Institute reported that special education spending rose from 3.6 percent of school budgets in 1967 to 19 percent in 1996. Special education costs are likely to escalate even further. The legal rights supporting special education continue to multiply, mainly through court rulings. To cite one example, the Individuals with Disabilities Education Act exempts medical care from the services school districts must provide handicapped students. But it does require districts to provide the “related services” students need to attend and to benefit from school. In 1999, the Supreme Court blurred the line between medical care and these related services in a case involving a 16-year-old student who is paralyzed from the waist down. When attending school, the boy requires constant, one-on-one care, with a nurse monitoring a ventilator, catheterizing urine, and suctioning the boy’s tracheotomy. The local school district paid for a full-time educational aide for the boy, but refused to cover the nursing expense, claiming it was medical treatment as defined by IDEA. The court ruled that the nursing care fell under the category of “related services” and ordered the district to pay. </w:t>
      </w:r>
      <w:r w:rsidRPr="00AA0D15">
        <w:rPr>
          <w:rStyle w:val="StyleUnderline"/>
        </w:rPr>
        <w:t>P</w:t>
      </w:r>
      <w:r w:rsidRPr="00AA0D15">
        <w:t>l</w:t>
      </w:r>
      <w:r w:rsidRPr="00AA0D15">
        <w:rPr>
          <w:rStyle w:val="StyleUnderline"/>
        </w:rPr>
        <w:t xml:space="preserve">acing too many slow learners into special education is also driving costs skyward. A little more than half of all special education students are classified </w:t>
      </w:r>
      <w:r w:rsidRPr="00AA0D15">
        <w:t xml:space="preserve">LD, or </w:t>
      </w:r>
      <w:r w:rsidRPr="00AA0D15">
        <w:rPr>
          <w:rStyle w:val="StyleUnderline"/>
        </w:rPr>
        <w:t>learning disabled</w:t>
      </w:r>
      <w:r w:rsidRPr="00AA0D15">
        <w:t xml:space="preserve">. This category of disability includes students with legitimate learning problems, but </w:t>
      </w:r>
      <w:r w:rsidRPr="00AA0D15">
        <w:rPr>
          <w:rStyle w:val="StyleUnderline"/>
        </w:rPr>
        <w:t>it</w:t>
      </w:r>
      <w:r w:rsidRPr="00AA0D15">
        <w:t xml:space="preserve"> also </w:t>
      </w:r>
      <w:r w:rsidRPr="00AA0D15">
        <w:rPr>
          <w:rStyle w:val="StyleUnderline"/>
        </w:rPr>
        <w:t>serves as a catch-all for youth struggling in regular school programs</w:t>
      </w:r>
      <w:r w:rsidRPr="00AA0D15">
        <w:t>. Special education serves 21.1 percent of students in Boston and 19.7 percent in Indianapolis</w:t>
      </w:r>
      <w:r w:rsidRPr="00AA0D15">
        <w:rPr>
          <w:rStyle w:val="StyleUnderline"/>
        </w:rPr>
        <w:t>. A 1994 New York Times report noted that thousands of students in New York City were mislabeled as LD, with each costing $19,202 to educate, compared with $6,394 for students not in special education</w:t>
      </w:r>
      <w:r w:rsidRPr="00AA0D15">
        <w:t xml:space="preserve">. Later that year, the city’s board of education reported that schools with the highest rates of violence also had the highest share of special education students. </w:t>
      </w:r>
      <w:r w:rsidRPr="00AA0D15">
        <w:rPr>
          <w:rStyle w:val="StyleUnderline"/>
        </w:rPr>
        <w:t>Critics charged that special education had become a “dumping ground” for youngsters with severe behavior problems.</w:t>
      </w:r>
      <w:r w:rsidRPr="00AA0D15">
        <w:t xml:space="preserve"> The question is whether problems with the regular education system, rather than children’s disabilities, are driving placements in special education. Alice </w:t>
      </w:r>
      <w:r w:rsidRPr="00AA0D15">
        <w:rPr>
          <w:rStyle w:val="StyleUnderline"/>
        </w:rPr>
        <w:t>Parker, California’s director of special education, estimates that as many as 250,000 of the state’s special education students are designated as learning disabled because of reading difficulties stemming from poor instruction</w:t>
      </w:r>
      <w:r w:rsidRPr="00AA0D15">
        <w:t>. “They have not been taught how to read,” Parker declared in the Los Angeles Times. G. Reid Lyon of the National Institute for Child Health and Development summarizes the tragedy succinctly: “</w:t>
      </w:r>
      <w:r w:rsidRPr="00AA0D15">
        <w:rPr>
          <w:rStyle w:val="StyleUnderline"/>
        </w:rPr>
        <w:t>Learning disabilities have become a sociological sponge to wipe up the spills of general education.” Whether children benefit from special education is unknown. A 1999 study found no significant achievement differences between LD children in special education and those in regular classrooms.</w:t>
      </w:r>
      <w:r w:rsidRPr="00AA0D15">
        <w:t xml:space="preserve"> And according to statistics from the Department of Education, </w:t>
      </w:r>
      <w:r w:rsidRPr="00AA0D15">
        <w:rPr>
          <w:rStyle w:val="StyleUnderline"/>
        </w:rPr>
        <w:t>only 4 percent of students diagnosed with learning disabilities in 1994 returned to regular classrooms.</w:t>
      </w:r>
    </w:p>
    <w:p w:rsidR="00C47278" w:rsidRPr="00AA0D15" w:rsidRDefault="00C47278" w:rsidP="00C47278"/>
    <w:p w:rsidR="00C47278" w:rsidRDefault="00C47278" w:rsidP="00C47278">
      <w:pPr>
        <w:pStyle w:val="Heading1"/>
        <w:rPr>
          <w:rFonts w:cs="Times New Roman"/>
        </w:rPr>
      </w:pPr>
      <w:r w:rsidRPr="00AA0D15">
        <w:rPr>
          <w:rFonts w:cs="Times New Roman"/>
        </w:rPr>
        <w:t>AFFIRMATIVE</w:t>
      </w:r>
    </w:p>
    <w:p w:rsidR="00B04324" w:rsidRPr="00B04324" w:rsidRDefault="00B04324" w:rsidP="00B04324">
      <w:pPr>
        <w:pStyle w:val="Heading2"/>
      </w:pPr>
      <w:r>
        <w:t>MULTI-PURPOSE</w:t>
      </w:r>
    </w:p>
    <w:p w:rsidR="00B004C2" w:rsidRDefault="00B004C2" w:rsidP="00B004C2">
      <w:pPr>
        <w:pStyle w:val="Heading3"/>
      </w:pPr>
      <w:r>
        <w:t>Perm – AT overlapping bad</w:t>
      </w:r>
    </w:p>
    <w:p w:rsidR="00B004C2" w:rsidRDefault="00B004C2" w:rsidP="00B004C2">
      <w:pPr>
        <w:pStyle w:val="Heading4"/>
      </w:pPr>
      <w:r>
        <w:t xml:space="preserve">Overlapping jurisdiction </w:t>
      </w:r>
      <w:r w:rsidRPr="00B004C2">
        <w:rPr>
          <w:u w:val="single"/>
        </w:rPr>
        <w:t>promotes</w:t>
      </w:r>
      <w:r>
        <w:t xml:space="preserve"> accountability and enforcement</w:t>
      </w:r>
    </w:p>
    <w:p w:rsidR="00B004C2" w:rsidRPr="002D2F68" w:rsidRDefault="00B004C2" w:rsidP="00B004C2">
      <w:r w:rsidRPr="00B004C2">
        <w:rPr>
          <w:rStyle w:val="Style13ptBold"/>
        </w:rPr>
        <w:t>Schapiro 12</w:t>
      </w:r>
      <w:r>
        <w:t xml:space="preserve"> – Professor of Law @ Emory (Robert, “The Future of Australian Federalism,” p. 152)//BB</w:t>
      </w:r>
    </w:p>
    <w:p w:rsidR="00B004C2" w:rsidRPr="00B004C2" w:rsidRDefault="00B004C2" w:rsidP="00B004C2">
      <w:r w:rsidRPr="00B004C2">
        <w:rPr>
          <w:rStyle w:val="StyleUnderline"/>
        </w:rPr>
        <w:t>While one could imagine an accountability issue arising, the concern</w:t>
      </w:r>
      <w:r>
        <w:rPr>
          <w:rStyle w:val="StyleUnderline"/>
        </w:rPr>
        <w:t xml:space="preserve"> </w:t>
      </w:r>
      <w:r w:rsidRPr="00B004C2">
        <w:rPr>
          <w:rStyle w:val="StyleUnderline"/>
        </w:rPr>
        <w:t>seems overstated</w:t>
      </w:r>
      <w:r>
        <w:t xml:space="preserve">. First, </w:t>
      </w:r>
      <w:r w:rsidRPr="00B004C2">
        <w:rPr>
          <w:rStyle w:val="StyleUnderline"/>
        </w:rPr>
        <w:t>despite the claims of some justices on the</w:t>
      </w:r>
      <w:r>
        <w:rPr>
          <w:rStyle w:val="StyleUnderline"/>
        </w:rPr>
        <w:t xml:space="preserve"> </w:t>
      </w:r>
      <w:r w:rsidRPr="00B004C2">
        <w:rPr>
          <w:rStyle w:val="StyleUnderline"/>
        </w:rPr>
        <w:t>Supreme Court, it is not clear that overlapping levels of regulation do</w:t>
      </w:r>
      <w:r>
        <w:rPr>
          <w:rStyle w:val="StyleUnderline"/>
        </w:rPr>
        <w:t xml:space="preserve"> </w:t>
      </w:r>
      <w:r w:rsidRPr="00B004C2">
        <w:rPr>
          <w:rStyle w:val="StyleUnderline"/>
        </w:rPr>
        <w:t>threaten accountability, and the proponents of this argument have little</w:t>
      </w:r>
      <w:r>
        <w:rPr>
          <w:rStyle w:val="StyleUnderline"/>
        </w:rPr>
        <w:t xml:space="preserve"> evidence</w:t>
      </w:r>
      <w:r w:rsidRPr="00B004C2">
        <w:rPr>
          <w:rStyle w:val="StyleUnderline"/>
        </w:rPr>
        <w:t xml:space="preserve"> to cite</w:t>
      </w:r>
      <w:r>
        <w:t xml:space="preserve">. Moreover, those advancing claims based on potential confusion do not assert that the overlapping federal and state schemes in fact are difficult to untangle. The purported confusion arises instead from the formal features of an overlapping programme, such as federal regulation Of schools, or State governments being forced to regulate in accordance with a federal plan. The concern is not that interested citizens will have difficulty discovering where to lay the blame. Instead, the fear is for the potential confusion of citizens who do not attempt to uncover the ultimate culprit. </w:t>
      </w:r>
      <w:r w:rsidRPr="00B004C2">
        <w:rPr>
          <w:rStyle w:val="StyleUnderline"/>
        </w:rPr>
        <w:t>The assumption appears to be that citizens</w:t>
      </w:r>
      <w:r>
        <w:rPr>
          <w:rStyle w:val="StyleUnderline"/>
        </w:rPr>
        <w:t xml:space="preserve"> </w:t>
      </w:r>
      <w:r w:rsidRPr="00B004C2">
        <w:rPr>
          <w:rStyle w:val="StyleUnderline"/>
        </w:rPr>
        <w:t>will not engage in in-depth investigation</w:t>
      </w:r>
      <w:r>
        <w:t xml:space="preserve">. </w:t>
      </w:r>
      <w:r w:rsidRPr="00B004C2">
        <w:rPr>
          <w:rStyle w:val="Emphasis"/>
        </w:rPr>
        <w:t>Once citizens become aware of a problem, however, they should have</w:t>
      </w:r>
      <w:r>
        <w:rPr>
          <w:rStyle w:val="Emphasis"/>
        </w:rPr>
        <w:t xml:space="preserve"> </w:t>
      </w:r>
      <w:r w:rsidRPr="00B004C2">
        <w:rPr>
          <w:rStyle w:val="Emphasis"/>
        </w:rPr>
        <w:t>little difficulty assigning blame properly</w:t>
      </w:r>
      <w:r>
        <w:t xml:space="preserve">. </w:t>
      </w:r>
      <w:r w:rsidRPr="00B004C2">
        <w:rPr>
          <w:rStyle w:val="StyleUnderline"/>
        </w:rPr>
        <w:t>Indeed, concurrent authority</w:t>
      </w:r>
      <w:r>
        <w:rPr>
          <w:rStyle w:val="StyleUnderline"/>
        </w:rPr>
        <w:t xml:space="preserve"> </w:t>
      </w:r>
      <w:r w:rsidRPr="00B004C2">
        <w:rPr>
          <w:rStyle w:val="StyleUnderline"/>
        </w:rPr>
        <w:t xml:space="preserve">may </w:t>
      </w:r>
      <w:r w:rsidRPr="00B004C2">
        <w:rPr>
          <w:rStyle w:val="Emphasis"/>
        </w:rPr>
        <w:t>promote accountability</w:t>
      </w:r>
      <w:r>
        <w:t xml:space="preserve">. As part of the No Child Left Behind Act of 2002, for example, the federal government required States to publicise certain performance data so as to give parents the tools to evaluate their school systems. 23 In presenting the proposal, the Bush Administration characterised it as a 'flexibility for accountability bargain'. </w:t>
      </w:r>
      <w:r w:rsidRPr="00B004C2">
        <w:rPr>
          <w:rStyle w:val="StyleUnderline"/>
        </w:rPr>
        <w:t>To be sure,</w:t>
      </w:r>
      <w:r>
        <w:rPr>
          <w:rStyle w:val="StyleUnderline"/>
        </w:rPr>
        <w:t xml:space="preserve"> </w:t>
      </w:r>
      <w:r w:rsidRPr="00B004C2">
        <w:rPr>
          <w:rStyle w:val="StyleUnderline"/>
        </w:rPr>
        <w:t>accountability remains a critical component of governance, but a poly-</w:t>
      </w:r>
      <w:r>
        <w:rPr>
          <w:rStyle w:val="StyleUnderline"/>
        </w:rPr>
        <w:t xml:space="preserve"> </w:t>
      </w:r>
      <w:r w:rsidRPr="00B004C2">
        <w:rPr>
          <w:rStyle w:val="StyleUnderline"/>
        </w:rPr>
        <w:t xml:space="preserve">phonic conception of federalism can </w:t>
      </w:r>
      <w:r w:rsidRPr="00B004C2">
        <w:rPr>
          <w:rStyle w:val="Emphasis"/>
        </w:rPr>
        <w:t>promote accountability</w:t>
      </w:r>
      <w:r w:rsidRPr="00B004C2">
        <w:rPr>
          <w:rStyle w:val="StyleUnderline"/>
        </w:rPr>
        <w:t>, rather than</w:t>
      </w:r>
      <w:r>
        <w:rPr>
          <w:rStyle w:val="StyleUnderline"/>
        </w:rPr>
        <w:t xml:space="preserve"> </w:t>
      </w:r>
      <w:r w:rsidRPr="00B004C2">
        <w:rPr>
          <w:rStyle w:val="StyleUnderline"/>
        </w:rPr>
        <w:t>undermine it</w:t>
      </w:r>
      <w:r>
        <w:t xml:space="preserve">. </w:t>
      </w:r>
      <w:r w:rsidRPr="00B004C2">
        <w:t>In addition to the systemic benefits of dialogue and redundancy dis-</w:t>
      </w:r>
      <w:r>
        <w:t xml:space="preserve"> </w:t>
      </w:r>
      <w:r w:rsidRPr="00B004C2">
        <w:t>cussed above, the vast overlap and intersection of federal and state areas of</w:t>
      </w:r>
      <w:r>
        <w:t xml:space="preserve"> </w:t>
      </w:r>
      <w:r w:rsidRPr="00B004C2">
        <w:t>regulation has produced another feature of supreme importance to feder-</w:t>
      </w:r>
      <w:r>
        <w:t xml:space="preserve"> </w:t>
      </w:r>
      <w:r w:rsidRPr="00B004C2">
        <w:t>alism in the United States: the lack Of rigidly defined spheres has allowed</w:t>
      </w:r>
      <w:r>
        <w:t xml:space="preserve"> </w:t>
      </w:r>
      <w:r w:rsidRPr="00B004C2">
        <w:t xml:space="preserve">States to retain their significance in the face Of strong nationalising forces. </w:t>
      </w:r>
    </w:p>
    <w:p w:rsidR="00C81BC7" w:rsidRDefault="00C81BC7" w:rsidP="00C81BC7">
      <w:pPr>
        <w:pStyle w:val="Heading3"/>
      </w:pPr>
      <w:r>
        <w:t>Solvency – states fail</w:t>
      </w:r>
    </w:p>
    <w:p w:rsidR="00C81BC7" w:rsidRDefault="00B004C2" w:rsidP="00C81BC7">
      <w:pPr>
        <w:pStyle w:val="Heading4"/>
      </w:pPr>
      <w:r>
        <w:t xml:space="preserve">States fail </w:t>
      </w:r>
      <w:r w:rsidRPr="00B004C2">
        <w:rPr>
          <w:u w:val="single"/>
        </w:rPr>
        <w:t>even with fiat</w:t>
      </w:r>
      <w:r>
        <w:t>---they lack relationships and trust with district leaders</w:t>
      </w:r>
    </w:p>
    <w:p w:rsidR="00C81BC7" w:rsidRPr="0073550C" w:rsidRDefault="00C81BC7" w:rsidP="00C81BC7">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C81BC7" w:rsidRDefault="00C81BC7" w:rsidP="00C81BC7">
      <w:r>
        <w:t>As the state role in education continues to grow and evolve, it is important to</w:t>
      </w:r>
      <w:r w:rsidR="00B004C2">
        <w:t xml:space="preserve"> </w:t>
      </w:r>
      <w:r>
        <w:t xml:space="preserve">recognize that </w:t>
      </w:r>
      <w:r w:rsidRPr="00B004C2">
        <w:rPr>
          <w:rStyle w:val="StyleUnderline"/>
        </w:rPr>
        <w:t>all SEAs are not the same—each state’s education agency has a unique</w:t>
      </w:r>
      <w:r w:rsidR="00B004C2">
        <w:rPr>
          <w:rStyle w:val="StyleUnderline"/>
        </w:rPr>
        <w:t xml:space="preserve"> </w:t>
      </w:r>
      <w:r w:rsidRPr="00B004C2">
        <w:rPr>
          <w:rStyle w:val="StyleUnderline"/>
        </w:rPr>
        <w:t>history and operates in a different fiscal, political, statutory, and constitutional context</w:t>
      </w:r>
      <w:r>
        <w:t>.</w:t>
      </w:r>
      <w:r w:rsidR="00B004C2">
        <w:t xml:space="preserve"> </w:t>
      </w:r>
      <w:r>
        <w:t>In particular, states vary significantly in their attachment to local control of schools and</w:t>
      </w:r>
      <w:r w:rsidR="00B004C2">
        <w:t xml:space="preserve"> </w:t>
      </w:r>
      <w:r>
        <w:t>the proper role of the state in education and this has a major impact on how SEAs</w:t>
      </w:r>
      <w:r w:rsidR="00B004C2">
        <w:t xml:space="preserve"> </w:t>
      </w:r>
      <w:r>
        <w:t>Page 14</w:t>
      </w:r>
      <w:r w:rsidR="00B004C2">
        <w:t xml:space="preserve"> </w:t>
      </w:r>
      <w:r>
        <w:t>approach their work. States vary widely in the amount of centralization/standardization</w:t>
      </w:r>
      <w:r w:rsidR="00B004C2">
        <w:t xml:space="preserve"> </w:t>
      </w:r>
      <w:r>
        <w:t>they have mandated in their policies—either in statute or in regulation—and this has a</w:t>
      </w:r>
      <w:r w:rsidR="00B004C2">
        <w:t xml:space="preserve"> </w:t>
      </w:r>
      <w:r>
        <w:t>major impact on the SEA’s approach to supporting school districts. A clear tension exists</w:t>
      </w:r>
      <w:r w:rsidR="00B004C2">
        <w:t xml:space="preserve"> </w:t>
      </w:r>
      <w:r>
        <w:t>between districts’ desire for flexibility to adopt policies that local officials see as best</w:t>
      </w:r>
      <w:r w:rsidR="00B004C2">
        <w:t xml:space="preserve"> </w:t>
      </w:r>
      <w:r>
        <w:t>suited to their particular circumstances, some states' desire for more uniform policy, and</w:t>
      </w:r>
      <w:r w:rsidR="00B004C2">
        <w:t xml:space="preserve"> </w:t>
      </w:r>
      <w:r>
        <w:t>SEAs’ limited capacity to provide oversight and implementation support for widely</w:t>
      </w:r>
      <w:r w:rsidR="00B004C2">
        <w:t xml:space="preserve"> </w:t>
      </w:r>
      <w:r>
        <w:t>divergent district approaches.26</w:t>
      </w:r>
      <w:r w:rsidR="00B004C2">
        <w:t xml:space="preserve"> </w:t>
      </w:r>
      <w:r>
        <w:t xml:space="preserve">As a recent Fordham Institute analysis noted, </w:t>
      </w:r>
      <w:r w:rsidRPr="00B004C2">
        <w:rPr>
          <w:rStyle w:val="StyleUnderline"/>
        </w:rPr>
        <w:t>many states are simply</w:t>
      </w:r>
      <w:r w:rsidR="00B004C2">
        <w:rPr>
          <w:rStyle w:val="StyleUnderline"/>
        </w:rPr>
        <w:t xml:space="preserve"> </w:t>
      </w:r>
      <w:r w:rsidRPr="00B004C2">
        <w:rPr>
          <w:rStyle w:val="StyleUnderline"/>
        </w:rPr>
        <w:t>philosophically opposed to an active SEA role</w:t>
      </w:r>
      <w:r>
        <w:t xml:space="preserve"> and resistant to the idea of standardizing</w:t>
      </w:r>
      <w:r w:rsidR="00B004C2">
        <w:t xml:space="preserve"> </w:t>
      </w:r>
      <w:r>
        <w:t>policies across districts.</w:t>
      </w:r>
      <w:r w:rsidR="00B004C2">
        <w:t xml:space="preserve"> </w:t>
      </w:r>
      <w:r>
        <w:t xml:space="preserve">27 </w:t>
      </w:r>
      <w:r w:rsidRPr="00B004C2">
        <w:rPr>
          <w:rStyle w:val="StyleUnderline"/>
        </w:rPr>
        <w:t>There are also constitutional limitations on the role of the SEA</w:t>
      </w:r>
      <w:r w:rsidR="00B004C2">
        <w:rPr>
          <w:rStyle w:val="StyleUnderline"/>
        </w:rPr>
        <w:t xml:space="preserve"> </w:t>
      </w:r>
      <w:r w:rsidRPr="00B004C2">
        <w:rPr>
          <w:rStyle w:val="StyleUnderline"/>
        </w:rPr>
        <w:t>in some states such as Colorado</w:t>
      </w:r>
      <w:r>
        <w:t>. Tennessee State Board of Education Director Sara</w:t>
      </w:r>
      <w:r w:rsidR="00B004C2">
        <w:t xml:space="preserve"> </w:t>
      </w:r>
      <w:r>
        <w:t>Heyburn has added that “</w:t>
      </w:r>
      <w:r w:rsidRPr="00B004C2">
        <w:rPr>
          <w:rStyle w:val="StyleUnderline"/>
        </w:rPr>
        <w:t>the state role varies drastically from state to state in terms of</w:t>
      </w:r>
      <w:r w:rsidR="00B004C2">
        <w:rPr>
          <w:rStyle w:val="StyleUnderline"/>
        </w:rPr>
        <w:t xml:space="preserve"> </w:t>
      </w:r>
      <w:r w:rsidRPr="00B004C2">
        <w:rPr>
          <w:rStyle w:val="StyleUnderline"/>
        </w:rPr>
        <w:t>how much local control exists. It has huge implications for what the state attempts to do</w:t>
      </w:r>
      <w:r w:rsidR="00B004C2">
        <w:rPr>
          <w:rStyle w:val="StyleUnderline"/>
        </w:rPr>
        <w:t xml:space="preserve"> </w:t>
      </w:r>
      <w:r w:rsidRPr="00B004C2">
        <w:rPr>
          <w:rStyle w:val="StyleUnderline"/>
        </w:rPr>
        <w:t>or doesn’t do and the kinds of support you offer at the state level versus how you</w:t>
      </w:r>
      <w:r w:rsidR="00B004C2">
        <w:rPr>
          <w:rStyle w:val="StyleUnderline"/>
        </w:rPr>
        <w:t xml:space="preserve"> </w:t>
      </w:r>
      <w:r w:rsidRPr="00B004C2">
        <w:rPr>
          <w:rStyle w:val="StyleUnderline"/>
        </w:rPr>
        <w:t>facilitate the right things to be happening at the district level</w:t>
      </w:r>
      <w:r>
        <w:t xml:space="preserve">.” Furthermore, </w:t>
      </w:r>
      <w:r w:rsidRPr="00B004C2">
        <w:rPr>
          <w:rStyle w:val="Emphasis"/>
        </w:rPr>
        <w:t>even where</w:t>
      </w:r>
      <w:r w:rsidR="00B004C2">
        <w:rPr>
          <w:rStyle w:val="Emphasis"/>
        </w:rPr>
        <w:t xml:space="preserve"> </w:t>
      </w:r>
      <w:r w:rsidRPr="00B004C2">
        <w:rPr>
          <w:rStyle w:val="Emphasis"/>
        </w:rPr>
        <w:t>an SEA may have the resources and constitutional and statutory authority to be active in</w:t>
      </w:r>
      <w:r w:rsidR="00B004C2">
        <w:rPr>
          <w:rStyle w:val="Emphasis"/>
        </w:rPr>
        <w:t xml:space="preserve"> </w:t>
      </w:r>
      <w:r w:rsidRPr="00B004C2">
        <w:rPr>
          <w:rStyle w:val="Emphasis"/>
        </w:rPr>
        <w:t>education policy</w:t>
      </w:r>
      <w:r>
        <w:t xml:space="preserve">, </w:t>
      </w:r>
      <w:r w:rsidRPr="00B004C2">
        <w:rPr>
          <w:rStyle w:val="StyleUnderline"/>
        </w:rPr>
        <w:t>it may lack the relationships and trust with district leaders that are</w:t>
      </w:r>
      <w:r w:rsidR="00B004C2">
        <w:rPr>
          <w:rStyle w:val="StyleUnderline"/>
        </w:rPr>
        <w:t xml:space="preserve"> </w:t>
      </w:r>
      <w:r w:rsidRPr="00B004C2">
        <w:rPr>
          <w:rStyle w:val="StyleUnderline"/>
        </w:rPr>
        <w:t>essential to ensure effective collaboration</w:t>
      </w:r>
      <w:r>
        <w:t xml:space="preserve">. </w:t>
      </w:r>
    </w:p>
    <w:p w:rsidR="00C81BC7" w:rsidRDefault="00B004C2" w:rsidP="00C81BC7">
      <w:pPr>
        <w:pStyle w:val="Heading4"/>
      </w:pPr>
      <w:r>
        <w:t>States don’t have the resources to effectively enforce the CP</w:t>
      </w:r>
    </w:p>
    <w:p w:rsidR="00C81BC7" w:rsidRPr="0073550C" w:rsidRDefault="00C81BC7" w:rsidP="00C81BC7">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C81BC7" w:rsidRDefault="00C81BC7" w:rsidP="00C81BC7">
      <w:r>
        <w:t>Despite the clear need for SEAs and districts to provide sustained support to</w:t>
      </w:r>
      <w:r w:rsidR="00B004C2">
        <w:t xml:space="preserve"> </w:t>
      </w:r>
      <w:r>
        <w:t xml:space="preserve">schools, </w:t>
      </w:r>
      <w:r w:rsidRPr="00B004C2">
        <w:rPr>
          <w:rStyle w:val="StyleUnderline"/>
        </w:rPr>
        <w:t>significant capacity issues persist</w:t>
      </w:r>
      <w:r>
        <w:t>.</w:t>
      </w:r>
      <w:r w:rsidR="00B004C2">
        <w:t xml:space="preserve"> </w:t>
      </w:r>
      <w:r>
        <w:t>33 Daniel Weisberg of TNTP believes “that</w:t>
      </w:r>
      <w:r w:rsidR="00B004C2">
        <w:t xml:space="preserve"> </w:t>
      </w:r>
      <w:r w:rsidRPr="00B004C2">
        <w:rPr>
          <w:rStyle w:val="StyleUnderline"/>
        </w:rPr>
        <w:t>capacity is a huge challenge at the state level. State departments of education often just</w:t>
      </w:r>
      <w:r w:rsidR="00B004C2">
        <w:rPr>
          <w:rStyle w:val="StyleUnderline"/>
        </w:rPr>
        <w:t xml:space="preserve"> </w:t>
      </w:r>
      <w:r w:rsidRPr="00B004C2">
        <w:rPr>
          <w:rStyle w:val="Emphasis"/>
        </w:rPr>
        <w:t>don’t have the resources</w:t>
      </w:r>
      <w:r w:rsidRPr="00B004C2">
        <w:rPr>
          <w:rStyle w:val="StyleUnderline"/>
        </w:rPr>
        <w:t xml:space="preserve"> to really do a full state-wide rollout of a major initiative and</w:t>
      </w:r>
      <w:r w:rsidR="00B004C2">
        <w:rPr>
          <w:rStyle w:val="StyleUnderline"/>
        </w:rPr>
        <w:t xml:space="preserve"> </w:t>
      </w:r>
      <w:r w:rsidRPr="00B004C2">
        <w:rPr>
          <w:rStyle w:val="StyleUnderline"/>
        </w:rPr>
        <w:t>ensure quality implementation in every district.</w:t>
      </w:r>
      <w:r>
        <w:t xml:space="preserve"> Race to the Top required them to go</w:t>
      </w:r>
      <w:r w:rsidR="00B004C2">
        <w:t xml:space="preserve"> </w:t>
      </w:r>
      <w:r>
        <w:t>beyond policy to actually be the implementers and that’s a very different role."</w:t>
      </w:r>
      <w:r w:rsidR="00B004C2">
        <w:t xml:space="preserve"> </w:t>
      </w:r>
      <w:r>
        <w:t>Weisberg is hardly alone in his concern about SEAs’ lack of capacity to fulfill</w:t>
      </w:r>
      <w:r w:rsidR="00B004C2">
        <w:t xml:space="preserve"> </w:t>
      </w:r>
      <w:r>
        <w:t xml:space="preserve">their expanding responsibilities. Given the current tight fiscal climate, </w:t>
      </w:r>
      <w:r w:rsidRPr="00B004C2">
        <w:rPr>
          <w:rStyle w:val="StyleUnderline"/>
        </w:rPr>
        <w:t>most states have</w:t>
      </w:r>
      <w:r w:rsidR="00B004C2">
        <w:rPr>
          <w:rStyle w:val="StyleUnderline"/>
        </w:rPr>
        <w:t xml:space="preserve"> </w:t>
      </w:r>
      <w:r w:rsidRPr="00B004C2">
        <w:rPr>
          <w:rStyle w:val="StyleUnderline"/>
        </w:rPr>
        <w:t>been unable or unwilling to allocate new money to support the implementation of new</w:t>
      </w:r>
      <w:r w:rsidR="00B004C2">
        <w:rPr>
          <w:rStyle w:val="StyleUnderline"/>
        </w:rPr>
        <w:t xml:space="preserve"> </w:t>
      </w:r>
      <w:r w:rsidRPr="00B004C2">
        <w:rPr>
          <w:rStyle w:val="StyleUnderline"/>
        </w:rPr>
        <w:t xml:space="preserve">reforms </w:t>
      </w:r>
      <w:r>
        <w:t>initiated in the wake of NCLB and Race to the Top. In a 2011 survey of SEAs,</w:t>
      </w:r>
      <w:r w:rsidR="00B004C2">
        <w:t xml:space="preserve"> </w:t>
      </w:r>
      <w:r>
        <w:t xml:space="preserve">Cynthia Brown and her colleagues noted that </w:t>
      </w:r>
      <w:r w:rsidRPr="00B004C2">
        <w:rPr>
          <w:rStyle w:val="StyleUnderline"/>
        </w:rPr>
        <w:t>a wave of recent reforms had “put immense</w:t>
      </w:r>
      <w:r w:rsidR="00B004C2">
        <w:rPr>
          <w:rStyle w:val="StyleUnderline"/>
        </w:rPr>
        <w:t xml:space="preserve"> </w:t>
      </w:r>
      <w:r w:rsidRPr="00B004C2">
        <w:rPr>
          <w:rStyle w:val="StyleUnderline"/>
        </w:rPr>
        <w:t>stress on agencies that were originally conceived as tiny departments primarily designed</w:t>
      </w:r>
      <w:r w:rsidR="00B004C2">
        <w:rPr>
          <w:rStyle w:val="StyleUnderline"/>
        </w:rPr>
        <w:t xml:space="preserve"> </w:t>
      </w:r>
      <w:r w:rsidRPr="00B004C2">
        <w:rPr>
          <w:rStyle w:val="StyleUnderline"/>
        </w:rPr>
        <w:t>to funnel money to local school districts</w:t>
      </w:r>
      <w:r>
        <w:t>. Yet it is not at all clear that state education</w:t>
      </w:r>
      <w:r w:rsidR="00B004C2">
        <w:t xml:space="preserve"> </w:t>
      </w:r>
      <w:r>
        <w:t>agencies are prepared for this demanding new role.”34 Former Louisiana Superintendent</w:t>
      </w:r>
      <w:r w:rsidR="00B004C2">
        <w:t xml:space="preserve"> </w:t>
      </w:r>
      <w:r>
        <w:t xml:space="preserve">Paul Pastorek has expressed concern that the USED and </w:t>
      </w:r>
      <w:r w:rsidRPr="00B004C2">
        <w:rPr>
          <w:rStyle w:val="StyleUnderline"/>
        </w:rPr>
        <w:t>many states have been</w:t>
      </w:r>
      <w:r w:rsidR="00B004C2">
        <w:rPr>
          <w:rStyle w:val="StyleUnderline"/>
        </w:rPr>
        <w:t xml:space="preserve"> </w:t>
      </w:r>
      <w:r w:rsidRPr="00B004C2">
        <w:rPr>
          <w:rStyle w:val="StyleUnderline"/>
        </w:rPr>
        <w:t>insufficiently attuned to these capacity deficits</w:t>
      </w:r>
      <w:r>
        <w:t xml:space="preserve">, saying, “I think </w:t>
      </w:r>
      <w:r w:rsidRPr="00B004C2">
        <w:rPr>
          <w:rStyle w:val="StyleUnderline"/>
        </w:rPr>
        <w:t>some [states] may be</w:t>
      </w:r>
      <w:r w:rsidR="00B004C2">
        <w:rPr>
          <w:rStyle w:val="StyleUnderline"/>
        </w:rPr>
        <w:t xml:space="preserve"> </w:t>
      </w:r>
      <w:r w:rsidRPr="00B004C2">
        <w:rPr>
          <w:rStyle w:val="StyleUnderline"/>
        </w:rPr>
        <w:t>underestimating the resources and energy that</w:t>
      </w:r>
      <w:r>
        <w:t xml:space="preserve"> these kinds of </w:t>
      </w:r>
      <w:r w:rsidRPr="00B004C2">
        <w:rPr>
          <w:rStyle w:val="StyleUnderline"/>
        </w:rPr>
        <w:t>initiatives require . . . state</w:t>
      </w:r>
      <w:r w:rsidR="00B004C2">
        <w:rPr>
          <w:rStyle w:val="StyleUnderline"/>
        </w:rPr>
        <w:t xml:space="preserve"> </w:t>
      </w:r>
      <w:r w:rsidRPr="00B004C2">
        <w:rPr>
          <w:rStyle w:val="StyleUnderline"/>
        </w:rPr>
        <w:t xml:space="preserve">departments of education are </w:t>
      </w:r>
      <w:r w:rsidRPr="00B004C2">
        <w:rPr>
          <w:rStyle w:val="Emphasis"/>
        </w:rPr>
        <w:t>not designed</w:t>
      </w:r>
      <w:r w:rsidRPr="00B004C2">
        <w:rPr>
          <w:rStyle w:val="StyleUnderline"/>
        </w:rPr>
        <w:t xml:space="preserve"> to implement these programs.”</w:t>
      </w:r>
      <w:r>
        <w:t>35</w:t>
      </w:r>
    </w:p>
    <w:p w:rsidR="00AB33B0" w:rsidRDefault="00AB33B0" w:rsidP="00AB33B0">
      <w:pPr>
        <w:pStyle w:val="Heading4"/>
      </w:pPr>
      <w:r>
        <w:t>They can’t enforce effectively---too short of legislative sessions</w:t>
      </w:r>
    </w:p>
    <w:p w:rsidR="00AB33B0" w:rsidRPr="00050E5F" w:rsidRDefault="00AB33B0" w:rsidP="00AB33B0">
      <w:r w:rsidRPr="0008134C">
        <w:rPr>
          <w:rStyle w:val="Style13ptBold"/>
        </w:rPr>
        <w:t>Shober 10</w:t>
      </w:r>
      <w:r>
        <w:t xml:space="preserve"> – PhD, professor of government @ Lawrence U (Arnold, “Splintered Accountability State Governance and Education Reform,” State University of New York Press, p. 204)</w:t>
      </w:r>
    </w:p>
    <w:p w:rsidR="00C81BC7" w:rsidRDefault="00AB33B0" w:rsidP="00C81BC7">
      <w:r>
        <w:t xml:space="preserve">Third, </w:t>
      </w:r>
      <w:r w:rsidRPr="00B004C2">
        <w:rPr>
          <w:rStyle w:val="StyleUnderline"/>
        </w:rPr>
        <w:t>state legislatures have not had the resources to monitor the activity of state agencies to the same extent as the U.S. Congress might have.</w:t>
      </w:r>
      <w:r>
        <w:t xml:space="preserve"> This is particularly true in Georgia, where </w:t>
      </w:r>
      <w:r w:rsidRPr="00B004C2">
        <w:rPr>
          <w:rStyle w:val="Emphasis"/>
        </w:rPr>
        <w:t>the short legislative session</w:t>
      </w:r>
      <w:r>
        <w:t xml:space="preserve"> (three months a year) </w:t>
      </w:r>
      <w:r w:rsidRPr="00B004C2">
        <w:rPr>
          <w:rStyle w:val="Emphasis"/>
        </w:rPr>
        <w:t>precludes any day-to-day oversight</w:t>
      </w:r>
      <w:r>
        <w:t xml:space="preserve">. </w:t>
      </w:r>
      <w:r w:rsidRPr="00B004C2">
        <w:rPr>
          <w:rStyle w:val="StyleUnderline"/>
        </w:rPr>
        <w:t>Balla and Wright</w:t>
      </w:r>
      <w:r>
        <w:t xml:space="preserve"> (2001) </w:t>
      </w:r>
      <w:r w:rsidRPr="00B004C2">
        <w:rPr>
          <w:rStyle w:val="StyleUnderline"/>
        </w:rPr>
        <w:t>argue that interest groups may fi ll this role; but</w:t>
      </w:r>
      <w:r>
        <w:t xml:space="preserve">, as I argued in chapter 5, </w:t>
      </w:r>
      <w:r w:rsidRPr="00B004C2">
        <w:rPr>
          <w:rStyle w:val="StyleUnderline"/>
        </w:rPr>
        <w:t>state education agencies can “manage” interest groups, therefore, interest group oversight is suspect. This appeared in Ohio</w:t>
      </w:r>
      <w:r>
        <w:t>, particularly when every major interest group opposed the department’s linking of school fi nance to school performance. The department’s view was still privileged. I</w:t>
      </w:r>
      <w:r w:rsidRPr="00B004C2">
        <w:rPr>
          <w:rStyle w:val="StyleUnderline"/>
        </w:rPr>
        <w:t>n Wisconsin, the legislature has better resources than many states, but the DPI still provides the data and often the analysis to the state’s research burea</w:t>
      </w:r>
      <w:r>
        <w:t>u.</w:t>
      </w:r>
    </w:p>
    <w:p w:rsidR="00B004C2" w:rsidRPr="00AA0D15" w:rsidRDefault="00B004C2" w:rsidP="00B004C2">
      <w:pPr>
        <w:pStyle w:val="Heading3"/>
        <w:rPr>
          <w:rFonts w:cs="Times New Roman"/>
        </w:rPr>
      </w:pPr>
      <w:r>
        <w:rPr>
          <w:rFonts w:cs="Times New Roman"/>
        </w:rPr>
        <w:t>Solvency – for STEM</w:t>
      </w:r>
    </w:p>
    <w:p w:rsidR="00B004C2" w:rsidRPr="00AA0D15" w:rsidRDefault="00B004C2" w:rsidP="00B004C2">
      <w:pPr>
        <w:pStyle w:val="Heading4"/>
        <w:rPr>
          <w:rFonts w:cs="Times New Roman"/>
        </w:rPr>
      </w:pPr>
      <w:r w:rsidRPr="00AA0D15">
        <w:rPr>
          <w:rFonts w:cs="Times New Roman"/>
        </w:rPr>
        <w:t>Even if states increase support for STEM, federal decrease in support kills solvency</w:t>
      </w:r>
    </w:p>
    <w:p w:rsidR="00B004C2" w:rsidRPr="00AA0D15" w:rsidRDefault="00B004C2" w:rsidP="00B004C2">
      <w:r w:rsidRPr="00AA0D15">
        <w:rPr>
          <w:b/>
        </w:rPr>
        <w:t xml:space="preserve">Powell 16 --- </w:t>
      </w:r>
      <w:r w:rsidRPr="00AA0D15">
        <w:t>Devin Powell is a freelance science journalist. His work has been published by the New York Times, the Washington Post, Nature, National Geographic</w:t>
      </w:r>
      <w:r w:rsidRPr="00AA0D15">
        <w:rPr>
          <w:b/>
        </w:rPr>
        <w:t xml:space="preserve">,  </w:t>
      </w:r>
      <w:r w:rsidRPr="00AA0D15">
        <w:t>(12/5/16 “Trump's First 100 Days: Science Education and Schools”, https://www.scientificamerican.com/article/trumps-first-100-days-science-education-and-schools/)//ET</w:t>
      </w:r>
    </w:p>
    <w:p w:rsidR="00B004C2" w:rsidRPr="00AA0D15" w:rsidRDefault="00B004C2" w:rsidP="00B004C2">
      <w:pPr>
        <w:rPr>
          <w:rStyle w:val="Emphasis"/>
        </w:rPr>
      </w:pPr>
      <w:r w:rsidRPr="00AA0D15">
        <w:t xml:space="preserve">If the Trump administration has any influence on curricula, it could well be via the antiscience rhetoric of its inner circle. Pence has publicly supported the teaching of creationism. Myron Ebell, head of transitioning the U.S. Environmental Protection Agency and director of the Center of Energy and Environment at the Competitive Enterprise Institute, is a vocal climate change skeptic. So is Trump, who tweeted in 2012 “the concept of climate change was created by and for the Chinese.” (The Chinese have corrected him.) </w:t>
      </w:r>
      <w:r w:rsidRPr="00AA0D15">
        <w:rPr>
          <w:rStyle w:val="StyleUnderline"/>
        </w:rPr>
        <w:t xml:space="preserve">Science education advocates warn the </w:t>
      </w:r>
      <w:r w:rsidRPr="00AA0D15">
        <w:rPr>
          <w:rStyle w:val="Emphasis"/>
        </w:rPr>
        <w:t>legitimization of such nonscientific views at the highest levels of government could trickle down to local policies.</w:t>
      </w:r>
      <w:r w:rsidRPr="00AA0D15">
        <w:t xml:space="preserve"> </w:t>
      </w:r>
      <w:r w:rsidRPr="00AA0D15">
        <w:rPr>
          <w:rStyle w:val="StyleUnderline"/>
        </w:rPr>
        <w:t>Education boards in several states</w:t>
      </w:r>
      <w:r w:rsidRPr="00AA0D15">
        <w:t xml:space="preserve">, such as Louisiana and Texas, </w:t>
      </w:r>
      <w:r w:rsidRPr="00AA0D15">
        <w:rPr>
          <w:rStyle w:val="StyleUnderline"/>
        </w:rPr>
        <w:t>have already been battling over how evolution and climate change should be taught, as have state legislatures considering bills that would allow teachers to treat these subjects as controversial</w:t>
      </w:r>
      <w:r w:rsidRPr="00AA0D15">
        <w:t xml:space="preserve">. Nearly all of </w:t>
      </w:r>
      <w:r w:rsidRPr="00AA0D15">
        <w:rPr>
          <w:rStyle w:val="Emphasis"/>
        </w:rPr>
        <w:t>this legislation has emerged in states that were won by Trump. “</w:t>
      </w:r>
      <w:r w:rsidRPr="00AA0D15">
        <w:t xml:space="preserve">We see 10 to 12 of the bills every year, and their intent is clearly to give teachers cover to teach nonscience in science classrooms,” says Ann Reid, executive director of the National Center for Science Education (NCSE). “None have passed recently, but </w:t>
      </w:r>
      <w:r w:rsidRPr="00AA0D15">
        <w:rPr>
          <w:rStyle w:val="StyleUnderline"/>
        </w:rPr>
        <w:t>there’s a danger that the people introducing these bills and school boards trying to change standards will be emboldened</w:t>
      </w:r>
      <w:r w:rsidRPr="00AA0D15">
        <w:t xml:space="preserve">.” According to Reid, NCSE surveys suggest that </w:t>
      </w:r>
      <w:r w:rsidRPr="00AA0D15">
        <w:rPr>
          <w:rStyle w:val="StyleUnderline"/>
        </w:rPr>
        <w:t>many teachers avoid teaching evolution and climate change, concerned that parents will complain</w:t>
      </w:r>
      <w:r w:rsidRPr="00AA0D15">
        <w:t xml:space="preserve">. She predicts community pressure around these issues will only increase. Just as White House rhetoric could influence what is taught in classrooms, </w:t>
      </w:r>
      <w:r w:rsidRPr="00AA0D15">
        <w:rPr>
          <w:rStyle w:val="Emphasis"/>
        </w:rPr>
        <w:t>silence on STEM or other education issues like diversity could also have an impact</w:t>
      </w:r>
      <w:r w:rsidRPr="00AA0D15">
        <w:t xml:space="preserve">, cautions Quincy Brown, program director for STEM Education Research at the American Association for the Advancement of Science. She highlighted </w:t>
      </w:r>
      <w:r w:rsidRPr="00AA0D15">
        <w:rPr>
          <w:rStyle w:val="StyleUnderline"/>
        </w:rPr>
        <w:t>Obama’s 2011 State of the Union call to train 100,000 new STEM teacher</w:t>
      </w:r>
      <w:r w:rsidRPr="00AA0D15">
        <w:t>s; the coalition of public, private and nonprofit organizations that formed in response, 100Kin10, reported that 30,000 new teachers have been trained to date. “</w:t>
      </w:r>
      <w:r w:rsidRPr="00AA0D15">
        <w:rPr>
          <w:rStyle w:val="StyleUnderline"/>
        </w:rPr>
        <w:t xml:space="preserve">These kinds of initiatives </w:t>
      </w:r>
      <w:r w:rsidRPr="00AA0D15">
        <w:rPr>
          <w:rStyle w:val="Emphasis"/>
        </w:rPr>
        <w:t>motivate the educational community</w:t>
      </w:r>
      <w:r w:rsidRPr="00AA0D15">
        <w:rPr>
          <w:rStyle w:val="StyleUnderline"/>
        </w:rPr>
        <w:t xml:space="preserve">,” </w:t>
      </w:r>
      <w:r w:rsidRPr="00AA0D15">
        <w:t xml:space="preserve">Brown says. </w:t>
      </w:r>
      <w:r w:rsidRPr="00AA0D15">
        <w:rPr>
          <w:rStyle w:val="Emphasis"/>
        </w:rPr>
        <w:t>“If messages like that are not coming from the top, I wonder whether there will be a shift in priorities.”</w:t>
      </w:r>
    </w:p>
    <w:p w:rsidR="00B004C2" w:rsidRPr="00AA0D15" w:rsidRDefault="00B004C2" w:rsidP="00B004C2"/>
    <w:p w:rsidR="00B004C2" w:rsidRPr="00AA0D15" w:rsidRDefault="00B004C2" w:rsidP="00B004C2">
      <w:pPr>
        <w:pStyle w:val="Heading4"/>
        <w:rPr>
          <w:rFonts w:cs="Times New Roman"/>
        </w:rPr>
      </w:pPr>
      <w:r w:rsidRPr="00AA0D15">
        <w:rPr>
          <w:rFonts w:cs="Times New Roman"/>
        </w:rPr>
        <w:t>States follow on and get flexibility under federal policy</w:t>
      </w:r>
    </w:p>
    <w:p w:rsidR="00B004C2" w:rsidRPr="00AA0D15" w:rsidRDefault="00B004C2" w:rsidP="00B004C2">
      <w:r w:rsidRPr="00AA0D15">
        <w:rPr>
          <w:b/>
        </w:rPr>
        <w:t xml:space="preserve">Carmichael 17 --- </w:t>
      </w:r>
      <w:r w:rsidRPr="00AA0D15">
        <w:t>PhD equivalent, EdD Education Leadership, Management and Policy from Seton University. (Courtney, “A State-by-State Policy Analysis of STEM Education for K-12 Public Schools”, http://scholarship.shu.edu/dissertations/2297/)//ET</w:t>
      </w:r>
    </w:p>
    <w:p w:rsidR="00B004C2" w:rsidRPr="00AA0D15" w:rsidRDefault="00B004C2" w:rsidP="00B004C2">
      <w:r w:rsidRPr="00AA0D15">
        <w:rPr>
          <w:rStyle w:val="StyleUnderline"/>
        </w:rPr>
        <w:t>While STEM was only a component of Race to the Top, it was identified as a competitive funding priority.</w:t>
      </w:r>
      <w:r w:rsidRPr="00AA0D15">
        <w:t xml:space="preserve"> </w:t>
      </w:r>
      <w:r w:rsidRPr="00AA0D15">
        <w:rPr>
          <w:rStyle w:val="StyleUnderline"/>
        </w:rPr>
        <w:t>With the federal government supporting STEM initiatives as part of the RTTT grants</w:t>
      </w:r>
      <w:r w:rsidRPr="00AA0D15">
        <w:t xml:space="preserve">, </w:t>
      </w:r>
      <w:r w:rsidRPr="00AA0D15">
        <w:rPr>
          <w:rStyle w:val="Emphasis"/>
        </w:rPr>
        <w:t>subsequently individual states developed policy to address the STEM funding priority in their applications.</w:t>
      </w:r>
      <w:r w:rsidRPr="00AA0D15">
        <w:t xml:space="preserve"> Not all states applied to RTTT with the STEM component, nor did all states apply for the program (for a list of states who applied, see Appendix A). About 20 percent of the state departments of education did not compete in the first round of RTTT funding and therefore no application exists for research purposes (USDOE, 2010). Other documents written by governmental officials and representatives address STEM education policy. </w:t>
      </w:r>
    </w:p>
    <w:p w:rsidR="00B004C2" w:rsidRPr="00AA0D15" w:rsidRDefault="00B004C2" w:rsidP="00B004C2"/>
    <w:p w:rsidR="00B004C2" w:rsidRPr="00AA0D15" w:rsidRDefault="00B004C2" w:rsidP="00B004C2">
      <w:pPr>
        <w:pStyle w:val="Heading4"/>
        <w:rPr>
          <w:rFonts w:cs="Times New Roman"/>
        </w:rPr>
      </w:pPr>
      <w:r w:rsidRPr="00AA0D15">
        <w:rPr>
          <w:rFonts w:cs="Times New Roman"/>
        </w:rPr>
        <w:t>Federal government is key to expertise and assets</w:t>
      </w:r>
    </w:p>
    <w:p w:rsidR="00B004C2" w:rsidRPr="00AA0D15" w:rsidRDefault="00B004C2" w:rsidP="00B004C2">
      <w:r w:rsidRPr="00AA0D15">
        <w:rPr>
          <w:b/>
        </w:rPr>
        <w:t xml:space="preserve">NSTC 13 --- </w:t>
      </w:r>
      <w:r w:rsidRPr="00AA0D15">
        <w:t>National Science and Technology Council, in the Executive Office of the President. (“FEDER A L SCIENCE, TECHNOLOGY, ENGINEER ING, A ND M ATHEM AT ICS (STEM) EDUCATION 5-YEAR STR ATEGIC PLAN”, https://www.whitehouse.gov/sites/whitehouse.gov/files/ostp/Federal_STEM_Strategic_Plan.pdf)//ET</w:t>
      </w:r>
    </w:p>
    <w:p w:rsidR="00B004C2" w:rsidRPr="00AA0D15" w:rsidRDefault="00B004C2" w:rsidP="00B004C2">
      <w:pPr>
        <w:rPr>
          <w:rStyle w:val="Emphasis"/>
        </w:rPr>
      </w:pPr>
      <w:r w:rsidRPr="00AA0D15">
        <w:rPr>
          <w:rStyle w:val="Emphasis"/>
        </w:rPr>
        <w:t>Particular agencies</w:t>
      </w:r>
      <w:r w:rsidRPr="00AA0D15">
        <w:t>,</w:t>
      </w:r>
      <w:r w:rsidRPr="00AA0D15">
        <w:rPr>
          <w:rStyle w:val="StyleUnderline"/>
        </w:rPr>
        <w:t xml:space="preserve"> because of their mandates and goals, </w:t>
      </w:r>
      <w:r w:rsidRPr="00AA0D15">
        <w:rPr>
          <w:rStyle w:val="Emphasis"/>
        </w:rPr>
        <w:t>have specific expertise and assets to bring to the Federal STEM education investment in collaboration with the designated lead agencie</w:t>
      </w:r>
      <w:r w:rsidRPr="00AA0D15">
        <w:t>s</w:t>
      </w:r>
      <w:r w:rsidRPr="00AA0D15">
        <w:rPr>
          <w:rStyle w:val="StyleUnderline"/>
        </w:rPr>
        <w:t>. NASA has exciting assets associated with space exploration, and the USDA has networks that reach across the country through 4-H, extension services programs, and regional networks and laboratories</w:t>
      </w:r>
      <w:r w:rsidRPr="00AA0D15">
        <w:t xml:space="preserve">. The NIH oversees traineeship and fellowship programs with a focus on graduate and post-doctoral research that prepare tomorrow’s leading biomedical scientists. In addition, agencies such as NASA, HHS, DOD, DOC, DOE, and USDA support the teaching of mission-related science and engineering through connections to the scientific and technical assets that they oversee. </w:t>
      </w:r>
      <w:r w:rsidRPr="00AA0D15">
        <w:rPr>
          <w:rStyle w:val="StyleUnderline"/>
        </w:rPr>
        <w:t>Many of the CoSTEM agencies invest in or manage scientific, technological, engineering, and mathematics experts, research facilities and technology, data sets, and natural resources that can be leveraged as sites for STEM learning and workforce training.</w:t>
      </w:r>
      <w:r w:rsidRPr="00AA0D15">
        <w:t xml:space="preserve"> Some </w:t>
      </w:r>
      <w:r w:rsidRPr="00AA0D15">
        <w:rPr>
          <w:rStyle w:val="StyleUnderline"/>
        </w:rPr>
        <w:t>agencies</w:t>
      </w:r>
      <w:r w:rsidRPr="00AA0D15">
        <w:t xml:space="preserve"> (e.g., NSF, ED/Institute for Education Sciences) </w:t>
      </w:r>
      <w:r w:rsidRPr="00AA0D15">
        <w:rPr>
          <w:rStyle w:val="StyleUnderline"/>
        </w:rPr>
        <w:t xml:space="preserve">focus on building and gathering evidence about effective professional development practices or models, while others (e.g. ED) have </w:t>
      </w:r>
      <w:r w:rsidRPr="00AA0D15">
        <w:rPr>
          <w:rStyle w:val="Emphasis"/>
        </w:rPr>
        <w:t>mechanisms</w:t>
      </w:r>
      <w:r w:rsidRPr="00AA0D15">
        <w:rPr>
          <w:rStyle w:val="StyleUnderline"/>
        </w:rPr>
        <w:t xml:space="preserve"> for </w:t>
      </w:r>
      <w:r w:rsidRPr="00AA0D15">
        <w:rPr>
          <w:rStyle w:val="Emphasis"/>
        </w:rPr>
        <w:t>scaling up effective practices</w:t>
      </w:r>
      <w:r w:rsidRPr="00AA0D15">
        <w:rPr>
          <w:rStyle w:val="StyleUnderline"/>
        </w:rPr>
        <w:t xml:space="preserve"> or </w:t>
      </w:r>
      <w:r w:rsidRPr="00AA0D15">
        <w:rPr>
          <w:rStyle w:val="Emphasis"/>
        </w:rPr>
        <w:t xml:space="preserve">systemic changes in professional development. </w:t>
      </w:r>
    </w:p>
    <w:p w:rsidR="00B004C2" w:rsidRPr="00AA0D15" w:rsidRDefault="00B004C2" w:rsidP="00B004C2"/>
    <w:p w:rsidR="00B004C2" w:rsidRDefault="00B004C2" w:rsidP="00B004C2">
      <w:pPr>
        <w:pStyle w:val="Heading3"/>
        <w:rPr>
          <w:rFonts w:cs="Times New Roman"/>
        </w:rPr>
      </w:pPr>
      <w:r>
        <w:rPr>
          <w:rFonts w:cs="Times New Roman"/>
        </w:rPr>
        <w:t>Solvency – for courts</w:t>
      </w:r>
    </w:p>
    <w:p w:rsidR="00B004C2" w:rsidRPr="00AA0D15" w:rsidRDefault="00B004C2" w:rsidP="00B004C2">
      <w:pPr>
        <w:pStyle w:val="Heading4"/>
        <w:rPr>
          <w:rFonts w:cs="Times New Roman"/>
        </w:rPr>
      </w:pPr>
      <w:r w:rsidRPr="00AA0D15">
        <w:rPr>
          <w:rFonts w:cs="Times New Roman"/>
        </w:rPr>
        <w:t>State courts can’t solve anything – Gardner and Rossi concludes aff</w:t>
      </w:r>
    </w:p>
    <w:p w:rsidR="00B004C2" w:rsidRPr="00AA0D15" w:rsidRDefault="00B004C2" w:rsidP="00B004C2">
      <w:r w:rsidRPr="00AA0D15">
        <w:rPr>
          <w:b/>
        </w:rPr>
        <w:t xml:space="preserve">Gardner and Rossi 5 </w:t>
      </w:r>
      <w:r w:rsidRPr="00AA0D15">
        <w:t>– James A. Gardner is A SUNY Distinguished Professor and a Bridget and Thomas Black Professor. Jim Rossi is an Associate Dean for Research</w:t>
      </w:r>
      <w:r w:rsidRPr="00AA0D15">
        <w:br/>
        <w:t xml:space="preserve">Professor of Law at Vanderbilt University and Director, Program in Law and Government (“Foreword: The New Frontier of State Constitutional Law,” 2005, William and Mary Law Review, </w:t>
      </w:r>
      <w:hyperlink r:id="rId157" w:history="1">
        <w:r w:rsidRPr="00AA0D15">
          <w:rPr>
            <w:rStyle w:val="Hyperlink"/>
          </w:rPr>
          <w:t>http://scholarship.law.wm.edu/cgi/viewcontent.cgi?article=1282&amp;context=wmlr)//jkuffour</w:t>
        </w:r>
      </w:hyperlink>
    </w:p>
    <w:p w:rsidR="00B004C2" w:rsidRPr="00B004C2" w:rsidRDefault="00B004C2" w:rsidP="00B004C2">
      <w:r w:rsidRPr="00AA0D15">
        <w:t xml:space="preserve">Although as a matter of chronological history state constitutions preceded, and to a significant extent provided models for, the U.S. Constitution, contemporary state constitutionalism was born in the shadow of the federal rights jurisprudence of the Warren Court. During that period, a highly active U.S. Supreme Court not only dramatically expanded the reach and impact of the rights protected by the Federal Bill of Rights, but also, through the incorporation doctrine and the Supremacy Clause, imposed its constraints on state governments.' As a result, </w:t>
      </w:r>
      <w:r w:rsidRPr="00AA0D15">
        <w:rPr>
          <w:rStyle w:val="Emphasis"/>
        </w:rPr>
        <w:t>state constitutional law was seen</w:t>
      </w:r>
      <w:r w:rsidRPr="00AA0D15">
        <w:t xml:space="preserve">, not illogically, </w:t>
      </w:r>
      <w:r w:rsidRPr="00AA0D15">
        <w:rPr>
          <w:rStyle w:val="Emphasis"/>
        </w:rPr>
        <w:t>as</w:t>
      </w:r>
      <w:r w:rsidRPr="00AA0D15">
        <w:rPr>
          <w:rStyle w:val="StyleUnderline"/>
        </w:rPr>
        <w:t xml:space="preserve"> in some fundamental way </w:t>
      </w:r>
      <w:r w:rsidRPr="00AA0D15">
        <w:rPr>
          <w:rStyle w:val="Emphasis"/>
        </w:rPr>
        <w:t>subordinate to national constitutional law</w:t>
      </w:r>
      <w:r w:rsidRPr="00AA0D15">
        <w:rPr>
          <w:rStyle w:val="StyleUnderline"/>
        </w:rPr>
        <w:t>.</w:t>
      </w:r>
      <w:r w:rsidRPr="00AA0D15">
        <w:t xml:space="preserve"> Because </w:t>
      </w:r>
      <w:r w:rsidRPr="00AA0D15">
        <w:rPr>
          <w:rStyle w:val="StyleUnderline"/>
        </w:rPr>
        <w:t>the Federal Constitution seemed</w:t>
      </w:r>
      <w:r w:rsidRPr="00AA0D15">
        <w:t>, in that historical context</w:t>
      </w:r>
      <w:r w:rsidRPr="00AA0D15">
        <w:rPr>
          <w:rStyle w:val="StyleUnderline"/>
        </w:rPr>
        <w:t>, to supply a reasonably complete set of constitutional norms, and</w:t>
      </w:r>
      <w:r w:rsidRPr="00AA0D15">
        <w:t xml:space="preserve"> because these federal norms by </w:t>
      </w:r>
      <w:r w:rsidRPr="00AA0D15">
        <w:rPr>
          <w:rStyle w:val="StyleUnderline"/>
        </w:rPr>
        <w:t>law displaced any inconsistent norms contained in state constitutions</w:t>
      </w:r>
      <w:r w:rsidRPr="00AA0D15">
        <w:t xml:space="preserve">, state courts often acted as though they need not bother to look any further than the shared national principles embodied in the U.S. Constitution. </w:t>
      </w:r>
      <w:r w:rsidRPr="00AA0D15">
        <w:rPr>
          <w:rStyle w:val="Emphasis"/>
        </w:rPr>
        <w:t>State courts</w:t>
      </w:r>
      <w:r w:rsidRPr="00AA0D15">
        <w:rPr>
          <w:rStyle w:val="StyleUnderline"/>
        </w:rPr>
        <w:t xml:space="preserve"> typically </w:t>
      </w:r>
      <w:r w:rsidRPr="00AA0D15">
        <w:rPr>
          <w:rStyle w:val="Emphasis"/>
        </w:rPr>
        <w:t>expressed</w:t>
      </w:r>
      <w:r w:rsidRPr="00AA0D15">
        <w:t xml:space="preserve"> this </w:t>
      </w:r>
      <w:r w:rsidRPr="00AA0D15">
        <w:rPr>
          <w:rStyle w:val="Emphasis"/>
        </w:rPr>
        <w:t>deference</w:t>
      </w:r>
      <w:r w:rsidRPr="00AA0D15">
        <w:t xml:space="preserve"> by looking reflexively to the U.S. Supreme Court for the solutions to virtually all problems of constitutional law, treating state and national constitutional law as essentially uniform and thus interchangeable. This highly deferential approach soon provoked considerable criticism from the bench and the academy, leading to a movement to liberate state constitutional law from the overbearing influence of its federal counterpart. A revolution needs an ideology, and the revolutionaries found theirs in a strong form of jurisdictional positivism that conceived of state constitutions as entirely independent sources of legal norms arising from organic and fundamentally local social and political processes, of which state constitutions were both the culmination and the embodiment. State courts were thus urged to interpret state constitutions by looking more or less exclusively to the state document to tease out what were presumed to be homegrown solutions to commonplace constitutional problems. This approach provided a much-needed justification for state courts to deviate from the path charted by the U.S. Supreme Court, a need increasingly felt during the Burger and early Rehnquist years, when the Court adopted an approach to individual rights that was more conservative than some state judges wished to pursue. Eventually, however, </w:t>
      </w:r>
      <w:r w:rsidRPr="00AA0D15">
        <w:rPr>
          <w:rStyle w:val="Emphasis"/>
        </w:rPr>
        <w:t>the independent approach</w:t>
      </w:r>
      <w:r w:rsidRPr="00AA0D15">
        <w:rPr>
          <w:rStyle w:val="StyleUnderline"/>
        </w:rPr>
        <w:t xml:space="preserve"> to state constitutional interpretation itself began to show its limitations. It </w:t>
      </w:r>
      <w:r w:rsidRPr="00AA0D15">
        <w:rPr>
          <w:rStyle w:val="Emphasis"/>
        </w:rPr>
        <w:t>could not plausibly account for the striking similarity of</w:t>
      </w:r>
      <w:r w:rsidRPr="00AA0D15">
        <w:rPr>
          <w:rStyle w:val="StyleUnderline"/>
        </w:rPr>
        <w:t xml:space="preserve"> most contemporary </w:t>
      </w:r>
      <w:r w:rsidRPr="00AA0D15">
        <w:rPr>
          <w:rStyle w:val="Emphasis"/>
        </w:rPr>
        <w:t>state constitutions to one another</w:t>
      </w:r>
      <w:r w:rsidRPr="00AA0D15">
        <w:rPr>
          <w:rStyle w:val="StyleUnderline"/>
        </w:rPr>
        <w:t xml:space="preserve"> and to the Federal Constitution. </w:t>
      </w:r>
      <w:r w:rsidRPr="00AA0D15">
        <w:rPr>
          <w:rStyle w:val="Emphasis"/>
        </w:rPr>
        <w:t>It</w:t>
      </w:r>
      <w:r w:rsidRPr="00AA0D15">
        <w:t xml:space="preserve">s interpretive methodology sometimes </w:t>
      </w:r>
      <w:r w:rsidRPr="00AA0D15">
        <w:rPr>
          <w:rStyle w:val="Emphasis"/>
        </w:rPr>
        <w:t>drove state courts to make dubious claims about the</w:t>
      </w:r>
      <w:r w:rsidRPr="00AA0D15">
        <w:rPr>
          <w:rStyle w:val="StyleUnderline"/>
        </w:rPr>
        <w:t xml:space="preserve"> social and ideological </w:t>
      </w:r>
      <w:r w:rsidRPr="00AA0D15">
        <w:rPr>
          <w:rStyle w:val="Emphasis"/>
        </w:rPr>
        <w:t>distinctiveness of their state polities.</w:t>
      </w:r>
      <w:r w:rsidRPr="00AA0D15">
        <w:t xml:space="preserve"> Furthermore, it has been seriously undermined in practice by state courts themselves, many of which utterly ignore its prescriptions and continue to look primarily to federal constitu-tional law and the Supreme Court for guidance</w:t>
      </w:r>
      <w:r w:rsidRPr="00AA0D15">
        <w:rPr>
          <w:rStyle w:val="StyleUnderline"/>
        </w:rPr>
        <w:t>. These developments compromised the normative and descriptive appeal of the independent approach</w:t>
      </w:r>
      <w:r w:rsidRPr="00AA0D15">
        <w:t>, prompting scholars to take another look at state constitutional law, this time focusing on its structural role in the</w:t>
      </w:r>
      <w:r>
        <w:t xml:space="preserve"> American system of federalism.</w:t>
      </w:r>
    </w:p>
    <w:p w:rsidR="00B004C2" w:rsidRPr="00AA0D15" w:rsidRDefault="00B004C2" w:rsidP="00B004C2">
      <w:pPr>
        <w:pStyle w:val="Heading4"/>
        <w:rPr>
          <w:rFonts w:cs="Times New Roman"/>
        </w:rPr>
      </w:pPr>
      <w:r>
        <w:rPr>
          <w:rFonts w:cs="Times New Roman"/>
        </w:rPr>
        <w:t>Perms solves best</w:t>
      </w:r>
    </w:p>
    <w:p w:rsidR="00B004C2" w:rsidRPr="00AA0D15" w:rsidRDefault="00B004C2" w:rsidP="00B004C2">
      <w:r w:rsidRPr="00AA0D15">
        <w:rPr>
          <w:b/>
        </w:rPr>
        <w:t xml:space="preserve">Gardner and Rossi 5 </w:t>
      </w:r>
      <w:r w:rsidRPr="00AA0D15">
        <w:t>– James A. Gardner is A SUNY Distinguished Professor and a Bridget and Thomas Black Professor. Jim Rossi is an Associate Dean for Research</w:t>
      </w:r>
      <w:r w:rsidRPr="00AA0D15">
        <w:br/>
        <w:t xml:space="preserve">Professor of Law at Vanderbilt University and Director, Program in Law and Government (“Foreword: The New Frontier of State Constitutional Law,” 2005, William and Mary Law Review, </w:t>
      </w:r>
      <w:hyperlink r:id="rId158" w:history="1">
        <w:r w:rsidRPr="00AA0D15">
          <w:rPr>
            <w:rStyle w:val="Hyperlink"/>
          </w:rPr>
          <w:t>http://scholarship.law.wm.edu/cgi/viewcontent.cgi?article=1282&amp;context=wmlr)//jkuffour</w:t>
        </w:r>
      </w:hyperlink>
    </w:p>
    <w:p w:rsidR="00B004C2" w:rsidRPr="00AA0D15" w:rsidRDefault="00B004C2" w:rsidP="00B004C2">
      <w:r w:rsidRPr="00AA0D15">
        <w:rPr>
          <w:rStyle w:val="StyleUnderline"/>
        </w:rPr>
        <w:t>State constitutions have entered</w:t>
      </w:r>
      <w:r w:rsidRPr="00AA0D15">
        <w:t xml:space="preserve"> into </w:t>
      </w:r>
      <w:r w:rsidRPr="00AA0D15">
        <w:rPr>
          <w:rStyle w:val="StyleUnderline"/>
        </w:rPr>
        <w:t>a new interpretive era. Once considered</w:t>
      </w:r>
      <w:r w:rsidRPr="00AA0D15">
        <w:t xml:space="preserve"> documents of </w:t>
      </w:r>
      <w:r w:rsidRPr="00AA0D15">
        <w:rPr>
          <w:rStyle w:val="StyleUnderline"/>
        </w:rPr>
        <w:t>parochial</w:t>
      </w:r>
      <w:r w:rsidRPr="00AA0D15">
        <w:t xml:space="preserve"> import worthy of little serious study by anyone outside of a state's individual jurisdiction, in the late twentieth century </w:t>
      </w:r>
      <w:r w:rsidRPr="00AA0D15">
        <w:rPr>
          <w:rStyle w:val="StyleUnderline"/>
        </w:rPr>
        <w:t xml:space="preserve">state and federal judges, along with legal academics, began to recognize the potential of state constitutions as important sources of law. </w:t>
      </w:r>
      <w:r w:rsidRPr="00AA0D15">
        <w:t xml:space="preserve">A borrowing mentality emerged, as </w:t>
      </w:r>
      <w:r w:rsidRPr="00AA0D15">
        <w:rPr>
          <w:rStyle w:val="StyleUnderline"/>
        </w:rPr>
        <w:t>courts looked</w:t>
      </w:r>
      <w:r w:rsidRPr="00AA0D15">
        <w:t xml:space="preserve"> outside of their jurisdictional territories</w:t>
      </w:r>
      <w:r w:rsidRPr="00AA0D15">
        <w:rPr>
          <w:rStyle w:val="StyleUnderline"/>
        </w:rPr>
        <w:t xml:space="preserve"> to state constitutions to fill gaps in constitutional interpretation. </w:t>
      </w:r>
      <w:r w:rsidRPr="00AA0D15">
        <w:rPr>
          <w:rStyle w:val="Emphasis"/>
        </w:rPr>
        <w:t>This</w:t>
      </w:r>
      <w:r w:rsidRPr="00AA0D15">
        <w:rPr>
          <w:rStyle w:val="StyleUnderline"/>
        </w:rPr>
        <w:t xml:space="preserve"> borrowing </w:t>
      </w:r>
      <w:r w:rsidRPr="00AA0D15">
        <w:rPr>
          <w:rStyle w:val="Emphasis"/>
        </w:rPr>
        <w:t>approach</w:t>
      </w:r>
      <w:r w:rsidRPr="00AA0D15">
        <w:t>, however</w:t>
      </w:r>
      <w:r w:rsidRPr="00AA0D15">
        <w:rPr>
          <w:rStyle w:val="Emphasis"/>
        </w:rPr>
        <w:t>, relied heavily on</w:t>
      </w:r>
      <w:r w:rsidRPr="00AA0D15">
        <w:rPr>
          <w:rStyle w:val="StyleUnderline"/>
        </w:rPr>
        <w:t xml:space="preserve"> a kind of </w:t>
      </w:r>
      <w:r w:rsidRPr="00AA0D15">
        <w:rPr>
          <w:rStyle w:val="Emphasis"/>
        </w:rPr>
        <w:t xml:space="preserve">jurisdictional positivism </w:t>
      </w:r>
      <w:r w:rsidRPr="00AA0D15">
        <w:rPr>
          <w:rStyle w:val="StyleUnderline"/>
        </w:rPr>
        <w:t>that conceived of state constitutions as fundamentally free-standing sources of fully independent legal norms.'</w:t>
      </w:r>
      <w:r w:rsidRPr="00AA0D15">
        <w:t xml:space="preserve"> Although this approach satisfied a temporary political need for the legitimation of an independent jurisprudence of state constitutional rights</w:t>
      </w:r>
      <w:r w:rsidRPr="00AA0D15">
        <w:rPr>
          <w:rStyle w:val="StyleUnderline"/>
        </w:rPr>
        <w:t xml:space="preserve">, </w:t>
      </w:r>
      <w:r w:rsidRPr="00AA0D15">
        <w:rPr>
          <w:rStyle w:val="Emphasis"/>
        </w:rPr>
        <w:t>it was increasingly called into question by judges and scholars</w:t>
      </w:r>
      <w:r w:rsidRPr="00AA0D15">
        <w:rPr>
          <w:rStyle w:val="StyleUnderline"/>
        </w:rPr>
        <w:t xml:space="preserve"> who challenged its descriptive accuracy and normative desirability,</w:t>
      </w:r>
      <w:r w:rsidRPr="00AA0D15">
        <w:t xml:space="preserve"> and who looked instead toward a broader transjurisdictional discourse of constitutional law.2</w:t>
      </w:r>
    </w:p>
    <w:p w:rsidR="00B004C2" w:rsidRPr="00AA0D15" w:rsidRDefault="00B004C2" w:rsidP="00B004C2">
      <w:r w:rsidRPr="00AA0D15">
        <w:t>In the past decade, a new frontier of constitutional discourse has begun to emerge, adding a fresh perspective to state constitutional law. Instead of treating states as jurisdictional islands in a sea under reign of the federal government</w:t>
      </w:r>
      <w:r w:rsidRPr="00AA0D15">
        <w:rPr>
          <w:rStyle w:val="Emphasis"/>
        </w:rPr>
        <w:t>, this new approach sees states as co-equals among themselves</w:t>
      </w:r>
      <w:r w:rsidRPr="00AA0D15">
        <w:rPr>
          <w:rStyle w:val="StyleUnderline"/>
        </w:rPr>
        <w:t xml:space="preserve"> and between </w:t>
      </w:r>
      <w:r w:rsidRPr="00AA0D15">
        <w:rPr>
          <w:rStyle w:val="Emphasis"/>
        </w:rPr>
        <w:t xml:space="preserve">them and the federal government -'n a collective enterprise </w:t>
      </w:r>
      <w:r w:rsidRPr="00AA0D15">
        <w:rPr>
          <w:rStyle w:val="StyleUnderline"/>
        </w:rPr>
        <w:t>of democratic selfgovernance</w:t>
      </w:r>
      <w:r w:rsidRPr="00AA0D15">
        <w:t xml:space="preserve">. This symposium, organized around the theme of Dual Enforcement of Constitutional Norms, provides the occasion for leading scholars on state constitutional law to take a fresh look at their subject by adopting a vantage point outside of the individualized jurisdictional context. The symposium invited participants to consider directly whether state and federal constitutional law are separate and distinct systems of law, each with its own doctrines, traditions, and dominant norms, or whether </w:t>
      </w:r>
      <w:r w:rsidRPr="00AA0D15">
        <w:rPr>
          <w:rStyle w:val="Emphasis"/>
        </w:rPr>
        <w:t>state and federal constitutional law may profitably be understood as complementary features</w:t>
      </w:r>
      <w:r w:rsidRPr="00AA0D15">
        <w:rPr>
          <w:rStyle w:val="StyleUnderline"/>
        </w:rPr>
        <w:t xml:space="preserve"> of a shared project of elaborating and enforcing shared constitutional norms.</w:t>
      </w:r>
      <w:r w:rsidRPr="00AA0D15">
        <w:t xml:space="preserve"> The articles in this issue lie along what we hope will prove to be a new frontier that moves courts and scholars closer to a sustainable interpretive theory of state constitutions, shedding important light on the role of state courts, while also addressing the federal judicial role in a system of dual enforcement.</w:t>
      </w:r>
    </w:p>
    <w:p w:rsidR="00B004C2" w:rsidRPr="00C47278" w:rsidRDefault="00B004C2" w:rsidP="00B004C2"/>
    <w:p w:rsidR="00B004C2" w:rsidRDefault="00B004C2" w:rsidP="00B004C2">
      <w:pPr>
        <w:pStyle w:val="Heading3"/>
      </w:pPr>
      <w:r>
        <w:t>Solvency – AT create new agency</w:t>
      </w:r>
    </w:p>
    <w:p w:rsidR="00B004C2" w:rsidRDefault="00B004C2" w:rsidP="00B004C2">
      <w:pPr>
        <w:pStyle w:val="Heading4"/>
      </w:pPr>
      <w:r>
        <w:t>Creating new state agencies/departments has a time-frame delay</w:t>
      </w:r>
    </w:p>
    <w:p w:rsidR="00B004C2" w:rsidRPr="0073550C" w:rsidRDefault="00B004C2" w:rsidP="00B004C2">
      <w:r w:rsidRPr="0073550C">
        <w:rPr>
          <w:rStyle w:val="Style13ptBold"/>
        </w:rPr>
        <w:t>Weiss and McGuinn 16</w:t>
      </w:r>
      <w:r>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http://www.aspendrl.org/portal/browse/DocumentDetail?documentId=2958&amp;download&amp;admin=2958%7C1917288972)//BB</w:t>
      </w:r>
    </w:p>
    <w:p w:rsidR="00B004C2" w:rsidRPr="003E1AEC" w:rsidRDefault="00B004C2" w:rsidP="00B004C2">
      <w:r>
        <w:t xml:space="preserve">Though many state departments of education have begun to reorganize themselves away from “funding sources” (e.g., the Title I Office) and around the work (e.g., talent office, academics office, performance office), </w:t>
      </w:r>
      <w:r w:rsidRPr="00B004C2">
        <w:rPr>
          <w:rStyle w:val="Emphasis"/>
        </w:rPr>
        <w:t>SEA restructuring is difficult</w:t>
      </w:r>
      <w:r>
        <w:rPr>
          <w:rStyle w:val="Emphasis"/>
        </w:rPr>
        <w:t xml:space="preserve"> </w:t>
      </w:r>
      <w:r w:rsidRPr="00B004C2">
        <w:rPr>
          <w:rStyle w:val="Emphasis"/>
        </w:rPr>
        <w:t>and time-consuming work</w:t>
      </w:r>
      <w:r>
        <w:t xml:space="preserve">. </w:t>
      </w:r>
      <w:r w:rsidRPr="00B004C2">
        <w:rPr>
          <w:rStyle w:val="StyleUnderline"/>
        </w:rPr>
        <w:t>While such restructuring is necessary to carrying out new</w:t>
      </w:r>
      <w:r>
        <w:rPr>
          <w:rStyle w:val="StyleUnderline"/>
        </w:rPr>
        <w:t xml:space="preserve"> </w:t>
      </w:r>
      <w:r w:rsidRPr="00B004C2">
        <w:rPr>
          <w:rStyle w:val="StyleUnderline"/>
        </w:rPr>
        <w:t>responsibilities over the long term, in the short term, reorganizations create a number of</w:t>
      </w:r>
      <w:r>
        <w:rPr>
          <w:rStyle w:val="StyleUnderline"/>
        </w:rPr>
        <w:t xml:space="preserve"> </w:t>
      </w:r>
      <w:r w:rsidRPr="00B004C2">
        <w:rPr>
          <w:rStyle w:val="StyleUnderline"/>
        </w:rPr>
        <w:t>challenges. It will take some time for the organizational shake-outs to be completed and</w:t>
      </w:r>
      <w:r>
        <w:rPr>
          <w:rStyle w:val="StyleUnderline"/>
        </w:rPr>
        <w:t xml:space="preserve"> </w:t>
      </w:r>
      <w:r w:rsidRPr="00B004C2">
        <w:rPr>
          <w:rStyle w:val="StyleUnderline"/>
        </w:rPr>
        <w:t>for new structures and staff to acclimate to their new roles. As a result, the structural and</w:t>
      </w:r>
      <w:r>
        <w:rPr>
          <w:rStyle w:val="StyleUnderline"/>
        </w:rPr>
        <w:t xml:space="preserve"> </w:t>
      </w:r>
      <w:r w:rsidRPr="00B004C2">
        <w:rPr>
          <w:rStyle w:val="StyleUnderline"/>
        </w:rPr>
        <w:t>human capital issues of the “old SEA” may preclude the rapid emergence of the “new</w:t>
      </w:r>
      <w:r>
        <w:rPr>
          <w:rStyle w:val="StyleUnderline"/>
        </w:rPr>
        <w:t xml:space="preserve"> </w:t>
      </w:r>
      <w:r w:rsidRPr="00B004C2">
        <w:rPr>
          <w:rStyle w:val="StyleUnderline"/>
        </w:rPr>
        <w:t>SEA</w:t>
      </w:r>
      <w:r>
        <w:t>.”</w:t>
      </w:r>
    </w:p>
    <w:p w:rsidR="003E1AEC" w:rsidRDefault="00C81BC7" w:rsidP="003E1AEC">
      <w:pPr>
        <w:pStyle w:val="Heading3"/>
      </w:pPr>
      <w:r>
        <w:t>AT innovation DA</w:t>
      </w:r>
    </w:p>
    <w:p w:rsidR="003E1AEC" w:rsidRDefault="003E1AEC" w:rsidP="003E1AEC">
      <w:pPr>
        <w:pStyle w:val="Heading4"/>
      </w:pPr>
      <w:r>
        <w:t>Regulation leads to state innovation</w:t>
      </w:r>
    </w:p>
    <w:p w:rsidR="003E1AEC" w:rsidRPr="00547CEF" w:rsidRDefault="003E1AEC" w:rsidP="003E1AEC">
      <w:r w:rsidRPr="00B004C2">
        <w:rPr>
          <w:rStyle w:val="Style13ptBold"/>
        </w:rPr>
        <w:t>Wright 17</w:t>
      </w:r>
      <w:r>
        <w:t xml:space="preserve"> - editorial director of the Thomas B. Fordham Institute (Brandon, “GOP Guts Obama's ESSA Rules. Here's Why It Matters.,” http://www.realcleareducation.com/articles/2017/02/14/gop_guts_obamas_essa_rules_heres_why_it_matters_110119.html)//BB</w:t>
      </w:r>
    </w:p>
    <w:p w:rsidR="003E1AEC" w:rsidRPr="00547CEF" w:rsidRDefault="003E1AEC" w:rsidP="003E1AEC">
      <w:r>
        <w:t xml:space="preserve">All of this is to say that, </w:t>
      </w:r>
      <w:r w:rsidRPr="00B004C2">
        <w:rPr>
          <w:rStyle w:val="StyleUnderline"/>
        </w:rPr>
        <w:t>if Republicans are successful in repealing the current accountability regulations, the education department ought to replace them with new ones immediately</w:t>
      </w:r>
      <w:r>
        <w:t xml:space="preserve">—even if they do little more than officially grant states the leeway that Republicans in Washington are promising. </w:t>
      </w:r>
      <w:r w:rsidRPr="00B004C2">
        <w:rPr>
          <w:rStyle w:val="Emphasis"/>
        </w:rPr>
        <w:t>Failure to do so could chill state innovation</w:t>
      </w:r>
      <w:r w:rsidRPr="00B004C2">
        <w:rPr>
          <w:rStyle w:val="StyleUnderline"/>
        </w:rPr>
        <w:t xml:space="preserve"> and open the door for future administrations to pass rules that go against today’s non-binding assurances—sowing even more chaos down the line</w:t>
      </w:r>
      <w:r>
        <w:t>. Regulations, please keep in mind, are not only hard to repeal, they’re granted significant deference by courts.</w:t>
      </w:r>
      <w:r w:rsidR="00B004C2">
        <w:t xml:space="preserve"> </w:t>
      </w:r>
      <w:r>
        <w:t>There is, however, another snag to the promulgation of new regs, and it comes from the White House. Earlier this month, President Trump signed an Executive Order mandating, among other things, that “for every one new regulation issued, at least two prior regulations be identified for elimination,” and that “the total incremental cost of all new regulations, including repealed regulations, to be finalized [in fiscal year 2017] shall be no greater than zero.” According to administrative law experts at Venable LLP, a major national law firm with a large government practice, the Order “may constitute a de facto moratorium on issuance of many major rules,” but it also “lacks many details about how its requirements will be implemented.”</w:t>
      </w:r>
      <w:r w:rsidR="00B004C2">
        <w:t xml:space="preserve"> </w:t>
      </w:r>
      <w:r>
        <w:t xml:space="preserve">Bottom line: </w:t>
      </w:r>
      <w:r w:rsidRPr="00B004C2">
        <w:rPr>
          <w:rStyle w:val="StyleUnderline"/>
        </w:rPr>
        <w:t>if the Obama ESSA rules are repealed</w:t>
      </w:r>
      <w:r>
        <w:t xml:space="preserve"> and the Trump team doesn’t clarify how the regulatory moratorium applies to the education department, </w:t>
      </w:r>
      <w:r w:rsidRPr="00B004C2">
        <w:rPr>
          <w:rStyle w:val="StyleUnderline"/>
        </w:rPr>
        <w:t>states could be left with little more than an ambiguous statute and non-binding assurances from the executive and legislative branches</w:t>
      </w:r>
      <w:r>
        <w:t xml:space="preserve">. If Congress and President Trump truly believe in real local control, they ought not to let that happen. </w:t>
      </w:r>
      <w:r w:rsidRPr="00B004C2">
        <w:rPr>
          <w:rStyle w:val="StyleUnderline"/>
        </w:rPr>
        <w:t>Much as we might wish otherwise,</w:t>
      </w:r>
      <w:r w:rsidRPr="00B004C2">
        <w:rPr>
          <w:rStyle w:val="Emphasis"/>
        </w:rPr>
        <w:t xml:space="preserve"> state empowerment is more likely, not less, with the ironclad certainty of formal federal regulation</w:t>
      </w:r>
      <w:r>
        <w:t>.</w:t>
      </w:r>
    </w:p>
    <w:p w:rsidR="00C81BC7" w:rsidRPr="00AA0D15" w:rsidRDefault="00C81BC7" w:rsidP="00C81BC7">
      <w:pPr>
        <w:pStyle w:val="Heading3"/>
        <w:rPr>
          <w:rFonts w:cs="Times New Roman"/>
        </w:rPr>
      </w:pPr>
      <w:r w:rsidRPr="00AA0D15">
        <w:rPr>
          <w:rFonts w:cs="Times New Roman"/>
        </w:rPr>
        <w:t xml:space="preserve">AT </w:t>
      </w:r>
      <w:r>
        <w:rPr>
          <w:rFonts w:cs="Times New Roman"/>
        </w:rPr>
        <w:t>compliance costs DA</w:t>
      </w:r>
    </w:p>
    <w:p w:rsidR="00C81BC7" w:rsidRPr="00AA0D15" w:rsidRDefault="00C81BC7" w:rsidP="00C81BC7">
      <w:pPr>
        <w:pStyle w:val="Heading4"/>
        <w:rPr>
          <w:rFonts w:cs="Times New Roman"/>
        </w:rPr>
      </w:pPr>
      <w:r w:rsidRPr="00AA0D15">
        <w:rPr>
          <w:rFonts w:cs="Times New Roman"/>
        </w:rPr>
        <w:t>Regs now!</w:t>
      </w:r>
    </w:p>
    <w:p w:rsidR="00C81BC7" w:rsidRPr="00AA0D15" w:rsidRDefault="00C81BC7" w:rsidP="00C81BC7">
      <w:r w:rsidRPr="00AA0D15">
        <w:rPr>
          <w:rStyle w:val="Style13ptBold"/>
        </w:rPr>
        <w:t>Marshall 11</w:t>
      </w:r>
      <w:r w:rsidRPr="00AA0D15">
        <w:t xml:space="preserve"> (Jennifer, Vice President Institute for Family, Community &amp; Opportunity. | “Effects of the Federal Role and Intervention in Education: Testimony before House Education Subcommittee on Early Childhood, Elementary and Secondary Education in the United States House of Representatives” in </w:t>
      </w:r>
      <w:r w:rsidRPr="00AA0D15">
        <w:rPr>
          <w:i/>
        </w:rPr>
        <w:t>The Heritage Foundation</w:t>
      </w:r>
      <w:r w:rsidRPr="00AA0D15">
        <w:t xml:space="preserve">, 15 March 2011. </w:t>
      </w:r>
      <w:hyperlink r:id="rId159" w:history="1">
        <w:r w:rsidRPr="00AA0D15">
          <w:rPr>
            <w:rStyle w:val="Hyperlink"/>
          </w:rPr>
          <w:t>http://www.heritage.org/testimony/effects-the-federal-role-and-intervention-education</w:t>
        </w:r>
      </w:hyperlink>
      <w:r w:rsidRPr="00AA0D15">
        <w:t xml:space="preserve"> )//tbrooks</w:t>
      </w:r>
    </w:p>
    <w:p w:rsidR="00C81BC7" w:rsidRPr="00B004C2" w:rsidRDefault="00C81BC7" w:rsidP="00C81BC7">
      <w:pPr>
        <w:rPr>
          <w:sz w:val="14"/>
        </w:rPr>
      </w:pPr>
      <w:r w:rsidRPr="00B004C2">
        <w:rPr>
          <w:sz w:val="22"/>
          <w:u w:val="single"/>
        </w:rPr>
        <w:t>Education regulations</w:t>
      </w:r>
      <w:r w:rsidRPr="00B004C2">
        <w:rPr>
          <w:sz w:val="14"/>
        </w:rPr>
        <w:t xml:space="preserve"> can be found in Title 34 of the Code of Federal Regulations. </w:t>
      </w:r>
      <w:r w:rsidRPr="00B004C2">
        <w:rPr>
          <w:sz w:val="22"/>
          <w:u w:val="single"/>
        </w:rPr>
        <w:t>Hundreds of pages are dedicated to specifying the operation of the Department of Education’s elementary and secondary education programs. The Title I program has 65 pages of regulations to accompany it</w:t>
      </w:r>
      <w:r w:rsidRPr="00B004C2">
        <w:rPr>
          <w:sz w:val="14"/>
        </w:rPr>
        <w:t>, prescribing everything from setting and measuring progress on academic standards, to outreach to parents, to identifying “highly qualified teachers.”</w:t>
      </w:r>
      <w:bookmarkStart w:id="101" w:name="_ftnref10"/>
      <w:r w:rsidRPr="00B004C2">
        <w:rPr>
          <w:sz w:val="14"/>
        </w:rPr>
        <w:fldChar w:fldCharType="begin"/>
      </w:r>
      <w:r w:rsidRPr="00B004C2">
        <w:rPr>
          <w:sz w:val="14"/>
        </w:rPr>
        <w:instrText xml:space="preserve"> HYPERLINK "http://www2.heritage.org/research/testimony/2011/03/effects-of-the-federal-role-and-intervention-in-education" \l "_ftn10" </w:instrText>
      </w:r>
      <w:r w:rsidRPr="00B004C2">
        <w:rPr>
          <w:sz w:val="14"/>
        </w:rPr>
        <w:fldChar w:fldCharType="separate"/>
      </w:r>
      <w:r w:rsidRPr="00B004C2">
        <w:rPr>
          <w:rStyle w:val="Hyperlink"/>
          <w:sz w:val="14"/>
        </w:rPr>
        <w:t>[10]</w:t>
      </w:r>
      <w:r w:rsidRPr="00B004C2">
        <w:rPr>
          <w:sz w:val="14"/>
        </w:rPr>
        <w:fldChar w:fldCharType="end"/>
      </w:r>
      <w:bookmarkEnd w:id="101"/>
      <w:r w:rsidRPr="00B004C2">
        <w:rPr>
          <w:sz w:val="14"/>
        </w:rPr>
        <w:t xml:space="preserve"> </w:t>
      </w:r>
      <w:r w:rsidRPr="00B004C2">
        <w:rPr>
          <w:sz w:val="22"/>
          <w:u w:val="single"/>
        </w:rPr>
        <w:t>The complexity of these regulations is illustrated by the</w:t>
      </w:r>
      <w:r w:rsidRPr="00B004C2">
        <w:rPr>
          <w:sz w:val="14"/>
        </w:rPr>
        <w:t xml:space="preserve"> section that describes the duties of a paraprofessional. The </w:t>
      </w:r>
      <w:r w:rsidRPr="00B004C2">
        <w:rPr>
          <w:sz w:val="22"/>
          <w:u w:val="single"/>
        </w:rPr>
        <w:t>regulations</w:t>
      </w:r>
      <w:r w:rsidRPr="00B004C2">
        <w:rPr>
          <w:sz w:val="14"/>
        </w:rPr>
        <w:t xml:space="preserve"> dictate </w:t>
      </w:r>
      <w:r w:rsidRPr="00B004C2">
        <w:rPr>
          <w:sz w:val="22"/>
          <w:u w:val="single"/>
        </w:rPr>
        <w:t>that a paraprofessional can have seven specific duties and may not perform duties other than those listed.</w:t>
      </w:r>
      <w:r w:rsidRPr="00B004C2">
        <w:rPr>
          <w:sz w:val="14"/>
        </w:rPr>
        <w:t xml:space="preserve"> Furthermore, the paraprofessional may not perform his or her duties unless under the direct supervision of a teacher who meets the several requirements of a “highly qualified teacher,” as outlined by the regulations. The regulations also provide three components of what “direct supervision” means.</w:t>
      </w:r>
      <w:bookmarkStart w:id="102" w:name="_ftnref11"/>
      <w:r w:rsidRPr="00B004C2">
        <w:rPr>
          <w:sz w:val="14"/>
        </w:rPr>
        <w:fldChar w:fldCharType="begin"/>
      </w:r>
      <w:r w:rsidRPr="00B004C2">
        <w:rPr>
          <w:sz w:val="14"/>
        </w:rPr>
        <w:instrText xml:space="preserve"> HYPERLINK "http://www2.heritage.org/research/testimony/2011/03/effects-of-the-federal-role-and-intervention-in-education" \l "_ftn11" </w:instrText>
      </w:r>
      <w:r w:rsidRPr="00B004C2">
        <w:rPr>
          <w:sz w:val="14"/>
        </w:rPr>
        <w:fldChar w:fldCharType="separate"/>
      </w:r>
      <w:r w:rsidRPr="00B004C2">
        <w:rPr>
          <w:rStyle w:val="Hyperlink"/>
          <w:sz w:val="14"/>
        </w:rPr>
        <w:t>[11]</w:t>
      </w:r>
      <w:r w:rsidRPr="00B004C2">
        <w:rPr>
          <w:sz w:val="14"/>
        </w:rPr>
        <w:fldChar w:fldCharType="end"/>
      </w:r>
      <w:bookmarkEnd w:id="102"/>
      <w:r w:rsidRPr="00B004C2">
        <w:rPr>
          <w:sz w:val="14"/>
        </w:rPr>
        <w:t xml:space="preserve"> </w:t>
      </w:r>
      <w:r w:rsidRPr="00B004C2">
        <w:rPr>
          <w:sz w:val="22"/>
          <w:u w:val="single"/>
        </w:rPr>
        <w:t>More than 60 pages dictate the operation of federal Impact Aid, defining each step from the application process to the distribution of funds. The regulations include how the Secretary determines the “timely filing” of an application and how local education agencies are to “count the membership of…federally connected children</w:t>
      </w:r>
      <w:r w:rsidRPr="00B004C2">
        <w:rPr>
          <w:sz w:val="14"/>
        </w:rPr>
        <w:t>.”</w:t>
      </w:r>
      <w:bookmarkStart w:id="103" w:name="_ftnref12"/>
      <w:r w:rsidRPr="00B004C2">
        <w:rPr>
          <w:sz w:val="14"/>
        </w:rPr>
        <w:fldChar w:fldCharType="begin"/>
      </w:r>
      <w:r w:rsidRPr="00B004C2">
        <w:rPr>
          <w:sz w:val="14"/>
        </w:rPr>
        <w:instrText xml:space="preserve"> HYPERLINK "http://www2.heritage.org/research/testimony/2011/03/effects-of-the-federal-role-and-intervention-in-education" \l "_ftn12" </w:instrText>
      </w:r>
      <w:r w:rsidRPr="00B004C2">
        <w:rPr>
          <w:sz w:val="14"/>
        </w:rPr>
        <w:fldChar w:fldCharType="separate"/>
      </w:r>
      <w:r w:rsidRPr="00B004C2">
        <w:rPr>
          <w:rStyle w:val="Hyperlink"/>
          <w:sz w:val="14"/>
        </w:rPr>
        <w:t>[12]</w:t>
      </w:r>
      <w:r w:rsidRPr="00B004C2">
        <w:rPr>
          <w:sz w:val="14"/>
        </w:rPr>
        <w:fldChar w:fldCharType="end"/>
      </w:r>
      <w:bookmarkEnd w:id="103"/>
      <w:r w:rsidRPr="00B004C2">
        <w:rPr>
          <w:sz w:val="14"/>
        </w:rPr>
        <w:t xml:space="preserve"> </w:t>
      </w:r>
      <w:r w:rsidRPr="00B004C2">
        <w:rPr>
          <w:sz w:val="22"/>
          <w:u w:val="single"/>
        </w:rPr>
        <w:t>In addition to regulations, the Education Department has issued guidance on elementary and secondary education on 100 occasions since the passage of No Child Left Behin</w:t>
      </w:r>
      <w:r w:rsidRPr="00B004C2">
        <w:rPr>
          <w:sz w:val="14"/>
        </w:rPr>
        <w:t>d.</w:t>
      </w:r>
      <w:bookmarkStart w:id="104" w:name="_ftnref13"/>
      <w:r w:rsidRPr="00B004C2">
        <w:rPr>
          <w:sz w:val="14"/>
        </w:rPr>
        <w:fldChar w:fldCharType="begin"/>
      </w:r>
      <w:r w:rsidRPr="00B004C2">
        <w:rPr>
          <w:sz w:val="14"/>
        </w:rPr>
        <w:instrText xml:space="preserve"> HYPERLINK "http://www2.heritage.org/research/testimony/2011/03/effects-of-the-federal-role-and-intervention-in-education" \l "_ftn13" </w:instrText>
      </w:r>
      <w:r w:rsidRPr="00B004C2">
        <w:rPr>
          <w:sz w:val="14"/>
        </w:rPr>
        <w:fldChar w:fldCharType="separate"/>
      </w:r>
      <w:r w:rsidRPr="00B004C2">
        <w:rPr>
          <w:rStyle w:val="Hyperlink"/>
          <w:sz w:val="14"/>
        </w:rPr>
        <w:t>[13]</w:t>
      </w:r>
      <w:r w:rsidRPr="00B004C2">
        <w:rPr>
          <w:sz w:val="14"/>
        </w:rPr>
        <w:fldChar w:fldCharType="end"/>
      </w:r>
      <w:bookmarkEnd w:id="104"/>
    </w:p>
    <w:p w:rsidR="00C81BC7" w:rsidRPr="00AA0D15" w:rsidRDefault="00C81BC7" w:rsidP="00C81BC7"/>
    <w:p w:rsidR="00C47278" w:rsidRPr="00AA0D15" w:rsidRDefault="00C47278" w:rsidP="00C47278">
      <w:pPr>
        <w:pStyle w:val="Heading3"/>
        <w:rPr>
          <w:rFonts w:cs="Times New Roman"/>
        </w:rPr>
      </w:pPr>
      <w:r w:rsidRPr="00AA0D15">
        <w:rPr>
          <w:rFonts w:cs="Times New Roman"/>
        </w:rPr>
        <w:t>AT NGA</w:t>
      </w:r>
    </w:p>
    <w:p w:rsidR="00C47278" w:rsidRPr="00AA0D15" w:rsidRDefault="00C47278" w:rsidP="00C47278">
      <w:pPr>
        <w:pStyle w:val="Heading4"/>
        <w:rPr>
          <w:rFonts w:cs="Times New Roman"/>
        </w:rPr>
      </w:pPr>
      <w:r w:rsidRPr="00AA0D15">
        <w:rPr>
          <w:rFonts w:cs="Times New Roman"/>
        </w:rPr>
        <w:t>National governors forum still creates varied enforcement, delays, and local noncompliance</w:t>
      </w:r>
    </w:p>
    <w:p w:rsidR="00C47278" w:rsidRPr="00AA0D15" w:rsidRDefault="00C47278" w:rsidP="00C47278">
      <w:r w:rsidRPr="00AA0D15">
        <w:rPr>
          <w:b/>
        </w:rPr>
        <w:t xml:space="preserve">McNeil 6 ---- </w:t>
      </w:r>
      <w:r w:rsidRPr="00AA0D15">
        <w:t>assistant editor and reporter for education week. (Michele.</w:t>
      </w:r>
      <w:r w:rsidRPr="00AA0D15">
        <w:rPr>
          <w:b/>
        </w:rPr>
        <w:t xml:space="preserve"> “</w:t>
      </w:r>
      <w:r w:rsidRPr="00AA0D15">
        <w:t>States Move Unevenly Toward Common Graduation-Rate Data”, http://www.edweek.org/ew/articles/2006/08/07/44nga_web.h25.html)//ET</w:t>
      </w:r>
    </w:p>
    <w:p w:rsidR="00C47278" w:rsidRPr="00B004C2" w:rsidRDefault="00C47278" w:rsidP="00C47278">
      <w:r w:rsidRPr="00B004C2">
        <w:rPr>
          <w:sz w:val="22"/>
          <w:u w:val="single"/>
        </w:rPr>
        <w:t>A year after the nation’s governors pledged to use a common formula to calculate graduation rates</w:t>
      </w:r>
      <w:r w:rsidRPr="00B004C2">
        <w:t xml:space="preserve">, </w:t>
      </w:r>
      <w:r w:rsidRPr="00B004C2">
        <w:rPr>
          <w:sz w:val="22"/>
          <w:u w:val="single"/>
        </w:rPr>
        <w:t>39 states are compiling the necessary</w:t>
      </w:r>
      <w:r w:rsidRPr="00B004C2">
        <w:t xml:space="preserve"> data and are preparing within four years to report the most accurate account yet of high school completion. But </w:t>
      </w:r>
      <w:r w:rsidRPr="00B004C2">
        <w:rPr>
          <w:sz w:val="22"/>
          <w:u w:val="single"/>
        </w:rPr>
        <w:t xml:space="preserve">according to a progress report released today at the National Governors Association </w:t>
      </w:r>
      <w:r w:rsidRPr="00B004C2">
        <w:t xml:space="preserve">annual </w:t>
      </w:r>
      <w:r w:rsidRPr="00B004C2">
        <w:rPr>
          <w:sz w:val="22"/>
          <w:u w:val="single"/>
        </w:rPr>
        <w:t>meeting</w:t>
      </w:r>
      <w:r w:rsidRPr="00B004C2">
        <w:t xml:space="preserve"> here, </w:t>
      </w:r>
      <w:r w:rsidRPr="00B004C2">
        <w:rPr>
          <w:b/>
          <w:sz w:val="22"/>
          <w:u w:val="single"/>
        </w:rPr>
        <w:t>several states have a long way to go,</w:t>
      </w:r>
      <w:r w:rsidRPr="00B004C2">
        <w:t xml:space="preserve"> and </w:t>
      </w:r>
      <w:r w:rsidRPr="00B004C2">
        <w:rPr>
          <w:b/>
          <w:sz w:val="22"/>
          <w:u w:val="single"/>
        </w:rPr>
        <w:t>still others are not on board</w:t>
      </w:r>
      <w:r w:rsidRPr="00B004C2">
        <w:t xml:space="preserve"> to join the compact. </w:t>
      </w:r>
      <w:r w:rsidRPr="00B004C2">
        <w:rPr>
          <w:sz w:val="22"/>
          <w:u w:val="single"/>
        </w:rPr>
        <w:t xml:space="preserve">North Dakota and South Dakota have “no plans” to report their high school graduation rate using the agreed-upon formula, </w:t>
      </w:r>
      <w:r w:rsidRPr="00B004C2">
        <w:t xml:space="preserve">the report concludes. </w:t>
      </w:r>
      <w:r w:rsidRPr="00B004C2">
        <w:rPr>
          <w:sz w:val="22"/>
          <w:u w:val="single"/>
        </w:rPr>
        <w:t>Other states, such as Missouri, aren’t planning to report their new rates until 2012 or later.</w:t>
      </w:r>
      <w:r w:rsidRPr="00B004C2">
        <w:t xml:space="preserve"> </w:t>
      </w:r>
      <w:r w:rsidRPr="00B004C2">
        <w:rPr>
          <w:b/>
          <w:sz w:val="22"/>
          <w:u w:val="single"/>
        </w:rPr>
        <w:t>Governors of all 50 states, plus Puerto Rico, signed the one-page</w:t>
      </w:r>
      <w:r w:rsidRPr="00B004C2">
        <w:rPr>
          <w:sz w:val="22"/>
          <w:u w:val="single"/>
        </w:rPr>
        <w:t xml:space="preserve"> “Graduation Counts Compact”</w:t>
      </w:r>
      <w:r w:rsidRPr="00B004C2">
        <w:t xml:space="preserve"> after it was unveiled at last year’s NGA meeting in Iowa. ("Efforts Seek Better Data on Graduates," July 27, 2005.) </w:t>
      </w:r>
      <w:r w:rsidRPr="00B004C2">
        <w:rPr>
          <w:sz w:val="22"/>
          <w:u w:val="single"/>
        </w:rPr>
        <w:t xml:space="preserve">The goal is to replace the hodgepodge of graduation-rate formulas, </w:t>
      </w:r>
      <w:r w:rsidRPr="00B004C2">
        <w:t xml:space="preserve">which often lead to inflated high school completion rates, </w:t>
      </w:r>
      <w:r w:rsidRPr="00B004C2">
        <w:rPr>
          <w:sz w:val="22"/>
          <w:u w:val="single"/>
        </w:rPr>
        <w:t>with a uniform</w:t>
      </w:r>
      <w:r w:rsidRPr="00B004C2">
        <w:t xml:space="preserve">, truer, and more comparable </w:t>
      </w:r>
      <w:r w:rsidRPr="00B004C2">
        <w:rPr>
          <w:sz w:val="22"/>
          <w:u w:val="single"/>
        </w:rPr>
        <w:t>picture</w:t>
      </w:r>
      <w:r w:rsidRPr="00B004C2">
        <w:t xml:space="preserve"> of how many students are graduating and how many are dropping out. That’s a difficult task because it generally requires assigning unique identifying numbers to all students and tracking their individual progress through school. Besides the Dakotas, </w:t>
      </w:r>
      <w:r w:rsidRPr="00B004C2">
        <w:rPr>
          <w:sz w:val="22"/>
          <w:u w:val="single"/>
        </w:rPr>
        <w:t>several states have been slow to implement the plan.</w:t>
      </w:r>
      <w:r w:rsidRPr="00B004C2">
        <w:t xml:space="preserve"> </w:t>
      </w:r>
      <w:r w:rsidRPr="00B004C2">
        <w:rPr>
          <w:b/>
          <w:sz w:val="22"/>
          <w:u w:val="single"/>
        </w:rPr>
        <w:t xml:space="preserve">Missouri hasn’t even begun to collect data on 9th graders because its data system isn’t ready, and won’t be until at least 2008. </w:t>
      </w:r>
      <w:r w:rsidRPr="00B004C2">
        <w:rPr>
          <w:sz w:val="22"/>
          <w:u w:val="single"/>
        </w:rPr>
        <w:t>Idaho intends to switch to using the uniform formula, and is planning to build a new data system, but hasn’t set a timeline for doing so.</w:t>
      </w:r>
      <w:r w:rsidRPr="00B004C2">
        <w:t xml:space="preserve"> Still </w:t>
      </w:r>
      <w:r w:rsidRPr="00B004C2">
        <w:rPr>
          <w:sz w:val="22"/>
          <w:u w:val="single"/>
        </w:rPr>
        <w:t xml:space="preserve">other states are trying to use the formula, but are </w:t>
      </w:r>
      <w:r w:rsidRPr="00B004C2">
        <w:rPr>
          <w:b/>
          <w:sz w:val="22"/>
          <w:u w:val="single"/>
        </w:rPr>
        <w:t>not fixing key discrepancies</w:t>
      </w:r>
      <w:r w:rsidRPr="00B004C2">
        <w:t xml:space="preserve">. </w:t>
      </w:r>
      <w:r w:rsidRPr="00B004C2">
        <w:rPr>
          <w:sz w:val="22"/>
          <w:u w:val="single"/>
        </w:rPr>
        <w:t xml:space="preserve">Illinois, for example, includes in its rate students who take longer than four years to graduate, according to the report. A crucial component of the NGA compact rate is using a four-year timeframe for graduates who obtain a high school diploma. </w:t>
      </w:r>
      <w:r w:rsidRPr="00B004C2">
        <w:t>Special education and limited-English-proficient students can be put in a separate category to allow them more time to graduate.</w:t>
      </w:r>
    </w:p>
    <w:p w:rsidR="00C47278" w:rsidRPr="00AA0D15" w:rsidRDefault="00C47278" w:rsidP="00C47278"/>
    <w:p w:rsidR="00C47278" w:rsidRPr="00AA0D15" w:rsidRDefault="00C47278" w:rsidP="00C47278">
      <w:pPr>
        <w:pStyle w:val="Heading3"/>
        <w:rPr>
          <w:rFonts w:cs="Times New Roman"/>
        </w:rPr>
      </w:pPr>
      <w:r w:rsidRPr="00AA0D15">
        <w:rPr>
          <w:rFonts w:cs="Times New Roman"/>
        </w:rPr>
        <w:t>AT interstate compacts</w:t>
      </w:r>
    </w:p>
    <w:p w:rsidR="00C47278" w:rsidRPr="00AA0D15" w:rsidRDefault="00C47278" w:rsidP="00C47278">
      <w:pPr>
        <w:pStyle w:val="Heading4"/>
        <w:rPr>
          <w:rFonts w:cs="Times New Roman"/>
        </w:rPr>
      </w:pPr>
      <w:r w:rsidRPr="00AA0D15">
        <w:rPr>
          <w:rFonts w:cs="Times New Roman"/>
        </w:rPr>
        <w:t>Interstate compacts ensure delay and complications --- create complex litigation</w:t>
      </w:r>
    </w:p>
    <w:p w:rsidR="00C47278" w:rsidRPr="00AA0D15" w:rsidRDefault="00C47278" w:rsidP="00C47278">
      <w:r w:rsidRPr="00B004C2">
        <w:rPr>
          <w:rStyle w:val="Style13ptBold"/>
        </w:rPr>
        <w:t>CSG 17</w:t>
      </w:r>
      <w:r w:rsidRPr="00AA0D15">
        <w:rPr>
          <w:b/>
        </w:rPr>
        <w:t xml:space="preserve"> – </w:t>
      </w:r>
      <w:r w:rsidRPr="00AA0D15">
        <w:t>Council of State Governments (“Capitol Ideas” http://www.csg.org/pubs/capitolideas/2017_jan_feb/pdf/CI_Jan_Feb_2017_Website.pdf)//ET</w:t>
      </w:r>
    </w:p>
    <w:p w:rsidR="00C47278" w:rsidRPr="00AA0D15" w:rsidRDefault="00C47278" w:rsidP="00C47278">
      <w:r w:rsidRPr="00B004C2">
        <w:rPr>
          <w:rFonts w:eastAsia="Times New Roman"/>
        </w:rPr>
        <w:t xml:space="preserve">According to Litwak and Masters, </w:t>
      </w:r>
      <w:r w:rsidRPr="00B004C2">
        <w:rPr>
          <w:rFonts w:eastAsia="Times New Roman"/>
          <w:b/>
          <w:sz w:val="22"/>
          <w:u w:val="single"/>
        </w:rPr>
        <w:t>among the problems facing a number of compacts is a lack of clarity in their development</w:t>
      </w:r>
      <w:r w:rsidRPr="00B004C2">
        <w:rPr>
          <w:rFonts w:eastAsia="Times New Roman"/>
          <w:sz w:val="22"/>
          <w:u w:val="single"/>
        </w:rPr>
        <w:t>. “Vagueness in compacts is a very bad idea</w:t>
      </w:r>
      <w:r w:rsidRPr="00B004C2">
        <w:rPr>
          <w:rFonts w:eastAsia="Times New Roman"/>
        </w:rPr>
        <w:t xml:space="preserve">,” said Masters, because </w:t>
      </w:r>
      <w:r w:rsidRPr="00B004C2">
        <w:rPr>
          <w:rFonts w:eastAsia="Times New Roman"/>
          <w:sz w:val="22"/>
          <w:u w:val="single"/>
        </w:rPr>
        <w:t>it can result in disputes and litigation. A lack of case law pertaining to compacts only compounds this problem. “Most compacts don’t have a body of law big enough for courts to know what the obligation is,”</w:t>
      </w:r>
      <w:r w:rsidRPr="00B004C2">
        <w:rPr>
          <w:rFonts w:eastAsia="Times New Roman"/>
        </w:rPr>
        <w:t xml:space="preserve"> said Litwak. “</w:t>
      </w:r>
      <w:r w:rsidRPr="00B004C2">
        <w:rPr>
          <w:rFonts w:eastAsia="Times New Roman"/>
          <w:sz w:val="22"/>
          <w:u w:val="single"/>
        </w:rPr>
        <w:t>What we’re seeing is that the U.S. Supreme Court is being much more focused on applying express terms to compact cases.”</w:t>
      </w:r>
      <w:r w:rsidRPr="00B004C2">
        <w:rPr>
          <w:rFonts w:eastAsia="Times New Roman"/>
        </w:rPr>
        <w:t xml:space="preserve"> National Challenges, State Solutions For state policymakers, interstate compacts represent a mechanism that provides state, rather than federal, solutions to regional or even national problems. “It’s simply a way for states to cooperate on an issue that crosses state lines without waiting for the federal government to jump in,” North Dakota state Rep. Kim Koppelman told attendees at the summit. Bowman agreed, suggesting the notion of states as “laboratories of democracy” is often enhanced when they work together through compacts. “Innovation works individually,” Bowman said, “but it also acts collectively.”</w:t>
      </w:r>
    </w:p>
    <w:p w:rsidR="00C47278" w:rsidRPr="00AA0D15" w:rsidRDefault="00C47278" w:rsidP="00C47278">
      <w:pPr>
        <w:pStyle w:val="Heading3"/>
        <w:rPr>
          <w:rFonts w:cs="Times New Roman"/>
        </w:rPr>
      </w:pPr>
      <w:r w:rsidRPr="00AA0D15">
        <w:rPr>
          <w:rFonts w:cs="Times New Roman"/>
        </w:rPr>
        <w:t>AT budget booster CP</w:t>
      </w:r>
    </w:p>
    <w:p w:rsidR="00C47278" w:rsidRPr="00AA0D15" w:rsidRDefault="00C47278" w:rsidP="00C47278">
      <w:pPr>
        <w:pStyle w:val="Heading4"/>
        <w:rPr>
          <w:rFonts w:cs="Times New Roman"/>
        </w:rPr>
      </w:pPr>
      <w:r w:rsidRPr="00AA0D15">
        <w:rPr>
          <w:rFonts w:cs="Times New Roman"/>
        </w:rPr>
        <w:t>Increasing taxes causes unstable budgets because revenues dependent on states</w:t>
      </w:r>
    </w:p>
    <w:p w:rsidR="00C47278" w:rsidRPr="00AA0D15" w:rsidRDefault="00C47278" w:rsidP="00C47278">
      <w:r w:rsidRPr="00AA0D15">
        <w:rPr>
          <w:b/>
        </w:rPr>
        <w:t xml:space="preserve">Quinton 16 – </w:t>
      </w:r>
      <w:r w:rsidRPr="00AA0D15">
        <w:t>Fiscal and Economic Policy journalist for Stateline, a division of PEW. (Sophie Quinton, 3/8, “Why Taxing the Wealthy Can Be Trouble for States”, http://www.pewtrusts.org/en/research-and-analysis/blogs/stateline/2016/03/08/why-taxing-the-wealthy-can-be-trouble-for-states)//ET</w:t>
      </w:r>
    </w:p>
    <w:p w:rsidR="00C47278" w:rsidRPr="00AA0D15" w:rsidRDefault="00C47278" w:rsidP="00C47278">
      <w:pPr>
        <w:rPr>
          <w:rStyle w:val="StyleUnderline"/>
        </w:rPr>
      </w:pPr>
      <w:r w:rsidRPr="00AA0D15">
        <w:rPr>
          <w:rStyle w:val="StyleUnderline"/>
        </w:rPr>
        <w:t>As the gap between the rich and the poor widens, states are finding that taxing the incomes of the rich means living with unstable budgets. That’s because wealthy Americans are more likely to have investments in the stock market. When the market falls, so do their tax payments.</w:t>
      </w:r>
      <w:r w:rsidRPr="00AA0D15">
        <w:t xml:space="preserve"> </w:t>
      </w:r>
      <w:r w:rsidRPr="00AA0D15">
        <w:rPr>
          <w:rStyle w:val="StyleUnderline"/>
        </w:rPr>
        <w:t>Stock market turmoil can hurt state pension funds</w:t>
      </w:r>
      <w:r w:rsidRPr="00AA0D15">
        <w:t xml:space="preserve">, too. But while it takes years for states to feel that impact, a dip in the markets — or a </w:t>
      </w:r>
      <w:r w:rsidRPr="00AA0D15">
        <w:rPr>
          <w:rStyle w:val="StyleUnderline"/>
        </w:rPr>
        <w:t>lackluster Wall Street bonus season</w:t>
      </w:r>
      <w:r w:rsidRPr="00AA0D15">
        <w:t xml:space="preserve"> </w:t>
      </w:r>
      <w:r w:rsidRPr="00AA0D15">
        <w:rPr>
          <w:rStyle w:val="StyleUnderline"/>
        </w:rPr>
        <w:t xml:space="preserve">— can create an immediate fiscal crisis. </w:t>
      </w:r>
      <w:r w:rsidRPr="00AA0D15">
        <w:t xml:space="preserve">Connecticut Gov. Dannel Malloy announced budget cuts in September as the sputtering stock market lowered revenue predictions. State analysts now predict a more than $200 million deficit, and the Democratic governor is preparing to announce layoffs and program cuts. Last week, he cut payments to hospitals by $140 million. California is bracing for lower-than-expected revenue from capital gains this year, and economists have advised New York legislators to scale back their expectations for next year (New York’s fiscal year ends this month). Some states are adapting by tweaking their rainy day funds. </w:t>
      </w:r>
      <w:r w:rsidRPr="00AA0D15">
        <w:rPr>
          <w:rStyle w:val="Emphasis"/>
        </w:rPr>
        <w:t>Fundamentally</w:t>
      </w:r>
      <w:r w:rsidRPr="00AA0D15">
        <w:t xml:space="preserve">, though, </w:t>
      </w:r>
      <w:r w:rsidRPr="00AA0D15">
        <w:rPr>
          <w:rStyle w:val="StyleUnderline"/>
        </w:rPr>
        <w:t>they’re grappling with a larger economic problem.</w:t>
      </w:r>
    </w:p>
    <w:p w:rsidR="00C47278" w:rsidRPr="00AA0D15" w:rsidRDefault="00C47278" w:rsidP="00C47278">
      <w:pPr>
        <w:pStyle w:val="Heading4"/>
        <w:rPr>
          <w:rFonts w:cs="Times New Roman"/>
        </w:rPr>
      </w:pPr>
      <w:r w:rsidRPr="00AA0D15">
        <w:rPr>
          <w:rFonts w:cs="Times New Roman"/>
        </w:rPr>
        <w:t>Top 1% are dependent on financial markets --- leads to future aff funding cuts</w:t>
      </w:r>
    </w:p>
    <w:p w:rsidR="00C47278" w:rsidRPr="00AA0D15" w:rsidRDefault="00C47278" w:rsidP="00C47278">
      <w:r w:rsidRPr="00AA0D15">
        <w:rPr>
          <w:b/>
        </w:rPr>
        <w:t>Frank 2011---</w:t>
      </w:r>
      <w:r w:rsidRPr="00AA0D15">
        <w:t xml:space="preserve"> journalist for The Wall Street Journal. (Robert, March 26, “The Price of Taxing the Rich”, https://www.wsj.com/articles/SB10001424052748704604704576220491592684626)//Et</w:t>
      </w:r>
    </w:p>
    <w:p w:rsidR="00C47278" w:rsidRPr="00AA0D15" w:rsidRDefault="00C47278" w:rsidP="00C47278">
      <w:r w:rsidRPr="00AA0D15">
        <w:t>New York, New Jersey, Connecticut and Illinois—</w:t>
      </w:r>
      <w:r w:rsidRPr="00AA0D15">
        <w:rPr>
          <w:rStyle w:val="StyleUnderline"/>
        </w:rPr>
        <w:t>states</w:t>
      </w:r>
      <w:r w:rsidRPr="00AA0D15">
        <w:t xml:space="preserve"> that are the most heavily </w:t>
      </w:r>
      <w:r w:rsidRPr="00AA0D15">
        <w:rPr>
          <w:rStyle w:val="StyleUnderline"/>
        </w:rPr>
        <w:t>reliant on the taxes of the wealthy</w:t>
      </w:r>
      <w:r w:rsidRPr="00AA0D15">
        <w:t>—</w:t>
      </w:r>
      <w:r w:rsidRPr="00AA0D15">
        <w:rPr>
          <w:rStyle w:val="StyleUnderline"/>
        </w:rPr>
        <w:t>are now among those with the biggest budget holes.</w:t>
      </w:r>
      <w:r w:rsidRPr="00AA0D15">
        <w:t xml:space="preserve"> A large population of rich residents was a blessing during the boom, </w:t>
      </w:r>
      <w:r w:rsidRPr="00AA0D15">
        <w:rPr>
          <w:rStyle w:val="StyleUnderline"/>
        </w:rPr>
        <w:t>showering states with billions in tax revenue</w:t>
      </w:r>
      <w:r w:rsidRPr="00AA0D15">
        <w:t xml:space="preserve">. But </w:t>
      </w:r>
      <w:r w:rsidRPr="00AA0D15">
        <w:rPr>
          <w:rStyle w:val="StyleUnderline"/>
        </w:rPr>
        <w:t xml:space="preserve">it </w:t>
      </w:r>
      <w:r w:rsidRPr="00AA0D15">
        <w:rPr>
          <w:rStyle w:val="Emphasis"/>
        </w:rPr>
        <w:t xml:space="preserve">became a curse as their incomes collapsed with financial markets. </w:t>
      </w:r>
      <w:r w:rsidRPr="00AA0D15">
        <w:t xml:space="preserve">Arriving at a time of greatly increased public spending, this reversal highlights the dependence of the states on the outsize incomes of the wealthy. The result for state finances and budgets has been extreme volatility. In New York before the recession, the top 1% of earners, who made more than $580,000 a year, paid 41% of the state's income taxes in 2007, up from 25% in 1994, according to state tax data. The top 1% of taxpayers paid 40% or more of state income taxes in New Jersey and Connecticut. In Illinois, which has a flat income-tax rate of 5%, the top 15% paid more than half the state's income taxes. This </w:t>
      </w:r>
      <w:r w:rsidRPr="00AA0D15">
        <w:rPr>
          <w:rStyle w:val="StyleUnderline"/>
        </w:rPr>
        <w:t>growing dependence on wealthy taxpayers is being driven by soaring salaries at the top of the income ladder and by the nation's progressive income taxes,</w:t>
      </w:r>
      <w:r w:rsidRPr="00AA0D15">
        <w:t xml:space="preserve"> which </w:t>
      </w:r>
      <w:r w:rsidRPr="00AA0D15">
        <w:rPr>
          <w:rStyle w:val="StyleUnderline"/>
        </w:rPr>
        <w:t>levy the highest rates on the highest taxable incomes</w:t>
      </w:r>
      <w:r w:rsidRPr="00AA0D15">
        <w:t xml:space="preserve">. </w:t>
      </w:r>
      <w:r w:rsidRPr="00AA0D15">
        <w:rPr>
          <w:rStyle w:val="StyleUnderline"/>
        </w:rPr>
        <w:t>The top federal income-tax rate has fallen dramatically over the past century,</w:t>
      </w:r>
      <w:r w:rsidRPr="00AA0D15">
        <w:t xml:space="preserve"> from more than 90% during World War II to 35% today. But the top tax rate—which applies to joint filers reporting $379,000 in taxable income—is still twice as high as the rate for joint filers reporting income of $69,000 or less. The future of federal income taxes on the wealthy remains in flux. The top tax rate is 35%, following the Congressional tax battle last year. But in 2013, the rate is scheduled to go back to 39.6% unless Congress takes further action.</w:t>
      </w:r>
    </w:p>
    <w:p w:rsidR="00C47278" w:rsidRPr="00AA0D15" w:rsidRDefault="00C47278" w:rsidP="00C47278">
      <w:pPr>
        <w:pStyle w:val="Heading4"/>
        <w:rPr>
          <w:rFonts w:cs="Times New Roman"/>
        </w:rPr>
      </w:pPr>
      <w:r w:rsidRPr="00AA0D15">
        <w:rPr>
          <w:rFonts w:cs="Times New Roman"/>
        </w:rPr>
        <w:t>Increasing income tax causes wealthy to leave the U.S.</w:t>
      </w:r>
    </w:p>
    <w:p w:rsidR="00C47278" w:rsidRPr="00AA0D15" w:rsidRDefault="00C47278" w:rsidP="00C47278">
      <w:r w:rsidRPr="00AA0D15">
        <w:rPr>
          <w:b/>
        </w:rPr>
        <w:t xml:space="preserve">Chougule 2017 ---  </w:t>
      </w:r>
      <w:r w:rsidRPr="00AA0D15">
        <w:t>JD from Yale, executive editor at The American Conservative. He was previously the managing editor at The National Interest.</w:t>
      </w:r>
      <w:r w:rsidRPr="00AA0D15">
        <w:rPr>
          <w:b/>
        </w:rPr>
        <w:t xml:space="preserve"> </w:t>
      </w:r>
      <w:r w:rsidRPr="00AA0D15">
        <w:t>(PRATIK CHOUGULE, 4/29 “Will High Taxes Force the Rich to Leave America?”, http://www.theamericanconservative.com/articles/will-high-taxes-force-the-rich-to-leave-america/)//ET</w:t>
      </w:r>
    </w:p>
    <w:p w:rsidR="00C47278" w:rsidRPr="00AA0D15" w:rsidRDefault="00C47278" w:rsidP="00C47278">
      <w:pPr>
        <w:rPr>
          <w:rStyle w:val="Emphasis"/>
        </w:rPr>
      </w:pPr>
      <w:r w:rsidRPr="00AA0D15">
        <w:t xml:space="preserve">Treasury Secretary Steve Mnuchin is promising the “biggest tax cut” in U.S. history. A drop in the corporate rate from 35 to 15 percent would indeed be transformative. But for </w:t>
      </w:r>
      <w:r w:rsidRPr="00AA0D15">
        <w:rPr>
          <w:rStyle w:val="StyleUnderline"/>
        </w:rPr>
        <w:t>wealthy individuals</w:t>
      </w:r>
      <w:r w:rsidRPr="00AA0D15">
        <w:t xml:space="preserve">, who </w:t>
      </w:r>
      <w:r w:rsidRPr="00AA0D15">
        <w:rPr>
          <w:rStyle w:val="StyleUnderline"/>
        </w:rPr>
        <w:t xml:space="preserve">foot the bill for America’s debt-fueled spending binge, Trump’s plan offers little relief. </w:t>
      </w:r>
      <w:r w:rsidRPr="00AA0D15">
        <w:t xml:space="preserve">The latest IRS data reveals that </w:t>
      </w:r>
      <w:r w:rsidRPr="00AA0D15">
        <w:rPr>
          <w:rStyle w:val="StyleUnderline"/>
        </w:rPr>
        <w:t>the top 1 percent of earners pay over 39 percent of total personal income tax revenues</w:t>
      </w:r>
      <w:r w:rsidRPr="00AA0D15">
        <w:t xml:space="preserve">, while the top 5 percent pay 60 percent. Trump’s proposed reduction of the top personal income tax rate from 39.6 percent to 35 percent—the same rate that prevailed as recently as 2012 when Barack Obama and Nancy Pelosi were in charge—would not fundamentally change this equation. What might change, however, is the willingness of the rich to keep paying their taxes in the first place. </w:t>
      </w:r>
      <w:r w:rsidRPr="00AA0D15">
        <w:rPr>
          <w:rStyle w:val="StyleUnderline"/>
        </w:rPr>
        <w:t>The fact that a Republican-controlled government will not even propose a rate below 35 percent sends an unambiguous message to the wealthy</w:t>
      </w:r>
      <w:r w:rsidRPr="00AA0D15">
        <w:t xml:space="preserve">. America has arrived at a new national consensus: a populist Republican Party now agrees with the Democrats that a tiny sliver of Americans should pay for everyone else’s entitlements. This paradigm shift should concern even those who otherwise agree with White House chief strategist Stephen Bannon that “all this theoretical Cato Institute, Austrian economics, limited government…doesn’t have any depth to it.” </w:t>
      </w:r>
      <w:r w:rsidRPr="00AA0D15">
        <w:rPr>
          <w:rStyle w:val="StyleUnderline"/>
        </w:rPr>
        <w:t>There’s nothing theoretical about the fact that the wealthy</w:t>
      </w:r>
      <w:r w:rsidRPr="00AA0D15">
        <w:t>—and the aspiring rich—</w:t>
      </w:r>
      <w:r w:rsidRPr="00AA0D15">
        <w:rPr>
          <w:rStyle w:val="StyleUnderline"/>
        </w:rPr>
        <w:t>have unprecedented opportunities to move their money abroad, beyond the reach of the IRS.</w:t>
      </w:r>
      <w:r w:rsidRPr="00AA0D15">
        <w:t xml:space="preserve"> Whatever fantasies of “social justice” or “economic nationalism” Washington is dreaming up, the game is over once the wealthy take to the shores of other countries less enchanted with Robin Hood economics. Tax evasion, as David Burg notes in his encyclopedia of tax rebellions, “has been rampant and widespread from antiquity to the present” and probably “the most common of all forms of tax protest.” Already, the Congressional Research Service estimates that the United States could be losing up to $100 billion in tax revenues from individual tax evasion. This figure could be a mere pittance compared to the amount of </w:t>
      </w:r>
      <w:r w:rsidRPr="00AA0D15">
        <w:rPr>
          <w:rStyle w:val="StyleUnderline"/>
        </w:rPr>
        <w:t>tax avoidance</w:t>
      </w:r>
      <w:r w:rsidRPr="00AA0D15">
        <w:t xml:space="preserve">—much of it </w:t>
      </w:r>
      <w:r w:rsidRPr="00AA0D15">
        <w:rPr>
          <w:rStyle w:val="StyleUnderline"/>
        </w:rPr>
        <w:t>entirely legal</w:t>
      </w:r>
      <w:r w:rsidRPr="00AA0D15">
        <w:t xml:space="preserve">—that </w:t>
      </w:r>
      <w:r w:rsidRPr="00AA0D15">
        <w:rPr>
          <w:rStyle w:val="StyleUnderline"/>
        </w:rPr>
        <w:t>could proliferate through international tax havens</w:t>
      </w:r>
      <w:r w:rsidRPr="00AA0D15">
        <w:rPr>
          <w:rStyle w:val="Emphasis"/>
        </w:rPr>
        <w:t>. The higher the government keeps its upper income personal tax rate, the more likely it is that a wealthy elit</w:t>
      </w:r>
      <w:r w:rsidRPr="00AA0D15">
        <w:t>e—</w:t>
      </w:r>
      <w:r w:rsidRPr="00AA0D15">
        <w:rPr>
          <w:rStyle w:val="StyleUnderline"/>
        </w:rPr>
        <w:t>empowered by globalization</w:t>
      </w:r>
      <w:r w:rsidRPr="00AA0D15">
        <w:t xml:space="preserve">, </w:t>
      </w:r>
      <w:r w:rsidRPr="00AA0D15">
        <w:rPr>
          <w:rStyle w:val="StyleUnderline"/>
        </w:rPr>
        <w:t>inspired by anti-statist ideologies</w:t>
      </w:r>
      <w:r w:rsidRPr="00AA0D15">
        <w:t xml:space="preserve">, </w:t>
      </w:r>
      <w:r w:rsidRPr="00AA0D15">
        <w:rPr>
          <w:rStyle w:val="StyleUnderline"/>
        </w:rPr>
        <w:t>and enabled with technological innovation—</w:t>
      </w:r>
      <w:r w:rsidRPr="00AA0D15">
        <w:rPr>
          <w:rStyle w:val="Emphasis"/>
        </w:rPr>
        <w:t>will leave the United States behind.</w:t>
      </w:r>
    </w:p>
    <w:p w:rsidR="00C47278" w:rsidRPr="00AA0D15" w:rsidRDefault="00C47278" w:rsidP="00C47278"/>
    <w:p w:rsidR="00B004C2" w:rsidRPr="00AA0D15" w:rsidRDefault="00B004C2" w:rsidP="00B004C2">
      <w:pPr>
        <w:pStyle w:val="Heading3"/>
        <w:rPr>
          <w:rFonts w:cs="Times New Roman"/>
        </w:rPr>
      </w:pPr>
      <w:r w:rsidRPr="00AA0D15">
        <w:rPr>
          <w:rFonts w:cs="Times New Roman"/>
        </w:rPr>
        <w:t>AT federalism – NU</w:t>
      </w:r>
    </w:p>
    <w:p w:rsidR="00B004C2" w:rsidRPr="00AA0D15" w:rsidRDefault="00B004C2" w:rsidP="00B004C2">
      <w:pPr>
        <w:pStyle w:val="Heading4"/>
        <w:rPr>
          <w:rFonts w:cs="Times New Roman"/>
        </w:rPr>
      </w:pPr>
      <w:r w:rsidRPr="00AA0D15">
        <w:rPr>
          <w:rFonts w:cs="Times New Roman"/>
        </w:rPr>
        <w:t>Federalism is already thumped by previous deseg cases</w:t>
      </w:r>
    </w:p>
    <w:p w:rsidR="00B004C2" w:rsidRPr="00C81BC7" w:rsidRDefault="00B004C2" w:rsidP="00B004C2">
      <w:r w:rsidRPr="00C81BC7">
        <w:rPr>
          <w:rStyle w:val="Style13ptBold"/>
        </w:rPr>
        <w:t>Henderson 4</w:t>
      </w:r>
      <w:r w:rsidRPr="00C81BC7">
        <w:t xml:space="preserve"> – Lenneal J, distinguished professor emeritus School of Public and International Affairs at University of Baltimore, “Brown v. Board of Education at 50: The Multiple Legacies for Policy and Administration,” Public Administration Review; Washington 64.3, May/June 2004, pages 270-274, accessed via proquest//ninerz </w:t>
      </w:r>
    </w:p>
    <w:p w:rsidR="00B004C2" w:rsidRPr="00AA0D15" w:rsidRDefault="00B004C2" w:rsidP="00B004C2">
      <w:pPr>
        <w:rPr>
          <w:sz w:val="26"/>
          <w:szCs w:val="26"/>
        </w:rPr>
      </w:pPr>
      <w:r w:rsidRPr="00AA0D15">
        <w:rPr>
          <w:rStyle w:val="Emphasis"/>
        </w:rPr>
        <w:t xml:space="preserve">Brown and American Federalism </w:t>
      </w:r>
      <w:r w:rsidRPr="00AA0D15">
        <w:rPr>
          <w:sz w:val="14"/>
        </w:rPr>
        <w:t xml:space="preserve">Clearly, </w:t>
      </w:r>
      <w:r w:rsidRPr="00AA0D15">
        <w:rPr>
          <w:rStyle w:val="StyleUnderline"/>
        </w:rPr>
        <w:t xml:space="preserve">Brown and </w:t>
      </w:r>
      <w:r w:rsidRPr="00AA0D15">
        <w:rPr>
          <w:rStyle w:val="Emphasis"/>
        </w:rPr>
        <w:t>subsequent cases on school desegregation</w:t>
      </w:r>
      <w:r w:rsidRPr="00AA0D15">
        <w:rPr>
          <w:sz w:val="14"/>
        </w:rPr>
        <w:t xml:space="preserve"> </w:t>
      </w:r>
      <w:r w:rsidRPr="00AA0D15">
        <w:rPr>
          <w:rStyle w:val="Emphasis"/>
          <w:sz w:val="26"/>
          <w:szCs w:val="26"/>
        </w:rPr>
        <w:t>have profound consequences for federalism</w:t>
      </w:r>
      <w:r w:rsidRPr="00AA0D15">
        <w:rPr>
          <w:sz w:val="14"/>
        </w:rPr>
        <w:t xml:space="preserve">, </w:t>
      </w:r>
      <w:r w:rsidRPr="00AA0D15">
        <w:rPr>
          <w:rStyle w:val="StyleUnderline"/>
        </w:rPr>
        <w:t>both as a value and as a process</w:t>
      </w:r>
      <w:r w:rsidRPr="00AA0D15">
        <w:rPr>
          <w:sz w:val="14"/>
        </w:rPr>
        <w:t xml:space="preserve">. As David Walker argues, </w:t>
      </w:r>
      <w:r w:rsidRPr="00AA0D15">
        <w:rPr>
          <w:rStyle w:val="StyleUnderline"/>
        </w:rPr>
        <w:t xml:space="preserve">cases like Brown </w:t>
      </w:r>
      <w:r w:rsidRPr="00AA0D15">
        <w:rPr>
          <w:rStyle w:val="Emphasis"/>
        </w:rPr>
        <w:t>restructured federal-state relations</w:t>
      </w:r>
      <w:r w:rsidRPr="00AA0D15">
        <w:rPr>
          <w:sz w:val="14"/>
        </w:rPr>
        <w:t xml:space="preserve"> </w:t>
      </w:r>
      <w:r w:rsidRPr="00AA0D15">
        <w:rPr>
          <w:rStyle w:val="StyleUnderline"/>
        </w:rPr>
        <w:t>and</w:t>
      </w:r>
      <w:r w:rsidRPr="00AA0D15">
        <w:rPr>
          <w:sz w:val="14"/>
        </w:rPr>
        <w:t xml:space="preserve">, no doubt, restructured key aspects of </w:t>
      </w:r>
      <w:r w:rsidRPr="00AA0D15">
        <w:rPr>
          <w:rStyle w:val="StyleUnderline"/>
        </w:rPr>
        <w:t>state-local relations</w:t>
      </w:r>
      <w:r w:rsidRPr="00AA0D15">
        <w:rPr>
          <w:sz w:val="14"/>
        </w:rPr>
        <w:t xml:space="preserve"> (Walker 2000). In its interpretation of the Fourteenth Amendment, </w:t>
      </w:r>
      <w:r w:rsidRPr="00AA0D15">
        <w:rPr>
          <w:rStyle w:val="StyleUnderline"/>
        </w:rPr>
        <w:t>the Supreme Court</w:t>
      </w:r>
      <w:r w:rsidRPr="00AA0D15">
        <w:rPr>
          <w:sz w:val="14"/>
        </w:rPr>
        <w:t xml:space="preserve"> not only rejected the doctrine of separate but equal, but also </w:t>
      </w:r>
      <w:r w:rsidRPr="00AA0D15">
        <w:rPr>
          <w:rStyle w:val="StyleUnderline"/>
        </w:rPr>
        <w:t xml:space="preserve">seemed to </w:t>
      </w:r>
      <w:r w:rsidRPr="00AA0D15">
        <w:rPr>
          <w:rStyle w:val="Emphasis"/>
        </w:rPr>
        <w:t>reject the notion of states rights</w:t>
      </w:r>
      <w:r w:rsidRPr="00AA0D15">
        <w:rPr>
          <w:sz w:val="14"/>
        </w:rPr>
        <w:t xml:space="preserve"> when federal constitutional rights are at stake. In the Brown ruling, Chief Justice Earl Warren, then a recent state governor himself, indicated that education "is perhaps the most important function of state and local governments." But he was also quick to point out that black children in segregated school districts were deprived of their federal constitutional rights under the Fourteenth Amendment. </w:t>
      </w:r>
      <w:r w:rsidRPr="00AA0D15">
        <w:rPr>
          <w:rStyle w:val="StyleUnderline"/>
        </w:rPr>
        <w:t xml:space="preserve">Clearly, the federal government is </w:t>
      </w:r>
      <w:r w:rsidRPr="00AA0D15">
        <w:rPr>
          <w:rStyle w:val="Emphasis"/>
        </w:rPr>
        <w:t>asserting a preemptive interest in educational equity and responsibility</w:t>
      </w:r>
      <w:r w:rsidRPr="00AA0D15">
        <w:rPr>
          <w:rStyle w:val="StyleUnderline"/>
        </w:rPr>
        <w:t xml:space="preserve"> in relation to both states and local school systems. Rulings subsequent to Brown addressed such intergovernmental issues as the use of property taxes to finance public schools (</w:t>
      </w:r>
      <w:r w:rsidRPr="00AA0D15">
        <w:rPr>
          <w:sz w:val="14"/>
        </w:rPr>
        <w:t xml:space="preserve">Odden and Picus 2004), </w:t>
      </w:r>
      <w:r w:rsidRPr="00AA0D15">
        <w:rPr>
          <w:rStyle w:val="StyleUnderline"/>
        </w:rPr>
        <w:t>the appropriate use of busing to achieve racial integration within school districts, the constitutionality of city-suburban or metropolitan school districts, and whether and to what extent states could establish education as a right beyond federal constitutional guarantees</w:t>
      </w:r>
      <w:r w:rsidRPr="00AA0D15">
        <w:rPr>
          <w:sz w:val="14"/>
        </w:rPr>
        <w:t xml:space="preserve">. Even the </w:t>
      </w:r>
      <w:r w:rsidRPr="00AA0D15">
        <w:rPr>
          <w:rStyle w:val="Emphasis"/>
        </w:rPr>
        <w:t>current debate</w:t>
      </w:r>
      <w:r w:rsidRPr="00AA0D15">
        <w:rPr>
          <w:sz w:val="14"/>
        </w:rPr>
        <w:t xml:space="preserve"> over the 2001 No Child Left Behind law </w:t>
      </w:r>
      <w:r w:rsidRPr="00AA0D15">
        <w:rPr>
          <w:rStyle w:val="Emphasis"/>
        </w:rPr>
        <w:t>is fraught with implications for</w:t>
      </w:r>
      <w:r w:rsidRPr="00AA0D15">
        <w:rPr>
          <w:rStyle w:val="StyleUnderline"/>
        </w:rPr>
        <w:t xml:space="preserve"> </w:t>
      </w:r>
      <w:r w:rsidRPr="00AA0D15">
        <w:rPr>
          <w:sz w:val="14"/>
        </w:rPr>
        <w:t>both racial equity and</w:t>
      </w:r>
      <w:r w:rsidRPr="00AA0D15">
        <w:rPr>
          <w:rStyle w:val="StyleUnderline"/>
        </w:rPr>
        <w:t xml:space="preserve"> </w:t>
      </w:r>
      <w:r w:rsidRPr="00AA0D15">
        <w:rPr>
          <w:rStyle w:val="Emphasis"/>
          <w:sz w:val="26"/>
          <w:szCs w:val="26"/>
        </w:rPr>
        <w:t>the relative roles and responsibilities of federal, state, and local governments in education policy</w:t>
      </w:r>
      <w:r w:rsidRPr="00AA0D15">
        <w:rPr>
          <w:sz w:val="26"/>
          <w:szCs w:val="26"/>
        </w:rPr>
        <w:t>.</w:t>
      </w:r>
    </w:p>
    <w:p w:rsidR="00C81BC7" w:rsidRPr="00AA0D15" w:rsidRDefault="00C81BC7" w:rsidP="00C81BC7">
      <w:pPr>
        <w:pStyle w:val="Heading2"/>
        <w:rPr>
          <w:rFonts w:cs="Times New Roman"/>
        </w:rPr>
      </w:pPr>
      <w:r w:rsidRPr="00AA0D15">
        <w:rPr>
          <w:rFonts w:cs="Times New Roman"/>
        </w:rPr>
        <w:t>BUDGET TRADEOFF DA</w:t>
      </w:r>
    </w:p>
    <w:p w:rsidR="00C81BC7" w:rsidRPr="00AA0D15" w:rsidRDefault="00C81BC7" w:rsidP="00C81BC7">
      <w:pPr>
        <w:pStyle w:val="Heading3"/>
        <w:rPr>
          <w:rFonts w:cs="Times New Roman"/>
        </w:rPr>
      </w:pPr>
      <w:r w:rsidRPr="00AA0D15">
        <w:rPr>
          <w:rFonts w:cs="Times New Roman"/>
        </w:rPr>
        <w:t>2ac</w:t>
      </w:r>
    </w:p>
    <w:p w:rsidR="00C81BC7" w:rsidRPr="00AA0D15" w:rsidRDefault="00C81BC7" w:rsidP="00C81BC7">
      <w:pPr>
        <w:pStyle w:val="Heading4"/>
        <w:rPr>
          <w:rFonts w:cs="Times New Roman"/>
        </w:rPr>
      </w:pPr>
      <w:r w:rsidRPr="00AA0D15">
        <w:rPr>
          <w:rFonts w:cs="Times New Roman"/>
        </w:rPr>
        <w:t>K-12 education trades off with university education</w:t>
      </w:r>
    </w:p>
    <w:p w:rsidR="00C81BC7" w:rsidRPr="00AA0D15" w:rsidRDefault="00C81BC7" w:rsidP="00C81BC7">
      <w:r w:rsidRPr="00AA0D15">
        <w:rPr>
          <w:b/>
        </w:rPr>
        <w:t xml:space="preserve">Buhler 14 </w:t>
      </w:r>
      <w:r w:rsidRPr="00AA0D15">
        <w:t>--- PhD candidate in political science. (David L. Buhler, “THE DECLINE IN STATE FUNDING OF PUBLIC HIGHER EDUCATION IN THE UNITED STATES: COMPETING BUDGET PRIORITIES AND STATE VARIATIONS”, Dissertation, http://pqdtopen.proquest.com/doc/1654778751.html?FMT=ABS)//ET</w:t>
      </w:r>
    </w:p>
    <w:p w:rsidR="00C81BC7" w:rsidRPr="00AA0D15" w:rsidRDefault="00C81BC7" w:rsidP="00C81BC7">
      <w:pPr>
        <w:rPr>
          <w:sz w:val="14"/>
        </w:rPr>
      </w:pPr>
      <w:r w:rsidRPr="00AA0D15">
        <w:rPr>
          <w:rStyle w:val="StyleUnderline"/>
        </w:rPr>
        <w:t>When state legislators decide budget priorities</w:t>
      </w:r>
      <w:r w:rsidRPr="00AA0D15">
        <w:rPr>
          <w:sz w:val="14"/>
        </w:rPr>
        <w:t xml:space="preserve">, Hovey (1999) argues, </w:t>
      </w:r>
      <w:r w:rsidRPr="00AA0D15">
        <w:rPr>
          <w:rStyle w:val="Emphasis"/>
        </w:rPr>
        <w:t>it “is a zero sum game</w:t>
      </w:r>
      <w:r w:rsidRPr="00AA0D15">
        <w:rPr>
          <w:sz w:val="14"/>
        </w:rPr>
        <w:t xml:space="preserve">” </w:t>
      </w:r>
      <w:r w:rsidRPr="00AA0D15">
        <w:rPr>
          <w:rStyle w:val="StyleUnderline"/>
        </w:rPr>
        <w:t>as gains for one budget category mean a loss for another as available resources are divided among all state priorities</w:t>
      </w:r>
      <w:r w:rsidRPr="00AA0D15">
        <w:rPr>
          <w:sz w:val="14"/>
        </w:rPr>
        <w:t xml:space="preserve"> (p. 20). An economist, Robert Tourkoushian (2009), concluded that </w:t>
      </w:r>
      <w:r w:rsidRPr="00AA0D15">
        <w:rPr>
          <w:rStyle w:val="StyleUnderline"/>
        </w:rPr>
        <w:t xml:space="preserve">higher education is seen as </w:t>
      </w:r>
      <w:r w:rsidRPr="00AA0D15">
        <w:rPr>
          <w:rStyle w:val="Emphasis"/>
        </w:rPr>
        <w:t>more discretionary</w:t>
      </w:r>
      <w:r w:rsidRPr="00AA0D15">
        <w:rPr>
          <w:rStyle w:val="StyleUnderline"/>
        </w:rPr>
        <w:t xml:space="preserve"> than other categories</w:t>
      </w:r>
      <w:r w:rsidRPr="00AA0D15">
        <w:rPr>
          <w:sz w:val="14"/>
        </w:rPr>
        <w:t xml:space="preserve">. He found that “significant </w:t>
      </w:r>
      <w:r w:rsidRPr="00AA0D15">
        <w:rPr>
          <w:rStyle w:val="StyleUnderline"/>
        </w:rPr>
        <w:t>enrollment increases at the K-12 level</w:t>
      </w:r>
      <w:r w:rsidRPr="00AA0D15">
        <w:rPr>
          <w:sz w:val="14"/>
        </w:rPr>
        <w:t xml:space="preserve"> beginning in the mid-1990s increased </w:t>
      </w:r>
      <w:r w:rsidRPr="00AA0D15">
        <w:rPr>
          <w:rStyle w:val="StyleUnderline"/>
        </w:rPr>
        <w:t>legislative demand for K-12 funding</w:t>
      </w:r>
      <w:r w:rsidRPr="00AA0D15">
        <w:rPr>
          <w:sz w:val="14"/>
        </w:rPr>
        <w:t xml:space="preserve">…[and] </w:t>
      </w:r>
      <w:r w:rsidRPr="00AA0D15">
        <w:rPr>
          <w:rStyle w:val="Emphasis"/>
        </w:rPr>
        <w:t>K-12 is a competing interest group for higher education in terms of state funding</w:t>
      </w:r>
      <w:r w:rsidRPr="00AA0D15">
        <w:rPr>
          <w:sz w:val="14"/>
        </w:rPr>
        <w:t xml:space="preserve">” (pp. 82-83). Noting that it is difficult to document, Tourkoushian speculates that </w:t>
      </w:r>
      <w:r w:rsidRPr="00AA0D15">
        <w:rPr>
          <w:rStyle w:val="StyleUnderline"/>
        </w:rPr>
        <w:t>there is a growing perception among many policymakers that higher education is a good that produces mainly private and not social benefits resulting in diminishing support</w:t>
      </w:r>
      <w:r w:rsidRPr="00AA0D15">
        <w:rPr>
          <w:sz w:val="14"/>
        </w:rPr>
        <w:t xml:space="preserve">: “If society believed that the benefit/cost ratio for higher education was higher than in other areas, then more funds would be redirected toward education (p. 83).” This result may be because of difficulty in measuring societal benefits. Like others, Tourkoushian’s study points out the “discretionary” nature of higher education funding. </w:t>
      </w:r>
      <w:r w:rsidRPr="00AA0D15">
        <w:rPr>
          <w:rStyle w:val="StyleUnderline"/>
        </w:rPr>
        <w:t>His speculation that the growing tendency to view higher education as a “private good” that could result in less legislative support is helpful in considering why support may have diminished</w:t>
      </w:r>
      <w:r w:rsidRPr="00AA0D15">
        <w:rPr>
          <w:sz w:val="14"/>
        </w:rPr>
        <w:t xml:space="preserve">. However, his faith in a rational economic choice model—if only legislators considered the costs versus benefits, more funding would result—ignores the political rationality of legislative budgeting that entails the piecemeal results of log-rolling compromises and hard bargains over competing values, ideology, and priorities. These political factors are noted, for instance, by Gosling (2006), Rubin (2006), and Stone (2001). </w:t>
      </w:r>
    </w:p>
    <w:p w:rsidR="00C81BC7" w:rsidRPr="00AA0D15" w:rsidRDefault="00C81BC7" w:rsidP="00C81BC7">
      <w:pPr>
        <w:pStyle w:val="Heading4"/>
        <w:rPr>
          <w:rFonts w:cs="Times New Roman"/>
        </w:rPr>
      </w:pPr>
      <w:r w:rsidRPr="00AA0D15">
        <w:rPr>
          <w:rFonts w:cs="Times New Roman"/>
        </w:rPr>
        <w:t xml:space="preserve">Public university funding key to solve disease </w:t>
      </w:r>
    </w:p>
    <w:p w:rsidR="00C81BC7" w:rsidRPr="00AA0D15" w:rsidRDefault="00C81BC7" w:rsidP="00C81BC7">
      <w:r w:rsidRPr="00AA0D15">
        <w:rPr>
          <w:b/>
        </w:rPr>
        <w:t xml:space="preserve">Jahnke 15 </w:t>
      </w:r>
      <w:r w:rsidRPr="00AA0D15">
        <w:t>--- Executive editor at BU Today. (ART JAHNKE, “Who Picks Up the Tab for Science?”, http://www.bu.edu/research/articles/funding-for-scientific-research/)//ET</w:t>
      </w:r>
    </w:p>
    <w:p w:rsidR="00C81BC7" w:rsidRPr="00AA0D15" w:rsidRDefault="00C81BC7" w:rsidP="00C81BC7">
      <w:pPr>
        <w:rPr>
          <w:sz w:val="14"/>
        </w:rPr>
      </w:pPr>
      <w:r w:rsidRPr="00AA0D15">
        <w:rPr>
          <w:sz w:val="14"/>
        </w:rPr>
        <w:t>“</w:t>
      </w:r>
      <w:r w:rsidRPr="00AA0D15">
        <w:rPr>
          <w:rStyle w:val="StyleUnderline"/>
        </w:rPr>
        <w:t>The situation is serious</w:t>
      </w:r>
      <w:r w:rsidRPr="00AA0D15">
        <w:rPr>
          <w:sz w:val="14"/>
        </w:rPr>
        <w:t xml:space="preserve">,” says Gerald Denis, a BU School of Medicine (MED) associate professor of pharmacology and medicine in the Cancer Research Center and a fellow of the Obesity Society. “The last few years of </w:t>
      </w:r>
      <w:r w:rsidRPr="00AA0D15">
        <w:rPr>
          <w:rStyle w:val="Emphasis"/>
        </w:rPr>
        <w:t>funding uncertainties</w:t>
      </w:r>
      <w:r w:rsidRPr="00AA0D15">
        <w:rPr>
          <w:sz w:val="14"/>
        </w:rPr>
        <w:t xml:space="preserve"> </w:t>
      </w:r>
      <w:r w:rsidRPr="00AA0D15">
        <w:rPr>
          <w:rStyle w:val="StyleUnderline"/>
        </w:rPr>
        <w:t xml:space="preserve">have been </w:t>
      </w:r>
      <w:r w:rsidRPr="00AA0D15">
        <w:rPr>
          <w:rStyle w:val="Emphasis"/>
        </w:rPr>
        <w:t>deadly</w:t>
      </w:r>
      <w:r w:rsidRPr="00AA0D15">
        <w:rPr>
          <w:sz w:val="14"/>
        </w:rPr>
        <w:t xml:space="preserve">, and several investigators I know have lost their jobs because grants were terminated. </w:t>
      </w:r>
      <w:r w:rsidRPr="00AA0D15">
        <w:rPr>
          <w:rStyle w:val="StyleUnderline"/>
        </w:rPr>
        <w:t>Cancer cohorts have been lost, long-term studies decimated.</w:t>
      </w:r>
      <w:r w:rsidRPr="00AA0D15">
        <w:rPr>
          <w:sz w:val="14"/>
        </w:rPr>
        <w:t xml:space="preserve"> Who will be around to make the next set of American medical discoveries and advances? </w:t>
      </w:r>
      <w:r w:rsidRPr="00AA0D15">
        <w:rPr>
          <w:rStyle w:val="StyleUnderline"/>
        </w:rPr>
        <w:t xml:space="preserve">This is no way to maintain </w:t>
      </w:r>
      <w:r w:rsidRPr="00AA0D15">
        <w:rPr>
          <w:rStyle w:val="Emphasis"/>
        </w:rPr>
        <w:t xml:space="preserve">international scientific leadership.” </w:t>
      </w:r>
      <w:r w:rsidRPr="00AA0D15">
        <w:rPr>
          <w:sz w:val="14"/>
        </w:rPr>
        <w:t>2015-research-series-part-01-140-billion $140 Billion THE FEDERAL GOVERNMENT PAYS ALMOST $140 BILLION A YEAR FOR RESEARCH AND DEVELOPMENT, DOWN FROM $160 BILLION IN 2010 Going Down According to the American Association for the Advancement of Science (AAAS), the federal government pays almost $140 billion a year for research and development, down from a 2010 peak of about $160 billion, in constant dollars. (In 2009, the American Recovery and Reinvestment Act [ARRA] added another $20 billion to the budget, for a total of about $180 billion for R&amp;D.) Since the 2010 apex, cuts to discretionary spending have clipped R&amp;D funds by 15.4 percent in inflation-adjusted spending, although nondefense R&amp;D has declined only 4.9 percent. According to the American Association for the Advancement of Science (AAAS), Congressional cuts, along with the across-the-board reductions known as sequestration, from 2010 to 2013 resulted in the largest overall decrease in a three-year period since the end of the space race. Seen from a longer perspective, federal spending on R&amp;D as a share of the gross domestic product has been in a long, slow slide from the 1970s, when it peaked above 2 percent. The AAAS puts the fiscal year 2014 figure at 0.78 percent. Richard Myers, a MED professor of neurology and the author of more than 250 papers, says his funding “came to a screeching halt” in 2008. On those rare occasions when he is funded, he says, the money is likely to be reduced year after year until he ends up with just over half of what he requested. “I know what good science is,” says Myers. “And that compromises the science.” Gloria Waters, vice president and associate provost for research, says finding funding sources other than the federal government has become “a top priority” of the University. In spring 2014, Waters’ office launched a series of workshops designed to help researchers with such things as Humanities Proposal Writing and Working with Federal Agencies. Every one, she says, was “extremely-well attended,” so well-attended that her office recently ramped up the program to include eight events per semester. At BU, whose researchers study an enormous range of subjects, from the birth of frogs to the birth of planets, about 80 percent of the roughly $350 million for sponsored research received in FY 2014 (down from a 2010 peak of $407 million) came directly from the federal government, and another 10 percent originated in government grants and came to BU through other institutions, such as Harvard or MIT. About 45 percent of that money went to researchers at MED, where, according to Karen Antman, MED dean and Medical Campus provost, funding anxiety is at an all-time high. Antman says grants to the Medical Campus dropped $30 million in 2013 because of sequestration, although the money bounced back in 2014 when sequestration was put on hold. “These types of fluxes in research budgets produce a lot stress for faculty,” she says. Some observers of the funding dilemma take a more sanguine approach. One Washington insider, an expert on US research funding and a BU alum, who requested anonymity because of his position, says that “</w:t>
      </w:r>
      <w:r w:rsidRPr="00AA0D15">
        <w:rPr>
          <w:rStyle w:val="Emphasis"/>
        </w:rPr>
        <w:t>research and development</w:t>
      </w:r>
      <w:r w:rsidRPr="00AA0D15">
        <w:rPr>
          <w:rStyle w:val="StyleUnderline"/>
        </w:rPr>
        <w:t xml:space="preserve"> funding </w:t>
      </w:r>
      <w:r w:rsidRPr="00AA0D15">
        <w:rPr>
          <w:rStyle w:val="Emphasis"/>
        </w:rPr>
        <w:t>generally does pretty well</w:t>
      </w:r>
      <w:r w:rsidRPr="00AA0D15">
        <w:rPr>
          <w:rStyle w:val="StyleUnderline"/>
        </w:rPr>
        <w:t xml:space="preserve"> in the government’s budget process,” because the government branches agree it’s important to stay competitive in science and technology.</w:t>
      </w:r>
      <w:r w:rsidRPr="00AA0D15">
        <w:rPr>
          <w:sz w:val="14"/>
        </w:rPr>
        <w:t xml:space="preserve"> But </w:t>
      </w:r>
      <w:r w:rsidRPr="00AA0D15">
        <w:rPr>
          <w:rStyle w:val="StyleUnderline"/>
        </w:rPr>
        <w:t xml:space="preserve">looming over </w:t>
      </w:r>
      <w:r w:rsidRPr="00AA0D15">
        <w:rPr>
          <w:rStyle w:val="Emphasis"/>
        </w:rPr>
        <w:t>every budget decision</w:t>
      </w:r>
      <w:r w:rsidRPr="00AA0D15">
        <w:rPr>
          <w:sz w:val="14"/>
        </w:rPr>
        <w:t>, this expert says</w:t>
      </w:r>
      <w:r w:rsidRPr="00AA0D15">
        <w:rPr>
          <w:rStyle w:val="StyleUnderline"/>
        </w:rPr>
        <w:t>, is a broader debate about what the size of the government</w:t>
      </w:r>
      <w:r w:rsidRPr="00AA0D15">
        <w:rPr>
          <w:sz w:val="14"/>
        </w:rPr>
        <w:t xml:space="preserve"> should be and how the government should spend its limited research budget. bar chart showing Boston University Sponsored Programs Awards between fiscal years 1971-2014 Until 2004, research funding had risen steadily for half a century at BU. In other words, some </w:t>
      </w:r>
      <w:r w:rsidRPr="00AA0D15">
        <w:rPr>
          <w:rStyle w:val="Emphasis"/>
        </w:rPr>
        <w:t>legislators wonder why the government should pay for so much university research</w:t>
      </w:r>
      <w:r w:rsidRPr="00AA0D15">
        <w:rPr>
          <w:sz w:val="14"/>
        </w:rPr>
        <w:t xml:space="preserve">. Waters offers some good reasons. She points out that the other likely source of </w:t>
      </w:r>
      <w:r w:rsidRPr="00AA0D15">
        <w:rPr>
          <w:rStyle w:val="StyleUnderline"/>
        </w:rPr>
        <w:t>research funding—industry—prefers to direct its money to projects that affect the bottom line. “Industry is focused on applied research that will result in the development of products with immediate commercial application</w:t>
      </w:r>
      <w:r w:rsidRPr="00AA0D15">
        <w:rPr>
          <w:sz w:val="14"/>
        </w:rPr>
        <w:t xml:space="preserve">,” she says. “But </w:t>
      </w:r>
      <w:r w:rsidRPr="00AA0D15">
        <w:rPr>
          <w:rStyle w:val="StyleUnderline"/>
        </w:rPr>
        <w:t>fundamental or basic research is needed in order to create the knowledge base that leads to more applied research. F</w:t>
      </w:r>
      <w:r w:rsidRPr="00AA0D15">
        <w:rPr>
          <w:sz w:val="14"/>
        </w:rPr>
        <w:t xml:space="preserve">or example, in the area of medicine, </w:t>
      </w:r>
      <w:r w:rsidRPr="00AA0D15">
        <w:rPr>
          <w:rStyle w:val="Emphasis"/>
        </w:rPr>
        <w:t>specific treatments for many diseases cannot be developed until we know much more about the basic cellular and molecular changes involved in the development of the disease</w:t>
      </w:r>
      <w:r w:rsidRPr="00AA0D15">
        <w:rPr>
          <w:sz w:val="14"/>
        </w:rPr>
        <w:t>. Social science research has also played an extremely important role in addressing national security challenges. In a similar vein, scholarship in the humanities is critical to creating a broadly educated workforce and our ability to engage with other areas of the world.”</w:t>
      </w:r>
    </w:p>
    <w:p w:rsidR="00C81BC7" w:rsidRPr="00AA0D15" w:rsidRDefault="00C81BC7" w:rsidP="00C81BC7">
      <w:pPr>
        <w:pStyle w:val="Heading4"/>
        <w:rPr>
          <w:rFonts w:cs="Times New Roman"/>
        </w:rPr>
      </w:pPr>
      <w:r w:rsidRPr="00AA0D15">
        <w:rPr>
          <w:rFonts w:cs="Times New Roman"/>
        </w:rPr>
        <w:t xml:space="preserve">Disease cause mass death and risk extinction level pandemics --- U.S. research is key </w:t>
      </w:r>
    </w:p>
    <w:p w:rsidR="00C81BC7" w:rsidRPr="00AA0D15" w:rsidRDefault="00C81BC7" w:rsidP="00C81BC7">
      <w:r w:rsidRPr="00AA0D15">
        <w:rPr>
          <w:b/>
        </w:rPr>
        <w:t xml:space="preserve">Nish 2017 </w:t>
      </w:r>
      <w:r w:rsidRPr="00AA0D15">
        <w:t xml:space="preserve">--- Director Global Health Technologies Coalition, MS in conflict analysis and resolution. </w:t>
      </w:r>
      <w:r w:rsidRPr="00AA0D15">
        <w:rPr>
          <w:b/>
        </w:rPr>
        <w:t xml:space="preserve"> </w:t>
      </w:r>
      <w:r w:rsidRPr="00AA0D15">
        <w:t>(JAMIE BAY NISHI, 2/24, “As global disease threat rises, US funding for research falls”, http://thehill.com/blogs/pundits-blog/healthcare/321011-as-global-disease-threat-rises-us-funding-for-research-falls)//ET</w:t>
      </w:r>
    </w:p>
    <w:p w:rsidR="00C81BC7" w:rsidRPr="00AA0D15" w:rsidRDefault="00C81BC7" w:rsidP="00C81BC7">
      <w:pPr>
        <w:rPr>
          <w:sz w:val="14"/>
        </w:rPr>
      </w:pPr>
      <w:r w:rsidRPr="00AA0D15">
        <w:rPr>
          <w:sz w:val="14"/>
        </w:rPr>
        <w:t xml:space="preserve">Because of these outbreaks, many Americans are now aware of a reality health experts have long understood: </w:t>
      </w:r>
      <w:r w:rsidRPr="00AA0D15">
        <w:rPr>
          <w:rStyle w:val="StyleUnderline"/>
        </w:rPr>
        <w:t>infectious diseases and other emerging health challenges are a threat everywher</w:t>
      </w:r>
      <w:r w:rsidRPr="00AA0D15">
        <w:rPr>
          <w:sz w:val="14"/>
        </w:rPr>
        <w:t xml:space="preserve">e—and not just a problem for low-income countries. </w:t>
      </w:r>
      <w:r w:rsidRPr="00AA0D15">
        <w:rPr>
          <w:rStyle w:val="StyleUnderline"/>
        </w:rPr>
        <w:t xml:space="preserve">The United States and the entire world must be equipped with tools to quickly address emerging threats, small and large. </w:t>
      </w:r>
      <w:r w:rsidRPr="00AA0D15">
        <w:rPr>
          <w:sz w:val="14"/>
        </w:rPr>
        <w:t xml:space="preserve">In his inaugural address, President Trump spoke of the power of the American fight and spirit “to free the earth from the miseries of diseases and harness…the technologies of tomorrow.” Yet, U.S. government funding for researching these and other diseases like HIV/AIDS and malaria has reached historic lows. According to the new annual G-FINDER investment survey, U.S. government funding for neglected disease research and development (R&amp;D) fell to the lowest level recorded since the survey began a decade ago, outside the emergency investment for Ebola. This significant </w:t>
      </w:r>
      <w:r w:rsidRPr="00AA0D15">
        <w:rPr>
          <w:rStyle w:val="Emphasis"/>
        </w:rPr>
        <w:t>drop in funding increases our vulnerability</w:t>
      </w:r>
      <w:r w:rsidRPr="00AA0D15">
        <w:rPr>
          <w:sz w:val="14"/>
        </w:rPr>
        <w:t xml:space="preserve"> </w:t>
      </w:r>
      <w:r w:rsidRPr="00AA0D15">
        <w:rPr>
          <w:rStyle w:val="StyleUnderline"/>
        </w:rPr>
        <w:t xml:space="preserve">at a time when </w:t>
      </w:r>
      <w:r w:rsidRPr="00AA0D15">
        <w:rPr>
          <w:rStyle w:val="Emphasis"/>
        </w:rPr>
        <w:t xml:space="preserve">global pandemics are on the rise and infectious diseases are mutating at a rapid pace. </w:t>
      </w:r>
      <w:r w:rsidRPr="00AA0D15">
        <w:rPr>
          <w:rStyle w:val="StyleUnderline"/>
        </w:rPr>
        <w:t>This is alarming news and the consequences are likely to be significant</w:t>
      </w:r>
      <w:r w:rsidRPr="00AA0D15">
        <w:rPr>
          <w:sz w:val="14"/>
        </w:rPr>
        <w:t xml:space="preserve">. </w:t>
      </w:r>
      <w:r w:rsidRPr="00AA0D15">
        <w:rPr>
          <w:rStyle w:val="StyleUnderline"/>
        </w:rPr>
        <w:t xml:space="preserve">Declining American investment in global health research weakens our ability to prevent and respond to current and future disease threats, and stalls promising tools being developed. Ebola is the most recent, devastating example. </w:t>
      </w:r>
      <w:r w:rsidRPr="00AA0D15">
        <w:rPr>
          <w:rStyle w:val="Emphasis"/>
        </w:rPr>
        <w:t>Funding cuts in 2012 permanently stopped an Ebola vaccine</w:t>
      </w:r>
      <w:r w:rsidRPr="00AA0D15">
        <w:rPr>
          <w:rStyle w:val="StyleUnderline"/>
        </w:rPr>
        <w:t xml:space="preserve"> candidate</w:t>
      </w:r>
      <w:r w:rsidRPr="00AA0D15">
        <w:rPr>
          <w:sz w:val="14"/>
        </w:rPr>
        <w:t>, which had been fast tracked for review by the U.S. Food and Drug Administration (FDA). As a result</w:t>
      </w:r>
      <w:r w:rsidRPr="00AA0D15">
        <w:rPr>
          <w:rStyle w:val="StyleUnderline"/>
        </w:rPr>
        <w:t xml:space="preserve">, </w:t>
      </w:r>
      <w:r w:rsidRPr="00AA0D15">
        <w:rPr>
          <w:rStyle w:val="Emphasis"/>
        </w:rPr>
        <w:t>we did not have this critical tool</w:t>
      </w:r>
      <w:r w:rsidRPr="00AA0D15">
        <w:rPr>
          <w:rStyle w:val="StyleUnderline"/>
        </w:rPr>
        <w:t xml:space="preserve"> on </w:t>
      </w:r>
      <w:r w:rsidRPr="00AA0D15">
        <w:rPr>
          <w:rStyle w:val="Emphasis"/>
        </w:rPr>
        <w:t xml:space="preserve">hand to stem the 2014 outbreak which caused the deaths of 11,310 people. </w:t>
      </w:r>
      <w:r w:rsidRPr="00AA0D15">
        <w:rPr>
          <w:rStyle w:val="StyleUnderline"/>
        </w:rPr>
        <w:t xml:space="preserve">We cannot wait for an epidemic to trigger R&amp;D </w:t>
      </w:r>
      <w:r w:rsidRPr="00AA0D15">
        <w:rPr>
          <w:sz w:val="14"/>
        </w:rPr>
        <w:t xml:space="preserve">— it is simply too late. Real-time, responsive funding cannot make up lost ground. Today’s innovations are the result of yesterday’s R&amp;D investments. </w:t>
      </w:r>
      <w:r w:rsidRPr="00AA0D15">
        <w:rPr>
          <w:rStyle w:val="StyleUnderline"/>
        </w:rPr>
        <w:t xml:space="preserve">By reducing U.S. commitments now, we undermine our ability to respond to future threats. American interests are at stake: we stand to jeopardize the United States’ reputation as a science and innovation leader, hurt the U.S. economy, and lose high-paying domestic jobs. </w:t>
      </w:r>
      <w:r w:rsidRPr="00AA0D15">
        <w:rPr>
          <w:sz w:val="14"/>
        </w:rPr>
        <w:t>New research by the Global Health Technologies Coalition and Policy Cures Research shows that eighty-nine cents of each dollar the U.S. invests in global health R&amp;D benefits American researchers. Funding generated 200,000 new American jobs and $33 billion in economic growth between 2007 and 2015. Cuts will have a direct impact. On a global scale</w:t>
      </w:r>
      <w:r w:rsidRPr="00AA0D15">
        <w:rPr>
          <w:rStyle w:val="StyleUnderline"/>
        </w:rPr>
        <w:t xml:space="preserve">, strong and stable U.S. funding for R&amp;D is </w:t>
      </w:r>
      <w:r w:rsidRPr="00AA0D15">
        <w:rPr>
          <w:rStyle w:val="Emphasis"/>
        </w:rPr>
        <w:t>vital</w:t>
      </w:r>
      <w:r w:rsidRPr="00AA0D15">
        <w:rPr>
          <w:rStyle w:val="StyleUnderline"/>
        </w:rPr>
        <w:t xml:space="preserve"> to finding cures and treatments for the world’s most </w:t>
      </w:r>
      <w:r w:rsidRPr="00AA0D15">
        <w:rPr>
          <w:rStyle w:val="Emphasis"/>
        </w:rPr>
        <w:t>deadly</w:t>
      </w:r>
      <w:r w:rsidRPr="00AA0D15">
        <w:rPr>
          <w:rStyle w:val="StyleUnderline"/>
        </w:rPr>
        <w:t xml:space="preserve"> diseases and future epidemics</w:t>
      </w:r>
      <w:r w:rsidRPr="00AA0D15">
        <w:rPr>
          <w:sz w:val="14"/>
        </w:rPr>
        <w:t xml:space="preserve">. Because these diseases often strike the world’s poorest places and families, </w:t>
      </w:r>
      <w:r w:rsidRPr="00AA0D15">
        <w:rPr>
          <w:rStyle w:val="StyleUnderline"/>
        </w:rPr>
        <w:t xml:space="preserve">there is </w:t>
      </w:r>
      <w:r w:rsidRPr="00AA0D15">
        <w:rPr>
          <w:rStyle w:val="Emphasis"/>
        </w:rPr>
        <w:t>little commercial incentive</w:t>
      </w:r>
      <w:r w:rsidRPr="00AA0D15">
        <w:rPr>
          <w:rStyle w:val="StyleUnderline"/>
        </w:rPr>
        <w:t xml:space="preserve"> to develop urgently-needed vaccines or medicines, even for potentially-pandemic diseases. </w:t>
      </w:r>
      <w:r w:rsidRPr="00AA0D15">
        <w:rPr>
          <w:sz w:val="14"/>
        </w:rPr>
        <w:t xml:space="preserve">Our investments jumpstart research and unlock new approaches that can be advanced by researchers, nonprofits, product development partnerships, and the private sector — and translated into lifesaving technologies. This model works. U.S. </w:t>
      </w:r>
      <w:r w:rsidRPr="00AA0D15">
        <w:rPr>
          <w:rStyle w:val="StyleUnderline"/>
        </w:rPr>
        <w:t>government support and partnership has helped deliver 36 new vaccines, drugs, diagnostics, and other tools to combat neglected diseases and conditions since 2000</w:t>
      </w:r>
      <w:r w:rsidRPr="00AA0D15">
        <w:rPr>
          <w:sz w:val="14"/>
        </w:rPr>
        <w:t xml:space="preserve">. More than 235 million people in Africa have received a new meningitis A vaccine, which has already saved 378,000 lives and prevented 673,000 new infections. New child-friendly malaria drugs have helped cut childhood malaria deaths by 65 percent since 2000. U.S. government funding currently fuels 126 global health products in clinical trials, including a robust pipeline of next generation technologies poised to deliver dramatic improvements in the diagnosis, treatment, and prevention of HIV/AIDS, Ebola, Zika, and other neglected tropical diseases. New drug regimens for tuberculosis — the world’s deadliest infectious disease — promise to address increasing drug resistance by driving down treatment times and costs. Scientists are advancing malaria vaccines that could eradicate the disease by preventing transmission from mosquitoes to humans. U.S.-funded research is enabling new antibiotics to fight the rise of drug-resistant superbugs. Many of these promising innovations will suffer if our support continues to fall. To uphold President Trump’s promise to keep Americans safe and prosperous, the U.S. government must reassert its leadership in global health innovation, increase research funding, and recommit to advancing the R&amp;D needed to conquer major disease threats of our times. </w:t>
      </w:r>
      <w:r w:rsidRPr="00AA0D15">
        <w:rPr>
          <w:rStyle w:val="StyleUnderline"/>
        </w:rPr>
        <w:t>American-led innovation is an antidote to the threat of disease and key to eliminating HIV/AIDS, malaria, tuberculosis, and pandemics that will emerge as Ebola did several years ago</w:t>
      </w:r>
      <w:r w:rsidRPr="00AA0D15">
        <w:rPr>
          <w:sz w:val="14"/>
        </w:rPr>
        <w:t>. Through strong, sustainable investments in R&amp;D for global diseases, the U.S. government can protect Americans and stimulate the U.S. economy, while delivering a healthier, more prosperous and stable world.</w:t>
      </w:r>
    </w:p>
    <w:p w:rsidR="00C81BC7" w:rsidRPr="00AA0D15" w:rsidRDefault="00C81BC7" w:rsidP="00C81BC7"/>
    <w:p w:rsidR="00C81BC7" w:rsidRPr="00AA0D15" w:rsidRDefault="00C81BC7" w:rsidP="00C81BC7">
      <w:pPr>
        <w:pStyle w:val="Heading3"/>
        <w:rPr>
          <w:rFonts w:cs="Times New Roman"/>
        </w:rPr>
      </w:pPr>
      <w:r w:rsidRPr="00AA0D15">
        <w:rPr>
          <w:rFonts w:cs="Times New Roman"/>
        </w:rPr>
        <w:t>1ar uq</w:t>
      </w:r>
    </w:p>
    <w:p w:rsidR="00C81BC7" w:rsidRPr="00AA0D15" w:rsidRDefault="00C81BC7" w:rsidP="00C81BC7">
      <w:pPr>
        <w:pStyle w:val="Heading4"/>
        <w:rPr>
          <w:rFonts w:cs="Times New Roman"/>
        </w:rPr>
      </w:pPr>
      <w:r w:rsidRPr="00AA0D15">
        <w:rPr>
          <w:rFonts w:cs="Times New Roman"/>
        </w:rPr>
        <w:t xml:space="preserve">Public university funding high now, but on the chopping block </w:t>
      </w:r>
    </w:p>
    <w:p w:rsidR="00C81BC7" w:rsidRPr="00AA0D15" w:rsidRDefault="00C81BC7" w:rsidP="00C81BC7">
      <w:r w:rsidRPr="00AA0D15">
        <w:rPr>
          <w:b/>
        </w:rPr>
        <w:t xml:space="preserve">Pew 2015 </w:t>
      </w:r>
      <w:r w:rsidRPr="00AA0D15">
        <w:t>--- PEW’s Fiscal Federalism Initiative. (“Federal and State Funding of Higher Education”, 6-11-15, http://www.pewtrusts.org/en/research-and-analysis/issue-briefs/2015/06/federal-and-state-funding-of-higher-education)//ET</w:t>
      </w:r>
    </w:p>
    <w:p w:rsidR="00C81BC7" w:rsidRDefault="00C81BC7" w:rsidP="00C81BC7">
      <w:pPr>
        <w:rPr>
          <w:sz w:val="14"/>
        </w:rPr>
      </w:pPr>
      <w:r w:rsidRPr="00AA0D15">
        <w:rPr>
          <w:rStyle w:val="StyleUnderline"/>
        </w:rPr>
        <w:t>States</w:t>
      </w:r>
      <w:r w:rsidRPr="00AA0D15">
        <w:rPr>
          <w:sz w:val="14"/>
        </w:rPr>
        <w:t xml:space="preserve"> and the federal government </w:t>
      </w:r>
      <w:r w:rsidRPr="00AA0D15">
        <w:rPr>
          <w:rStyle w:val="StyleUnderline"/>
        </w:rPr>
        <w:t xml:space="preserve">have long provided </w:t>
      </w:r>
      <w:r w:rsidRPr="00AA0D15">
        <w:rPr>
          <w:rStyle w:val="Emphasis"/>
        </w:rPr>
        <w:t>substantial funding</w:t>
      </w:r>
      <w:r w:rsidRPr="00AA0D15">
        <w:rPr>
          <w:rStyle w:val="StyleUnderline"/>
        </w:rPr>
        <w:t xml:space="preserve"> for higher education</w:t>
      </w:r>
      <w:r w:rsidRPr="00AA0D15">
        <w:rPr>
          <w:sz w:val="14"/>
        </w:rPr>
        <w:t xml:space="preserve">, but changes in recent years have resulted in their contributions being more equal than at any time in at least the previous two decades. Historically, states have provided a far greater amount of assistance to postsecondary institutions and students; 65 percent more than the federal government on average from 1987 to 2012. But this difference narrowed dramatically in recent years, particularly since the Great Recession, as state spending declined and federal investments grew sharply, largely driven by increases in the Pell Grant program, a need-based financial aid program that is the biggest component of federal higher education spending. Although their funding streams for higher education are now comparable in size and have some overlapping policy goals, such as increasing access for students and supporting research, federal and state governments channel resources into the system in different ways. The federal government mainly provides financial assistance to individual students and specific research projects, while state funds primarily pay for the general operations of public institutions. </w:t>
      </w:r>
      <w:r w:rsidRPr="00AA0D15">
        <w:rPr>
          <w:rStyle w:val="StyleUnderline"/>
        </w:rPr>
        <w:t xml:space="preserve">Policymakers across the nation </w:t>
      </w:r>
      <w:r w:rsidRPr="00AA0D15">
        <w:rPr>
          <w:rStyle w:val="Emphasis"/>
        </w:rPr>
        <w:t>face difficult decisions</w:t>
      </w:r>
      <w:r w:rsidRPr="00AA0D15">
        <w:rPr>
          <w:rStyle w:val="StyleUnderline"/>
        </w:rPr>
        <w:t xml:space="preserve"> about higher education funding</w:t>
      </w:r>
      <w:r w:rsidRPr="00AA0D15">
        <w:rPr>
          <w:sz w:val="14"/>
        </w:rPr>
        <w:t xml:space="preserve">. Federal leaders, for example, are debating the future of the Pell Grant program. The Obama administration has proposed increasing the maximum Pell Grant award to keep pace with inflation in the coming years, while members of Congress have recommended freezing it at its current level. </w:t>
      </w:r>
      <w:r w:rsidRPr="00AA0D15">
        <w:rPr>
          <w:rStyle w:val="StyleUnderline"/>
        </w:rPr>
        <w:t>State policymakers,</w:t>
      </w:r>
      <w:r w:rsidRPr="00AA0D15">
        <w:rPr>
          <w:sz w:val="14"/>
        </w:rPr>
        <w:t xml:space="preserve"> meanwhile, </w:t>
      </w:r>
      <w:r w:rsidRPr="00AA0D15">
        <w:rPr>
          <w:rStyle w:val="StyleUnderline"/>
        </w:rPr>
        <w:t>are deciding whether to restore funding</w:t>
      </w:r>
      <w:r w:rsidRPr="00AA0D15">
        <w:rPr>
          <w:sz w:val="14"/>
        </w:rPr>
        <w:t xml:space="preserve"> after years of recession-driven cuts. </w:t>
      </w:r>
      <w:r w:rsidRPr="00AA0D15">
        <w:rPr>
          <w:rStyle w:val="StyleUnderline"/>
        </w:rPr>
        <w:t xml:space="preserve">Their actions on these and other critical issues will help determine whether the shift in spending that resulted in parity is temporary or a lasting reconfiguration. In a </w:t>
      </w:r>
      <w:r w:rsidRPr="00AA0D15">
        <w:rPr>
          <w:rStyle w:val="Emphasis"/>
        </w:rPr>
        <w:t>constrained fiscal environment</w:t>
      </w:r>
      <w:r w:rsidRPr="00AA0D15">
        <w:rPr>
          <w:sz w:val="14"/>
        </w:rPr>
        <w:t xml:space="preserve">, </w:t>
      </w:r>
      <w:r w:rsidRPr="00AA0D15">
        <w:rPr>
          <w:rStyle w:val="StyleUnderline"/>
        </w:rPr>
        <w:t>policymakers</w:t>
      </w:r>
      <w:r w:rsidRPr="00AA0D15">
        <w:rPr>
          <w:sz w:val="14"/>
        </w:rPr>
        <w:t xml:space="preserve"> also will </w:t>
      </w:r>
      <w:r w:rsidRPr="00AA0D15">
        <w:rPr>
          <w:rStyle w:val="StyleUnderline"/>
        </w:rPr>
        <w:t xml:space="preserve">need to consider whether there are better means of achieving shared goals, including student access and </w:t>
      </w:r>
      <w:r w:rsidRPr="00AA0D15">
        <w:rPr>
          <w:rStyle w:val="Emphasis"/>
        </w:rPr>
        <w:t>support for research.</w:t>
      </w:r>
      <w:r w:rsidRPr="00AA0D15">
        <w:rPr>
          <w:sz w:val="14"/>
        </w:rPr>
        <w:t xml:space="preserve"> Such approaches could entail more coordination, other funding mechanisms, or policy reforms. In addition, it will be necessary to think about the implications of parity and whether funding strategies will require changes in order to reach desired outcomes. This chartbook is intended to provide a starting point for answering such questions by illustrating the existing federal- state relationship in higher education funding, the way that relationship has evolved, and how it differs across sta</w:t>
      </w:r>
      <w:r>
        <w:rPr>
          <w:sz w:val="14"/>
        </w:rPr>
        <w:t>tes.</w:t>
      </w:r>
    </w:p>
    <w:p w:rsidR="00B8198A" w:rsidRPr="00E52D84" w:rsidRDefault="00B8198A" w:rsidP="00B8198A">
      <w:pPr>
        <w:pStyle w:val="Heading4"/>
        <w:rPr>
          <w:rStyle w:val="Style13ptBold"/>
          <w:b/>
        </w:rPr>
      </w:pPr>
      <w:r w:rsidRPr="00E52D84">
        <w:rPr>
          <w:rStyle w:val="Style13ptBold"/>
          <w:b/>
        </w:rPr>
        <w:t xml:space="preserve">States and localities are </w:t>
      </w:r>
      <w:r w:rsidRPr="00E52D84">
        <w:rPr>
          <w:rStyle w:val="Style13ptBold"/>
          <w:b/>
          <w:u w:val="single"/>
        </w:rPr>
        <w:t>pouring</w:t>
      </w:r>
      <w:r w:rsidRPr="00E52D84">
        <w:rPr>
          <w:rStyle w:val="Style13ptBold"/>
          <w:b/>
        </w:rPr>
        <w:t xml:space="preserve"> money into public universities </w:t>
      </w:r>
    </w:p>
    <w:p w:rsidR="00B8198A" w:rsidRPr="00B8198A" w:rsidRDefault="00B8198A" w:rsidP="00B8198A">
      <w:r w:rsidRPr="00B8198A">
        <w:rPr>
          <w:rStyle w:val="Style13ptBold"/>
        </w:rPr>
        <w:t>Fain 16</w:t>
      </w:r>
      <w:r w:rsidRPr="00B8198A">
        <w:t xml:space="preserve"> – Paul, “Smarter State Spending,” Inside Higher Ed, 8/14/16, https://www.insidehighered.com/news/2016/09/14/papers-call-more-targeted-use-state-funding-public-colleges</w:t>
      </w:r>
    </w:p>
    <w:p w:rsidR="00B8198A" w:rsidRPr="00B8198A" w:rsidRDefault="00B8198A" w:rsidP="00C81BC7">
      <w:pPr>
        <w:rPr>
          <w:sz w:val="22"/>
          <w:u w:val="single"/>
        </w:rPr>
      </w:pPr>
      <w:r w:rsidRPr="00E52D84">
        <w:t xml:space="preserve">Bridget Terry Long, a professor of education and economics at Harvard University, wrote the paper on redistribution of state support. </w:t>
      </w:r>
      <w:r w:rsidRPr="007D54B9">
        <w:rPr>
          <w:rStyle w:val="StyleUnderline"/>
        </w:rPr>
        <w:t xml:space="preserve">In 2015 </w:t>
      </w:r>
      <w:r w:rsidRPr="00E52D84">
        <w:rPr>
          <w:rStyle w:val="StyleUnderline"/>
          <w:highlight w:val="yellow"/>
        </w:rPr>
        <w:t xml:space="preserve">states </w:t>
      </w:r>
      <w:r w:rsidRPr="00E52D84">
        <w:rPr>
          <w:rStyle w:val="Emphasis"/>
          <w:highlight w:val="yellow"/>
        </w:rPr>
        <w:t>spent $81</w:t>
      </w:r>
      <w:r w:rsidRPr="00E52D84">
        <w:rPr>
          <w:rStyle w:val="Emphasis"/>
        </w:rPr>
        <w:t xml:space="preserve">.8 </w:t>
      </w:r>
      <w:r w:rsidRPr="00E52D84">
        <w:rPr>
          <w:rStyle w:val="Emphasis"/>
          <w:highlight w:val="yellow"/>
        </w:rPr>
        <w:t>billion on higher education</w:t>
      </w:r>
      <w:r w:rsidRPr="007D54B9">
        <w:rPr>
          <w:rStyle w:val="StyleUnderline"/>
        </w:rPr>
        <w:t>,</w:t>
      </w:r>
      <w:r w:rsidRPr="00E52D84">
        <w:t xml:space="preserve"> she wrote, </w:t>
      </w:r>
      <w:r w:rsidRPr="007D54B9">
        <w:rPr>
          <w:rStyle w:val="StyleUnderline"/>
        </w:rPr>
        <w:t xml:space="preserve">with an </w:t>
      </w:r>
      <w:r w:rsidRPr="00E52D84">
        <w:rPr>
          <w:rStyle w:val="StyleUnderline"/>
          <w:highlight w:val="yellow"/>
        </w:rPr>
        <w:t>additional $</w:t>
      </w:r>
      <w:r w:rsidRPr="00E52D84">
        <w:rPr>
          <w:rStyle w:val="Emphasis"/>
          <w:highlight w:val="yellow"/>
        </w:rPr>
        <w:t>9</w:t>
      </w:r>
      <w:r w:rsidRPr="007D54B9">
        <w:rPr>
          <w:rStyle w:val="Emphasis"/>
        </w:rPr>
        <w:t xml:space="preserve">.1 </w:t>
      </w:r>
      <w:r w:rsidRPr="00E52D84">
        <w:rPr>
          <w:rStyle w:val="Emphasis"/>
          <w:highlight w:val="yellow"/>
        </w:rPr>
        <w:t>billion in local government spending</w:t>
      </w:r>
      <w:r w:rsidRPr="00E52D84">
        <w:rPr>
          <w:rStyle w:val="StyleUnderline"/>
          <w:highlight w:val="yellow"/>
        </w:rPr>
        <w:t xml:space="preserve"> on community colleges</w:t>
      </w:r>
      <w:r w:rsidRPr="007D54B9">
        <w:rPr>
          <w:rStyle w:val="StyleUnderline"/>
        </w:rPr>
        <w:t>.</w:t>
      </w:r>
    </w:p>
    <w:p w:rsidR="00C81BC7" w:rsidRPr="00AA0D15" w:rsidRDefault="00C81BC7" w:rsidP="00C81BC7">
      <w:pPr>
        <w:pStyle w:val="Heading4"/>
        <w:rPr>
          <w:rFonts w:cs="Times New Roman"/>
        </w:rPr>
      </w:pPr>
      <w:r w:rsidRPr="00AA0D15">
        <w:rPr>
          <w:rFonts w:cs="Times New Roman"/>
        </w:rPr>
        <w:t>Minor increases in state funding now --- it’s on the brink</w:t>
      </w:r>
    </w:p>
    <w:p w:rsidR="00C81BC7" w:rsidRPr="00AA0D15" w:rsidRDefault="00C81BC7" w:rsidP="00C81BC7">
      <w:r w:rsidRPr="00AA0D15">
        <w:rPr>
          <w:b/>
        </w:rPr>
        <w:t xml:space="preserve">Wexler 16 </w:t>
      </w:r>
      <w:r w:rsidRPr="00AA0D15">
        <w:t>--- Journalist, senior at William and Mary College.</w:t>
      </w:r>
      <w:r w:rsidRPr="00AA0D15">
        <w:rPr>
          <w:b/>
        </w:rPr>
        <w:t xml:space="preserve"> </w:t>
      </w:r>
      <w:r w:rsidRPr="00AA0D15">
        <w:t>(Ellen Wexler, 1/25, “State Support on the Rise”, https://www.insidehighered.com/news/2016/01/25/state-support-higher-education-rises-41-percent-2016)//ET</w:t>
      </w:r>
    </w:p>
    <w:p w:rsidR="00C81BC7" w:rsidRPr="00AA0D15" w:rsidRDefault="00C81BC7" w:rsidP="00C81BC7">
      <w:r w:rsidRPr="00AA0D15">
        <w:t xml:space="preserve">The </w:t>
      </w:r>
      <w:r w:rsidRPr="00AA0D15">
        <w:rPr>
          <w:rStyle w:val="StyleUnderline"/>
        </w:rPr>
        <w:t>Grapevine report, released today, shows a slow but steady increase in state funding over the last few years.</w:t>
      </w:r>
      <w:r w:rsidRPr="00AA0D15">
        <w:t xml:space="preserve"> Between the 2015 and 2016 fiscal years, </w:t>
      </w:r>
      <w:r w:rsidRPr="00AA0D15">
        <w:rPr>
          <w:rStyle w:val="StyleUnderline"/>
        </w:rPr>
        <w:t xml:space="preserve">39 states reported increases in state funding, while only nine reported decreases. </w:t>
      </w:r>
      <w:r w:rsidRPr="00AA0D15">
        <w:t xml:space="preserve">The remaining two states -- Illinois and Pennsylvania -- have yet to finalize their budgets and are not included in the report. Once those data become available, the national averages could change significantly, given the two states' size and significance. </w:t>
      </w:r>
      <w:r w:rsidRPr="00AA0D15">
        <w:rPr>
          <w:rStyle w:val="StyleUnderline"/>
        </w:rPr>
        <w:t>The report</w:t>
      </w:r>
      <w:r w:rsidRPr="00AA0D15">
        <w:t xml:space="preserve">, conducted annually by the Center for the Study of Education Policy at Illinois State University and the State Higher Education Executive Officers, </w:t>
      </w:r>
      <w:r w:rsidRPr="00AA0D15">
        <w:rPr>
          <w:rStyle w:val="StyleUnderline"/>
        </w:rPr>
        <w:t>compares state spending from the current fiscal year to spending in past years. It includes state appropriations -- money set aside for operating support for colleges and universities, financial aid, and state scholarships, among other things -- but doesn’t include money from student fees or most federal sources</w:t>
      </w:r>
      <w:r w:rsidRPr="00AA0D15">
        <w:t>. It also doesn't take enrollment increases into account, which means the results don't reflect how much money states spend on each student. This year’s report marks the third consecutive year that state support has increased. State funding went down by 7.6 percent back in 2012 -- the largest decline in at least the last half century -- and in 2013, it went down by just 0.4 percent. Since then, it’s gone up every year. “</w:t>
      </w:r>
      <w:r w:rsidRPr="00AA0D15">
        <w:rPr>
          <w:rStyle w:val="StyleUnderline"/>
        </w:rPr>
        <w:t xml:space="preserve">Many states are experiencing an </w:t>
      </w:r>
      <w:r w:rsidRPr="00AA0D15">
        <w:rPr>
          <w:rStyle w:val="Emphasis"/>
        </w:rPr>
        <w:t>ongoing</w:t>
      </w:r>
      <w:r w:rsidRPr="00AA0D15">
        <w:rPr>
          <w:rStyle w:val="StyleUnderline"/>
        </w:rPr>
        <w:t xml:space="preserve"> but </w:t>
      </w:r>
      <w:r w:rsidRPr="00AA0D15">
        <w:rPr>
          <w:rStyle w:val="Emphasis"/>
        </w:rPr>
        <w:t>slow</w:t>
      </w:r>
      <w:r w:rsidRPr="00AA0D15">
        <w:rPr>
          <w:rStyle w:val="StyleUnderline"/>
        </w:rPr>
        <w:t xml:space="preserve"> recovery</w:t>
      </w:r>
      <w:r w:rsidRPr="00AA0D15">
        <w:t xml:space="preserve"> from the losses of the last recession,” said James Palmer, a professor at Illinois State and author of the report. “State support for higher education pretty much tracks the ups and downs of the business cycle of the economy.” The numbers reflect patterns that researchers have observed since the Grapevine project began back in 1961, Palmer said. Recessions are often followed by a period of retrenchment -- and then when the economy starts to pick up, funding begins to recover. That’s where the states are now, according to Palmer, and the data from the last five years support his conclusion. Including federal stimulus money allocated to higher education in the years following the recession, 15 states spent less money on higher education in 2016 than they did in 2011. And if that number seems high, it’s important to compare it to last year’s data: In 2015, half of states spent less on higher education than they did in 2010. But even so, firm conclusions can't be drawn until the Illinois and Pennsylvania data come in. “This is the first time in the 15 years that I’ve been working with Grapevine in which we’ve had states that weren’t able to report figures by now,” Palmer said. “If they eventually weigh in with decreases between fiscal year 2015 and fiscal year 2016, that national increase would go down.” Illinois increased its funding 21.1 percent between fiscal years 2014 and 2015 -- more than any other state. Most of that money, however, went to public employee retirement plans, not classrooms. And now, in the midst of a budget impasse, universities are covering the cost of 125,000 students’ Monetary Award Program grants, which are meant to be covered by the state. Pennsylvania, meanwhile, is facing the longest budget stalemate in modern state history. And even though </w:t>
      </w:r>
      <w:r w:rsidRPr="00AA0D15">
        <w:rPr>
          <w:rStyle w:val="Emphasis"/>
        </w:rPr>
        <w:t>the current national average shows a modest increase in state support</w:t>
      </w:r>
      <w:r w:rsidRPr="00AA0D15">
        <w:t>, the numbers vary widely from state to state. Increases range from 0.1 percent in Kentucky to 16.2 percent in Oregon, while decreases range from 0.1 percent in New Jersey to 14 percent in Arizona.</w:t>
      </w:r>
    </w:p>
    <w:p w:rsidR="00C81BC7" w:rsidRPr="00AA0D15" w:rsidRDefault="00C81BC7" w:rsidP="00C81BC7">
      <w:pPr>
        <w:pStyle w:val="Heading3"/>
        <w:rPr>
          <w:rFonts w:cs="Times New Roman"/>
        </w:rPr>
      </w:pPr>
      <w:r w:rsidRPr="00AA0D15">
        <w:rPr>
          <w:rFonts w:cs="Times New Roman"/>
        </w:rPr>
        <w:t>1ar link</w:t>
      </w:r>
    </w:p>
    <w:p w:rsidR="00C81BC7" w:rsidRPr="00AA0D15" w:rsidRDefault="00C81BC7" w:rsidP="00C81BC7"/>
    <w:p w:rsidR="00C81BC7" w:rsidRPr="00AA0D15" w:rsidRDefault="00C81BC7" w:rsidP="00C81BC7">
      <w:pPr>
        <w:pStyle w:val="Heading4"/>
        <w:rPr>
          <w:rFonts w:cs="Times New Roman"/>
        </w:rPr>
      </w:pPr>
      <w:r w:rsidRPr="00AA0D15">
        <w:rPr>
          <w:rFonts w:cs="Times New Roman"/>
        </w:rPr>
        <w:t>Primary education trades off with university funding in states</w:t>
      </w:r>
    </w:p>
    <w:p w:rsidR="00C81BC7" w:rsidRPr="00AA0D15" w:rsidRDefault="00C81BC7" w:rsidP="00C81BC7">
      <w:r w:rsidRPr="00AA0D15">
        <w:rPr>
          <w:b/>
        </w:rPr>
        <w:t xml:space="preserve">Ortega 2016 </w:t>
      </w:r>
      <w:r w:rsidRPr="00AA0D15">
        <w:t>--- PhD student in economics at University of Florida. Not sure about date but it’s post 2016 or later. (Alberto Ortega, “The Effects of State Partisanship on Public Higher Education Funding, Expenditures, and Outcomes: A Regression Discontinuity Analysis”, http://economics.clas.ufl.edu/files/Alberto_Compress_Entire_Paper.pdf)//ET</w:t>
      </w:r>
    </w:p>
    <w:p w:rsidR="00C81BC7" w:rsidRPr="00AA0D15" w:rsidRDefault="00C81BC7" w:rsidP="00C81BC7">
      <w:r w:rsidRPr="00AA0D15">
        <w:t xml:space="preserve">This study also adds to the literature on higher education that examines the influence of political factors on colleges and universities. Many of the papers in this literature undertake exploratory analysis to determine what factors affect state appropriations. Tandberg (2009) uses a fixed effects model to examines determinants of states’ share of spending on higher education from 1976 to 2004. He finds that Democratic governors are associated with an increase in higher education appropriations for the entire state. In a follow up paper, Tandberg (2010) performs a similar analysis, but includes interest groups. In the model specified for this paper he finds </w:t>
      </w:r>
      <w:r w:rsidRPr="00AA0D15">
        <w:rPr>
          <w:rStyle w:val="StyleUnderline"/>
        </w:rPr>
        <w:t>Democratic</w:t>
      </w:r>
      <w:r w:rsidRPr="00AA0D15">
        <w:t xml:space="preserve"> </w:t>
      </w:r>
      <w:r w:rsidRPr="00AA0D15">
        <w:rPr>
          <w:rStyle w:val="StyleUnderline"/>
        </w:rPr>
        <w:t xml:space="preserve">governors being negatively associated with higher education expenditures </w:t>
      </w:r>
      <w:r w:rsidRPr="00AA0D15">
        <w:t xml:space="preserve">by states. One possibility for this result, he argues, is that </w:t>
      </w:r>
      <w:r w:rsidRPr="00AA0D15">
        <w:rPr>
          <w:rStyle w:val="StyleUnderline"/>
        </w:rPr>
        <w:t>overall spending is higher under Democrats</w:t>
      </w:r>
      <w:r w:rsidRPr="00AA0D15">
        <w:t xml:space="preserve">, </w:t>
      </w:r>
      <w:r w:rsidRPr="00AA0D15">
        <w:rPr>
          <w:rStyle w:val="StyleUnderline"/>
        </w:rPr>
        <w:t>and</w:t>
      </w:r>
      <w:r w:rsidRPr="00AA0D15">
        <w:t xml:space="preserve"> that the </w:t>
      </w:r>
      <w:r w:rsidRPr="00AA0D15">
        <w:rPr>
          <w:rStyle w:val="Emphasis"/>
        </w:rPr>
        <w:t>negative result</w:t>
      </w:r>
      <w:r w:rsidRPr="00AA0D15">
        <w:rPr>
          <w:rStyle w:val="StyleUnderline"/>
        </w:rPr>
        <w:t xml:space="preserve"> may be due to </w:t>
      </w:r>
      <w:r w:rsidRPr="00AA0D15">
        <w:rPr>
          <w:rStyle w:val="Emphasis"/>
        </w:rPr>
        <w:t>funds being reallocated to other social programs</w:t>
      </w:r>
      <w:r w:rsidRPr="00AA0D15">
        <w:rPr>
          <w:rStyle w:val="StyleUnderline"/>
        </w:rPr>
        <w:t xml:space="preserve"> or policies. This result falls in line with</w:t>
      </w:r>
      <w:r w:rsidRPr="00AA0D15">
        <w:t xml:space="preserve"> Okunade’s (2004) </w:t>
      </w:r>
      <w:r w:rsidRPr="00AA0D15">
        <w:rPr>
          <w:rStyle w:val="StyleUnderline"/>
        </w:rPr>
        <w:t xml:space="preserve">findings that </w:t>
      </w:r>
      <w:r w:rsidRPr="00AA0D15">
        <w:rPr>
          <w:rStyle w:val="Emphasis"/>
        </w:rPr>
        <w:t>scarce funding</w:t>
      </w:r>
      <w:r w:rsidRPr="00AA0D15">
        <w:rPr>
          <w:rStyle w:val="StyleUnderline"/>
        </w:rPr>
        <w:t xml:space="preserve"> is allocated to</w:t>
      </w:r>
      <w:r w:rsidRPr="00AA0D15">
        <w:t xml:space="preserve"> corrections</w:t>
      </w:r>
      <w:r w:rsidRPr="00AA0D15">
        <w:rPr>
          <w:rStyle w:val="Emphasis"/>
        </w:rPr>
        <w:t>, K-12 education</w:t>
      </w:r>
      <w:r w:rsidRPr="00AA0D15">
        <w:t xml:space="preserve">, healthcare, and welfare, </w:t>
      </w:r>
      <w:r w:rsidRPr="00AA0D15">
        <w:rPr>
          <w:rStyle w:val="Emphasis"/>
        </w:rPr>
        <w:t>in expense of higher education.</w:t>
      </w:r>
      <w:r w:rsidRPr="00AA0D15">
        <w:t xml:space="preserve"> Similarly, Kane (2003) finds that increases in Medicaid spending per capita reduces higher education appropriations per capita</w:t>
      </w:r>
      <w:r w:rsidRPr="00AA0D15">
        <w:rPr>
          <w:rStyle w:val="Emphasis"/>
        </w:rPr>
        <w:t xml:space="preserve">. </w:t>
      </w:r>
      <w:r w:rsidRPr="00AA0D15">
        <w:t>His results also suggest that increases in higher education appropriations are also associated with a Democratic house and senate, but not with having a Democratic governor. Weerts and Ronca’s (2012) study examines all institutions that offer at least an associate’s degree from 1984 to 2004. In examining average state appropriations, per school, they find that increases in the percentage change of state support are correlated with Republican controlled legislatures. A surprising result that is attributed to Republicans potentially being more generous to colleges that offer associate’s degrees, as opposed to research universities. Although there does not seem to be a universal consensus regarding state party affiliation and higher education expenditure, many studies point to there being some effect.</w:t>
      </w:r>
    </w:p>
    <w:p w:rsidR="00C81BC7" w:rsidRPr="00AA0D15" w:rsidRDefault="00C81BC7" w:rsidP="00C81BC7"/>
    <w:p w:rsidR="00C81BC7" w:rsidRPr="00AA0D15" w:rsidRDefault="00C81BC7" w:rsidP="00C81BC7">
      <w:pPr>
        <w:pStyle w:val="Heading4"/>
        <w:rPr>
          <w:rFonts w:cs="Times New Roman"/>
        </w:rPr>
      </w:pPr>
      <w:r w:rsidRPr="00AA0D15">
        <w:rPr>
          <w:rFonts w:cs="Times New Roman"/>
        </w:rPr>
        <w:t>Higher education funding on the chopping block --- k-12 has empirically traded off</w:t>
      </w:r>
    </w:p>
    <w:p w:rsidR="00C81BC7" w:rsidRPr="00AA0D15" w:rsidRDefault="00C81BC7" w:rsidP="00C81BC7">
      <w:r w:rsidRPr="00AA0D15">
        <w:rPr>
          <w:b/>
        </w:rPr>
        <w:t xml:space="preserve">Dar 2012 </w:t>
      </w:r>
      <w:r w:rsidRPr="00AA0D15">
        <w:t>--- assistant professor in the Graduate School of Education, University of California, Riverside.</w:t>
      </w:r>
      <w:r w:rsidRPr="00AA0D15">
        <w:rPr>
          <w:b/>
        </w:rPr>
        <w:t xml:space="preserve"> </w:t>
      </w:r>
      <w:r w:rsidRPr="00AA0D15">
        <w:t>(Luciana Dar, ‘The Political Dynamics of Higher Education Policy’, The Journal of Higher Education. http://debdavis.pbworks.com/w/file/fetch/89031527/classroom%20conflict%20-%20political.pdf)//ET</w:t>
      </w:r>
    </w:p>
    <w:p w:rsidR="00C81BC7" w:rsidRPr="00AA0D15" w:rsidRDefault="00C81BC7" w:rsidP="00C81BC7">
      <w:r w:rsidRPr="00AA0D15">
        <w:t xml:space="preserve">Methods and Results The model presented here is a time-series regression analysis using a Newey-West covariance matrix to account for the autocorrelation common in datasets with government spending variables (Greene, 2005). This estimation technique provides standard errors that are robust to the presence of autocorrelation. Other applicable estimation techniques were attempted as robustness checks (regression with a lagged dependent variable, Prais-Winsten, AR (1), and first-difference regression) in an effort to control in other ways for autocorrelation, heteroskedasticity, and other common structures in time-series data. Importantly, the main findings remained consistent across specifications. Tables 1 and 2 present the results. The results confirm the hypothesized relationship between political polarization on higher education spending, both as a share of the state’s budget and per $1,000 of state personal income. The fact that different measures of higher education spending showed evidence of a statistically significant relationship offers preliminary support for the argument that, as politicians become more polarized, </w:t>
      </w:r>
      <w:r w:rsidRPr="00AA0D15">
        <w:rPr>
          <w:rStyle w:val="Emphasis"/>
        </w:rPr>
        <w:t>higher education becomes a loser in the competition for states’ funds</w:t>
      </w:r>
      <w:r w:rsidRPr="00AA0D15">
        <w:t xml:space="preserve">.9 Another finding from the analysis is that </w:t>
      </w:r>
      <w:r w:rsidRPr="00AA0D15">
        <w:rPr>
          <w:rStyle w:val="StyleUnderline"/>
        </w:rPr>
        <w:t>Democratic strength in the California legislature is a significant and negative predictor of the share of state expenditures appropriated to higher education</w:t>
      </w:r>
      <w:r w:rsidRPr="00AA0D15">
        <w:t>. This means that</w:t>
      </w:r>
      <w:r w:rsidRPr="00AA0D15">
        <w:rPr>
          <w:rStyle w:val="StyleUnderline"/>
        </w:rPr>
        <w:t>, as the share of Democrats in the legislature increases, higher education’s share of the budget diminishe</w:t>
      </w:r>
      <w:r w:rsidRPr="00AA0D15">
        <w:t xml:space="preserve">s. There are two possible hypotheses for this observed pattern. First, it may be the case that </w:t>
      </w:r>
      <w:r w:rsidRPr="00AA0D15">
        <w:rPr>
          <w:rStyle w:val="StyleUnderline"/>
        </w:rPr>
        <w:t>Democrats indeed prefer expenditures on programs clearly targeted toward low-income constituents (e.g.,</w:t>
      </w:r>
      <w:r w:rsidRPr="00AA0D15">
        <w:t xml:space="preserve"> welfare, </w:t>
      </w:r>
      <w:r w:rsidRPr="00AA0D15">
        <w:rPr>
          <w:rStyle w:val="StyleUnderline"/>
        </w:rPr>
        <w:t>K–12 education</w:t>
      </w:r>
      <w:r w:rsidRPr="00AA0D15">
        <w:t>). As the Democratic share of the state legislature increases, t</w:t>
      </w:r>
      <w:r w:rsidRPr="00AA0D15">
        <w:rPr>
          <w:rStyle w:val="StyleUnderline"/>
        </w:rPr>
        <w:t>hese preferences are reflected in spending choices.</w:t>
      </w:r>
      <w:r w:rsidRPr="00AA0D15">
        <w:t xml:space="preserve"> Alternatively, as political competition in the legislature increases, there is pressure for compromise in spending priorities. As argued earlier in this paper, the ability to compromise is fundamental for decisions related to higher education. This result invites further quantitative and qualitative investigation. A study by Weerts and Ronca (in press) offers empirical evidence for both arguments in comprehensive comparative analysis of state support for higher education by Carnegie class. In comparison, Democratic strength turned out to be insignificant and negative in the second dependent variable, overall state commitment to higher education. Because spending levels are much more sensitive to economic conditions, it is expected that political variables turn out to be weaker predictors in the model. Nevertheless, this result reinforces the argument that Democrats in California are less likely to support higher education compared to their Republican counterparts. The mechanisms explaining this effect require further investigation. </w:t>
      </w:r>
    </w:p>
    <w:p w:rsidR="00C81BC7" w:rsidRPr="00AA0D15" w:rsidRDefault="00C81BC7" w:rsidP="00C81BC7"/>
    <w:p w:rsidR="00C81BC7" w:rsidRPr="00AA0D15" w:rsidRDefault="00C81BC7" w:rsidP="00C81BC7">
      <w:pPr>
        <w:pStyle w:val="Heading4"/>
        <w:rPr>
          <w:rFonts w:cs="Times New Roman"/>
        </w:rPr>
      </w:pPr>
      <w:r w:rsidRPr="00AA0D15">
        <w:rPr>
          <w:rFonts w:cs="Times New Roman"/>
        </w:rPr>
        <w:t>State K-12 education spending directly trades off with higher education</w:t>
      </w:r>
    </w:p>
    <w:p w:rsidR="00C81BC7" w:rsidRPr="00AA0D15" w:rsidRDefault="00C81BC7" w:rsidP="00C81BC7">
      <w:r w:rsidRPr="00AA0D15">
        <w:rPr>
          <w:b/>
        </w:rPr>
        <w:t xml:space="preserve">Rizzo 4 – </w:t>
      </w:r>
      <w:r w:rsidRPr="00AA0D15">
        <w:t xml:space="preserve">PhD in Econ from Cornell, </w:t>
      </w:r>
      <w:r w:rsidRPr="00AA0D15">
        <w:rPr>
          <w:b/>
        </w:rPr>
        <w:t xml:space="preserve"> </w:t>
      </w:r>
      <w:r w:rsidRPr="00AA0D15">
        <w:t>(Michael, “A (Less Than) Zero Sum Game? State Funding for Public Education: How Public Higher Education Institutions Have Lost”, August 2004, Cornell University ILR School, http://digitalcommons.ilr.cornell.edu/cgi/viewcontent.cgi?article=1007&amp;context=student)//ET</w:t>
      </w:r>
    </w:p>
    <w:p w:rsidR="00C81BC7" w:rsidRPr="00AA0D15" w:rsidRDefault="00C81BC7" w:rsidP="00C81BC7">
      <w:r w:rsidRPr="00AA0D15">
        <w:t xml:space="preserve">Abstract [Excerpt] This dissertation studies the long-term decline in state preferences for education spending in the United States. It constructs an expansive state-level panel data set spanning the fiscal years 1976-77 through 2000-2001 to examine how three budget share measures have changed within states over time and across states at a point in time. The </w:t>
      </w:r>
      <w:r w:rsidRPr="00AA0D15">
        <w:rPr>
          <w:rStyle w:val="StyleUnderline"/>
        </w:rPr>
        <w:t>share of state discretionary expenditures allocated to public education has fallen by four percentage points</w:t>
      </w:r>
      <w:r w:rsidRPr="00AA0D15">
        <w:t xml:space="preserve"> since 1977, </w:t>
      </w:r>
      <w:r w:rsidRPr="00AA0D15">
        <w:rPr>
          <w:rStyle w:val="StyleUnderline"/>
        </w:rPr>
        <w:t>while the share of public education expenditures allocated to public higher education has fallen by six points.</w:t>
      </w:r>
      <w:r w:rsidRPr="00AA0D15">
        <w:t xml:space="preserve"> In addition, the share of public higher education dollars appropriated to institutions (as opposed to directly to students) has fallen by four percentage points. Together the declines translate into real institutional appropriation losses of $2,800 per student in an “average” state – significantly more than the $1,700 increase in real average public four-year instate tuition rates since 1977. Among the main findings are that </w:t>
      </w:r>
      <w:r w:rsidRPr="00AA0D15">
        <w:rPr>
          <w:rStyle w:val="StyleUnderline"/>
        </w:rPr>
        <w:t xml:space="preserve">competing budget items do not appear to “crowd out” education’s budget share. </w:t>
      </w:r>
      <w:r w:rsidRPr="00AA0D15">
        <w:t>Court</w:t>
      </w:r>
      <w:r w:rsidRPr="00AA0D15">
        <w:rPr>
          <w:rStyle w:val="StyleUnderline"/>
        </w:rPr>
        <w:t xml:space="preserve"> </w:t>
      </w:r>
      <w:r w:rsidRPr="00AA0D15">
        <w:rPr>
          <w:rStyle w:val="Emphasis"/>
        </w:rPr>
        <w:t>mandated K12 funding equalization has resulted in substantial increases in education spending within states</w:t>
      </w:r>
      <w:r w:rsidRPr="00AA0D15">
        <w:t xml:space="preserve">, </w:t>
      </w:r>
      <w:r w:rsidRPr="00AA0D15">
        <w:rPr>
          <w:rStyle w:val="StyleUnderline"/>
        </w:rPr>
        <w:t>with over a quarter of the increase</w:t>
      </w:r>
      <w:r w:rsidRPr="00AA0D15">
        <w:t xml:space="preserve"> </w:t>
      </w:r>
      <w:r w:rsidRPr="00AA0D15">
        <w:rPr>
          <w:rStyle w:val="Emphasis"/>
        </w:rPr>
        <w:t>coming at the expense of public higher education</w:t>
      </w:r>
      <w:r w:rsidRPr="00AA0D15">
        <w:t xml:space="preserve">. </w:t>
      </w:r>
      <w:r w:rsidRPr="00AA0D15">
        <w:rPr>
          <w:rStyle w:val="StyleUnderline"/>
        </w:rPr>
        <w:t xml:space="preserve">Attempts by public institutions to increase tuition or raise private funds are seen to trigger a cycle of future budget share cuts, </w:t>
      </w:r>
      <w:r w:rsidRPr="00AA0D15">
        <w:t xml:space="preserve">calling into question what institutions can do as they rapidly spiral toward the private “high tuition” equilibrium. The </w:t>
      </w:r>
      <w:r w:rsidRPr="00AA0D15">
        <w:rPr>
          <w:rStyle w:val="Emphasis"/>
        </w:rPr>
        <w:t>sensitivity</w:t>
      </w:r>
      <w:r w:rsidRPr="00AA0D15">
        <w:t xml:space="preserve"> o</w:t>
      </w:r>
      <w:r w:rsidRPr="00AA0D15">
        <w:rPr>
          <w:rStyle w:val="StyleUnderline"/>
        </w:rPr>
        <w:t>f higher education budget shares to observable state factors has increased over time</w:t>
      </w:r>
      <w:r w:rsidRPr="00AA0D15">
        <w:t xml:space="preserve"> and dynamic panel estimates indicate that </w:t>
      </w:r>
      <w:r w:rsidRPr="00AA0D15">
        <w:rPr>
          <w:rStyle w:val="StyleUnderline"/>
        </w:rPr>
        <w:t>states exercise</w:t>
      </w:r>
      <w:r w:rsidRPr="00AA0D15">
        <w:t xml:space="preserve"> more </w:t>
      </w:r>
      <w:r w:rsidRPr="00AA0D15">
        <w:rPr>
          <w:rStyle w:val="StyleUnderline"/>
        </w:rPr>
        <w:t>discretion over the determination</w:t>
      </w:r>
      <w:r w:rsidRPr="00AA0D15">
        <w:t xml:space="preserve"> of the </w:t>
      </w:r>
      <w:r w:rsidRPr="00AA0D15">
        <w:rPr>
          <w:rStyle w:val="Emphasis"/>
        </w:rPr>
        <w:t>higher education – K12 split</w:t>
      </w:r>
      <w:r w:rsidRPr="00AA0D15">
        <w:t xml:space="preserve"> than over other budgetary decisions.</w:t>
      </w:r>
    </w:p>
    <w:p w:rsidR="00C81BC7" w:rsidRPr="00AA0D15" w:rsidRDefault="00C81BC7" w:rsidP="00C81BC7">
      <w:pPr>
        <w:rPr>
          <w:sz w:val="14"/>
        </w:rPr>
      </w:pPr>
    </w:p>
    <w:p w:rsidR="00C81BC7" w:rsidRPr="00AA0D15" w:rsidRDefault="00C81BC7" w:rsidP="00C81BC7">
      <w:pPr>
        <w:pStyle w:val="Heading4"/>
        <w:rPr>
          <w:rFonts w:cs="Times New Roman"/>
        </w:rPr>
      </w:pPr>
      <w:r w:rsidRPr="00AA0D15">
        <w:rPr>
          <w:rFonts w:cs="Times New Roman"/>
        </w:rPr>
        <w:t>Overwhelming empirics prove the internal link</w:t>
      </w:r>
    </w:p>
    <w:p w:rsidR="00C81BC7" w:rsidRPr="00AA0D15" w:rsidRDefault="00C81BC7" w:rsidP="00C81BC7">
      <w:r w:rsidRPr="00AA0D15">
        <w:rPr>
          <w:b/>
        </w:rPr>
        <w:t xml:space="preserve">Rizzo 4 – </w:t>
      </w:r>
      <w:r w:rsidRPr="00AA0D15">
        <w:t xml:space="preserve">PhD in Econ from Cornell, </w:t>
      </w:r>
      <w:r w:rsidRPr="00AA0D15">
        <w:rPr>
          <w:b/>
        </w:rPr>
        <w:t xml:space="preserve"> </w:t>
      </w:r>
      <w:r w:rsidRPr="00AA0D15">
        <w:t>(Michael, “A (Less Than) Zero Sum Game? State Funding for Public Education: How Public Higher Education Institutions Have Lost”, August 2004, Cornell University ILR School. http://digitalcommons.ilr.cornell.edu/cgi/viewcontent.cgi?article=1007&amp;context=student)//ET</w:t>
      </w:r>
    </w:p>
    <w:p w:rsidR="00C81BC7" w:rsidRPr="00AA0D15" w:rsidRDefault="00C81BC7" w:rsidP="00C81BC7">
      <w:r w:rsidRPr="00AA0D15">
        <w:t xml:space="preserve">Behaviorally, there are </w:t>
      </w:r>
      <w:r w:rsidRPr="00AA0D15">
        <w:rPr>
          <w:rStyle w:val="Emphasis"/>
        </w:rPr>
        <w:t>a multitude of examples</w:t>
      </w:r>
      <w:r w:rsidRPr="00AA0D15">
        <w:t xml:space="preserve"> that </w:t>
      </w:r>
      <w:r w:rsidRPr="00AA0D15">
        <w:rPr>
          <w:rStyle w:val="StyleUnderline"/>
        </w:rPr>
        <w:t xml:space="preserve">demonstrate that states </w:t>
      </w:r>
      <w:r w:rsidRPr="00AA0D15">
        <w:rPr>
          <w:rStyle w:val="Emphasis"/>
        </w:rPr>
        <w:t>explicitly tradeoff K12 funding for higher education funding.</w:t>
      </w:r>
      <w:r w:rsidRPr="00AA0D15">
        <w:t xml:space="preserve"> A recent, well publicized debate in the </w:t>
      </w:r>
      <w:r w:rsidRPr="00AA0D15">
        <w:rPr>
          <w:rStyle w:val="StyleUnderline"/>
        </w:rPr>
        <w:t>South Carolina</w:t>
      </w:r>
      <w:r w:rsidRPr="00AA0D15">
        <w:t xml:space="preserve"> Capitol in Columbia </w:t>
      </w:r>
      <w:r w:rsidRPr="00AA0D15">
        <w:rPr>
          <w:rStyle w:val="StyleUnderline"/>
        </w:rPr>
        <w:t>highlights such a battle.13</w:t>
      </w:r>
      <w:r w:rsidRPr="00AA0D15">
        <w:t xml:space="preserve"> Despite the statutory requirements in most state constitutions that legislatures and budget officers practice “zero-base budgeting,” it is a rare scenario where states weigh and balance the recurring needs annually or biennially from the askings of the administrative officers of the respective departments. What actually happens is that budget directors and governors obtain a reliable estimate of what state revenues are likely to be for the ensuing fiscal period, mindful of the political consequences of increasing taxes or imposing income redistributions. Then, they place this figure on a chalkboard and draw a circle around it. </w:t>
      </w:r>
      <w:r w:rsidRPr="00AA0D15">
        <w:rPr>
          <w:rStyle w:val="StyleUnderline"/>
        </w:rPr>
        <w:t>All that remains is to parcel the slices to the different departments and institutions.</w:t>
      </w:r>
      <w:r w:rsidRPr="00AA0D15">
        <w:t xml:space="preserve"> </w:t>
      </w:r>
      <w:r w:rsidRPr="00AA0D15">
        <w:rPr>
          <w:rStyle w:val="StyleUnderline"/>
        </w:rPr>
        <w:t>This intensifies competition because all departments assume that the total available funding is limited to the figure placed on the chalkboard</w:t>
      </w:r>
      <w:r w:rsidRPr="00AA0D15">
        <w:rPr>
          <w:rStyle w:val="Emphasis"/>
        </w:rPr>
        <w:t>. If any slice is enlarged, it means other slices must shrink</w:t>
      </w:r>
      <w:r w:rsidRPr="00AA0D15">
        <w:t xml:space="preserve">. </w:t>
      </w:r>
      <w:r w:rsidRPr="00AA0D15">
        <w:rPr>
          <w:rStyle w:val="StyleUnderline"/>
        </w:rPr>
        <w:t>Major attention is therefore paid to defending the allocations of the previous fiscal period</w:t>
      </w:r>
      <w:r w:rsidRPr="00AA0D15">
        <w:t xml:space="preserve">, </w:t>
      </w:r>
      <w:r w:rsidRPr="00AA0D15">
        <w:rPr>
          <w:rStyle w:val="StyleUnderline"/>
        </w:rPr>
        <w:t>the status quo</w:t>
      </w:r>
      <w:r w:rsidRPr="00AA0D15">
        <w:rPr>
          <w:rStyle w:val="Emphasis"/>
        </w:rPr>
        <w:t xml:space="preserve">. In this atmosphere it is very difficult to get a hearing for the funding of any entirely new needs or for expansion of any existing services. </w:t>
      </w:r>
    </w:p>
    <w:p w:rsidR="00C81BC7" w:rsidRPr="00AA0D15" w:rsidRDefault="00C81BC7" w:rsidP="00C81BC7"/>
    <w:p w:rsidR="00C81BC7" w:rsidRPr="00AA0D15" w:rsidRDefault="00C81BC7" w:rsidP="00C81BC7"/>
    <w:p w:rsidR="00C81BC7" w:rsidRPr="00AA0D15" w:rsidRDefault="00C81BC7" w:rsidP="00C81BC7"/>
    <w:p w:rsidR="00C81BC7" w:rsidRPr="00AA0D15" w:rsidRDefault="00C81BC7" w:rsidP="00C81BC7">
      <w:pPr>
        <w:pStyle w:val="Heading3"/>
        <w:rPr>
          <w:rFonts w:cs="Times New Roman"/>
        </w:rPr>
      </w:pPr>
      <w:r w:rsidRPr="00AA0D15">
        <w:rPr>
          <w:rFonts w:cs="Times New Roman"/>
        </w:rPr>
        <w:t>1ar internal</w:t>
      </w:r>
    </w:p>
    <w:p w:rsidR="00C81BC7" w:rsidRPr="00AA0D15" w:rsidRDefault="00C81BC7" w:rsidP="00C81BC7"/>
    <w:p w:rsidR="00C81BC7" w:rsidRPr="00AA0D15" w:rsidRDefault="00C81BC7" w:rsidP="00C81BC7">
      <w:pPr>
        <w:pStyle w:val="Heading4"/>
        <w:rPr>
          <w:rFonts w:cs="Times New Roman"/>
        </w:rPr>
      </w:pPr>
      <w:r w:rsidRPr="00AA0D15">
        <w:rPr>
          <w:rFonts w:cs="Times New Roman"/>
        </w:rPr>
        <w:t>Higher education is on the chopping block --- it’s cut first</w:t>
      </w:r>
    </w:p>
    <w:p w:rsidR="00C81BC7" w:rsidRPr="00AA0D15" w:rsidRDefault="00C81BC7" w:rsidP="00C81BC7">
      <w:r w:rsidRPr="00AA0D15">
        <w:rPr>
          <w:b/>
        </w:rPr>
        <w:t xml:space="preserve">Rizzo 4 – </w:t>
      </w:r>
      <w:r w:rsidRPr="00AA0D15">
        <w:t xml:space="preserve">PhD in Econ from Cornell, </w:t>
      </w:r>
      <w:r w:rsidRPr="00AA0D15">
        <w:rPr>
          <w:b/>
        </w:rPr>
        <w:t xml:space="preserve"> </w:t>
      </w:r>
      <w:r w:rsidRPr="00AA0D15">
        <w:t>(Michael, “A (Less Than) Zero Sum Game? State Funding for Public Education: How Public Higher Education Institutions Have Lost”, August 2004, Cornell University ILR School. http://digitalcommons.ilr.cornell.edu/cgi/viewcontent.cgi?article=1007&amp;context=student)//ET</w:t>
      </w:r>
    </w:p>
    <w:p w:rsidR="00C81BC7" w:rsidRPr="00AA0D15" w:rsidRDefault="00C81BC7" w:rsidP="00C81BC7">
      <w:r w:rsidRPr="00AA0D15">
        <w:t xml:space="preserve">Taken together </w:t>
      </w:r>
      <w:r w:rsidRPr="00AA0D15">
        <w:rPr>
          <w:rStyle w:val="StyleUnderline"/>
        </w:rPr>
        <w:t>these figures indicate that the driving force behind the fall of education’s share of the general fund budget</w:t>
      </w:r>
      <w:r w:rsidRPr="00AA0D15">
        <w:t xml:space="preserve"> (figure 1.2) </w:t>
      </w:r>
      <w:r w:rsidRPr="00AA0D15">
        <w:rPr>
          <w:rStyle w:val="StyleUnderline"/>
        </w:rPr>
        <w:t>has been the falling out of favor of public higher education.</w:t>
      </w:r>
      <w:r w:rsidRPr="00AA0D15">
        <w:t xml:space="preserve"> </w:t>
      </w:r>
      <w:r w:rsidRPr="00AA0D15">
        <w:rPr>
          <w:rStyle w:val="StyleUnderline"/>
        </w:rPr>
        <w:t>While</w:t>
      </w:r>
      <w:r w:rsidRPr="00AA0D15">
        <w:t xml:space="preserve"> a steadily </w:t>
      </w:r>
      <w:r w:rsidRPr="00AA0D15">
        <w:rPr>
          <w:rStyle w:val="Emphasis"/>
        </w:rPr>
        <w:t>increasing share of household income is being allocated to the elementary and secondary sector</w:t>
      </w:r>
      <w:r w:rsidRPr="00AA0D15">
        <w:t xml:space="preserve"> throughout the states (figure 1.8), </w:t>
      </w:r>
      <w:r w:rsidRPr="00AA0D15">
        <w:rPr>
          <w:rStyle w:val="StyleUnderline"/>
        </w:rPr>
        <w:t>higher education has enjoyed no such increase.</w:t>
      </w:r>
      <w:r w:rsidRPr="00AA0D15">
        <w:t xml:space="preserve"> After a period of relative prosperity in the early 1980s, the share of median income devoted to public higher education fell from $204 per student out of every $1,000 in 1986 to $167 per student in 1998, with a slight rebound in recent years. This 18% drop from 1986 to 1998, and flat “growth” otherwise result in this picture eerily resembling that of the higher education budget share depicted in figure 1.4 above. </w:t>
      </w:r>
    </w:p>
    <w:p w:rsidR="00C81BC7" w:rsidRPr="00AA0D15" w:rsidRDefault="00C81BC7" w:rsidP="00C81BC7">
      <w:pPr>
        <w:pStyle w:val="Heading4"/>
        <w:rPr>
          <w:rFonts w:cs="Times New Roman"/>
        </w:rPr>
      </w:pPr>
      <w:r w:rsidRPr="00AA0D15">
        <w:rPr>
          <w:rFonts w:cs="Times New Roman"/>
        </w:rPr>
        <w:t>Higher education’s on the chopping block --- elementary and secondary schools directly trade off</w:t>
      </w:r>
    </w:p>
    <w:p w:rsidR="00C81BC7" w:rsidRPr="00AA0D15" w:rsidRDefault="00C81BC7" w:rsidP="00C81BC7">
      <w:r w:rsidRPr="00AA0D15">
        <w:rPr>
          <w:b/>
        </w:rPr>
        <w:t xml:space="preserve">Rizzo 4 – </w:t>
      </w:r>
      <w:r w:rsidRPr="00AA0D15">
        <w:t xml:space="preserve">PhD in Econ from Cornell, </w:t>
      </w:r>
      <w:r w:rsidRPr="00AA0D15">
        <w:rPr>
          <w:b/>
        </w:rPr>
        <w:t xml:space="preserve"> </w:t>
      </w:r>
      <w:r w:rsidRPr="00AA0D15">
        <w:t>(Michael, “A (Less Than) Zero Sum Game? State Funding for Public Education: How Public Higher Education Institutions Have Lost”, August 2004, Cornell University ILR School. http://digitalcommons.ilr.cornell.edu/cgi/viewcontent.cgi?article=1007&amp;context=student)//ET</w:t>
      </w:r>
    </w:p>
    <w:p w:rsidR="00C81BC7" w:rsidRPr="00AA0D15" w:rsidRDefault="00C81BC7" w:rsidP="00C81BC7">
      <w:pPr>
        <w:rPr>
          <w:rStyle w:val="Emphasis"/>
        </w:rPr>
      </w:pPr>
      <w:r w:rsidRPr="00AA0D15">
        <w:t xml:space="preserve">The Broader Economic Picture is Not Bright </w:t>
      </w:r>
      <w:r w:rsidRPr="00AA0D15">
        <w:rPr>
          <w:rStyle w:val="StyleUnderline"/>
        </w:rPr>
        <w:t>Higher education budget shares have fallen during a period of astonishing economic health in the United States</w:t>
      </w:r>
      <w:r w:rsidRPr="00AA0D15">
        <w:t xml:space="preserve">. From 1977 through 2001, real GDP more than doubled, the unemployment rate fell by 2.3 percentage points, prices have remained relatively stable and low, and in aggregate states posted budget deficits in only three years during this period.20 Currently forty states are running structural budget deficits and these are expected to continue for at least two more fiscal years.21 State debt service levels have reached all time highs, “rainy day funds” have already been depleted and the increasing priority of homeland security and other federal initiatives at the state level are putting enormous pressure on previously unstressed budget items. </w:t>
      </w:r>
      <w:r w:rsidRPr="00AA0D15">
        <w:rPr>
          <w:rStyle w:val="StyleUnderline"/>
        </w:rPr>
        <w:t>Elementary and secondary school finance court challenges are expected to continue, placing more pressure on state budgets to maintain funding for K12 education,</w:t>
      </w:r>
      <w:r w:rsidRPr="00AA0D15">
        <w:t xml:space="preserve"> a record number of people are in prison22 and demographic shifts aren’t working in higher education’s favor.23 </w:t>
      </w:r>
      <w:r w:rsidRPr="00AA0D15">
        <w:rPr>
          <w:rStyle w:val="StyleUnderline"/>
        </w:rPr>
        <w:t xml:space="preserve">While the increasing </w:t>
      </w:r>
      <w:r w:rsidRPr="00AA0D15">
        <w:rPr>
          <w:rStyle w:val="Emphasis"/>
        </w:rPr>
        <w:t>demand for state support</w:t>
      </w:r>
      <w:r w:rsidRPr="00AA0D15">
        <w:rPr>
          <w:rStyle w:val="StyleUnderline"/>
        </w:rPr>
        <w:t xml:space="preserve"> </w:t>
      </w:r>
      <w:r w:rsidRPr="00AA0D15">
        <w:rPr>
          <w:rStyle w:val="Emphasis"/>
        </w:rPr>
        <w:t>of these</w:t>
      </w:r>
      <w:r w:rsidRPr="00AA0D15">
        <w:rPr>
          <w:rStyle w:val="StyleUnderline"/>
        </w:rPr>
        <w:t xml:space="preserve"> and other budget items has been dramatic and well documented</w:t>
      </w:r>
      <w:r w:rsidRPr="00AA0D15">
        <w:t>,</w:t>
      </w:r>
      <w:r w:rsidRPr="00AA0D15">
        <w:rPr>
          <w:rStyle w:val="Emphasis"/>
        </w:rPr>
        <w:t xml:space="preserve"> there have been no equivalent pushes for higher education institutional support. </w:t>
      </w:r>
      <w:r w:rsidRPr="00AA0D15">
        <w:t xml:space="preserve">These budget pressures are compounded by the fact that many states have rapidly decaying infrastructures, have significant security concerns post-9/11, have entrenched and deadlocked state congresspersons all during a time when a rapidly changing economy has rendered most state tax codes obsolete. </w:t>
      </w:r>
      <w:r w:rsidRPr="00AA0D15">
        <w:rPr>
          <w:rStyle w:val="StyleUnderline"/>
        </w:rPr>
        <w:t xml:space="preserve">Given that higher education experienced a </w:t>
      </w:r>
      <w:r w:rsidRPr="00AA0D15">
        <w:rPr>
          <w:rStyle w:val="Emphasis"/>
        </w:rPr>
        <w:t>sharp cutting of the knife</w:t>
      </w:r>
      <w:r w:rsidRPr="00AA0D15">
        <w:rPr>
          <w:rStyle w:val="StyleUnderline"/>
        </w:rPr>
        <w:t xml:space="preserve"> during plush times</w:t>
      </w:r>
      <w:r w:rsidRPr="00AA0D15">
        <w:t xml:space="preserve">, </w:t>
      </w:r>
      <w:r w:rsidRPr="00AA0D15">
        <w:rPr>
          <w:rStyle w:val="Emphasis"/>
        </w:rPr>
        <w:t xml:space="preserve">concern about its fate would be justifiable during these leaner times. </w:t>
      </w:r>
    </w:p>
    <w:p w:rsidR="00C81BC7" w:rsidRPr="00AA0D15" w:rsidRDefault="00C81BC7" w:rsidP="00C81BC7"/>
    <w:p w:rsidR="00C81BC7" w:rsidRPr="00AA0D15" w:rsidRDefault="00C81BC7" w:rsidP="00C81BC7">
      <w:pPr>
        <w:pStyle w:val="Heading3"/>
        <w:rPr>
          <w:rFonts w:cs="Times New Roman"/>
        </w:rPr>
      </w:pPr>
      <w:r w:rsidRPr="00AA0D15">
        <w:rPr>
          <w:rFonts w:cs="Times New Roman"/>
        </w:rPr>
        <w:t>K2 Econ</w:t>
      </w:r>
    </w:p>
    <w:p w:rsidR="00C81BC7" w:rsidRPr="00AA0D15" w:rsidRDefault="00C81BC7" w:rsidP="00C81BC7">
      <w:pPr>
        <w:pStyle w:val="Heading4"/>
        <w:rPr>
          <w:rFonts w:cs="Times New Roman"/>
        </w:rPr>
      </w:pPr>
      <w:r w:rsidRPr="00AA0D15">
        <w:rPr>
          <w:rFonts w:cs="Times New Roman"/>
        </w:rPr>
        <w:t>Key to econ – studies confirm correlation between education and econ growth, produce comparative advantage and key tech</w:t>
      </w:r>
    </w:p>
    <w:p w:rsidR="00C81BC7" w:rsidRPr="00AA0D15" w:rsidRDefault="00C81BC7" w:rsidP="00C81BC7">
      <w:r w:rsidRPr="00AA0D15">
        <w:rPr>
          <w:b/>
        </w:rPr>
        <w:t xml:space="preserve">Rizzo 4 – </w:t>
      </w:r>
      <w:r w:rsidRPr="00AA0D15">
        <w:t xml:space="preserve">PhD in Econ from Cornell, </w:t>
      </w:r>
      <w:r w:rsidRPr="00AA0D15">
        <w:rPr>
          <w:b/>
        </w:rPr>
        <w:t xml:space="preserve"> </w:t>
      </w:r>
      <w:r w:rsidRPr="00AA0D15">
        <w:t>(Michael, “A (Less Than) Zero Sum Game? State Funding for Public Education: How Public Higher Education Institutions Have Lost”, August 2004, Cornell University ILR School. http://digitalcommons.ilr.cornell.edu/cgi/viewcontent.cgi?article=1007&amp;context=student)//ET</w:t>
      </w:r>
    </w:p>
    <w:p w:rsidR="00C81BC7" w:rsidRPr="00AA0D15" w:rsidRDefault="00C81BC7" w:rsidP="00C81BC7">
      <w:r w:rsidRPr="00AA0D15">
        <w:rPr>
          <w:rStyle w:val="StyleUnderline"/>
        </w:rPr>
        <w:t xml:space="preserve">Higher Education as a Catalyst for Economic Growth </w:t>
      </w:r>
      <w:r w:rsidRPr="00AA0D15">
        <w:t>Economist Caroline Hoxby (2000) has noted, “</w:t>
      </w:r>
      <w:r w:rsidRPr="00AA0D15">
        <w:rPr>
          <w:rStyle w:val="StyleUnderline"/>
        </w:rPr>
        <w:t>several factors underscore higher education’s role as an economic growth engine for the nation, including</w:t>
      </w:r>
      <w:r w:rsidRPr="00AA0D15">
        <w:t xml:space="preserve">: </w:t>
      </w:r>
      <w:r w:rsidRPr="00AA0D15">
        <w:rPr>
          <w:rStyle w:val="StyleUnderline"/>
        </w:rPr>
        <w:t>a) the high correlation between educational attainment and economic growth in the US; b) the fact that the United States has a comparative advantage in producing goods and services with high skill content; and c) the extent to which growth of technology related sectors of the economy depends on an ample supply of educated labor.”</w:t>
      </w:r>
      <w:r w:rsidRPr="00AA0D15">
        <w:t xml:space="preserve"> As Alexander (2001) points out, </w:t>
      </w:r>
      <w:r w:rsidRPr="00AA0D15">
        <w:rPr>
          <w:rStyle w:val="StyleUnderline"/>
        </w:rPr>
        <w:t xml:space="preserve">there are </w:t>
      </w:r>
      <w:r w:rsidRPr="00AA0D15">
        <w:rPr>
          <w:rStyle w:val="Emphasis"/>
        </w:rPr>
        <w:t>literally dozens of studies</w:t>
      </w:r>
      <w:r w:rsidRPr="00AA0D15">
        <w:rPr>
          <w:rStyle w:val="StyleUnderline"/>
        </w:rPr>
        <w:t xml:space="preserve"> showing that rates of return to higher education are significant for private persons and society as a whole.</w:t>
      </w:r>
      <w:r w:rsidRPr="00AA0D15">
        <w:t xml:space="preserve">30 Thus, </w:t>
      </w:r>
      <w:r w:rsidRPr="00AA0D15">
        <w:rPr>
          <w:rStyle w:val="StyleUnderline"/>
        </w:rPr>
        <w:t xml:space="preserve">it is important that </w:t>
      </w:r>
      <w:r w:rsidRPr="00AA0D15">
        <w:rPr>
          <w:rStyle w:val="Emphasis"/>
        </w:rPr>
        <w:t>policy-makers ensure that investment in higher education is high enough</w:t>
      </w:r>
      <w:r w:rsidRPr="00AA0D15">
        <w:t xml:space="preserve"> (and also equitable</w:t>
      </w:r>
      <w:r w:rsidRPr="00AA0D15">
        <w:rPr>
          <w:rStyle w:val="StyleUnderline"/>
        </w:rPr>
        <w:t>). Given the unique abilities for universities to produce both basic and applied research, adapt quickly to a changing economy, prepare students to work in a large variety of industries,</w:t>
      </w:r>
      <w:r w:rsidRPr="00AA0D15">
        <w:t xml:space="preserve"> provide job training and retraining for displaced workers, etc., it is very surprising the extent to which higher education has fallen out of favor at the state level. These benefits do not appear to be lost on the federal government however, as its agencies have tripled the amount of support for science and engineering research and development at public institutions, committing $4.7 billion (real dollars) in 1977 to $13.9 billion in 2001. </w:t>
      </w:r>
    </w:p>
    <w:p w:rsidR="00C81BC7" w:rsidRPr="00AA0D15" w:rsidRDefault="00C81BC7" w:rsidP="00C81BC7">
      <w:pPr>
        <w:pStyle w:val="Heading4"/>
        <w:rPr>
          <w:rFonts w:cs="Times New Roman"/>
        </w:rPr>
      </w:pPr>
      <w:r w:rsidRPr="00AA0D15">
        <w:rPr>
          <w:rFonts w:cs="Times New Roman"/>
        </w:rPr>
        <w:t>Higher education funding key to econ returns</w:t>
      </w:r>
    </w:p>
    <w:p w:rsidR="00C81BC7" w:rsidRPr="00AA0D15" w:rsidRDefault="00C81BC7" w:rsidP="00C81BC7">
      <w:r w:rsidRPr="00AA0D15">
        <w:rPr>
          <w:b/>
        </w:rPr>
        <w:t xml:space="preserve">Rizzo 4 – </w:t>
      </w:r>
      <w:r w:rsidRPr="00AA0D15">
        <w:t xml:space="preserve">PhD in Econ from Cornell, </w:t>
      </w:r>
      <w:r w:rsidRPr="00AA0D15">
        <w:rPr>
          <w:b/>
        </w:rPr>
        <w:t xml:space="preserve"> </w:t>
      </w:r>
      <w:r w:rsidRPr="00AA0D15">
        <w:t>(Michael, “A (Less Than) Zero Sum Game? State Funding for Public Education: How Public Higher Education Institutions Have Lost”, August 2004, Cornell University ILR School. http://digitalcommons.ilr.cornell.edu/cgi/viewcontent.cgi?article=1007&amp;context=student)//ET</w:t>
      </w:r>
    </w:p>
    <w:p w:rsidR="00C81BC7" w:rsidRPr="00AA0D15" w:rsidRDefault="00C81BC7" w:rsidP="00C81BC7">
      <w:r w:rsidRPr="00AA0D15">
        <w:rPr>
          <w:rStyle w:val="StyleUnderline"/>
        </w:rPr>
        <w:t>Rates of Return to Public Expenditures When you see dramatic withdrawal of support for one budget item in favor of others, one would expect that the shift be due in part to changing relative rates of return to spending on each budget item</w:t>
      </w:r>
      <w:r w:rsidRPr="00AA0D15">
        <w:t xml:space="preserve">. Were states to behave as homo economicus would, they would spend money on each budget item until the marginal social benefit equals the marginal social cost (which should also equal the shadow price of a state’s wealth) of each budget item. </w:t>
      </w:r>
      <w:r w:rsidRPr="00AA0D15">
        <w:rPr>
          <w:rStyle w:val="StyleUnderline"/>
        </w:rPr>
        <w:t>At face value, it does not appear that legislatures are behaving this way.</w:t>
      </w:r>
      <w:r w:rsidRPr="00AA0D15">
        <w:t xml:space="preserve"> </w:t>
      </w:r>
      <w:r w:rsidRPr="00AA0D15">
        <w:rPr>
          <w:rStyle w:val="Emphasis"/>
        </w:rPr>
        <w:t>Dozens of studies</w:t>
      </w:r>
      <w:r w:rsidRPr="00AA0D15">
        <w:t xml:space="preserve"> i</w:t>
      </w:r>
      <w:r w:rsidRPr="00AA0D15">
        <w:rPr>
          <w:rStyle w:val="StyleUnderline"/>
        </w:rPr>
        <w:t xml:space="preserve">ndicate that the private rates of return to 21 investments in higher education are </w:t>
      </w:r>
      <w:r w:rsidRPr="00AA0D15">
        <w:rPr>
          <w:rStyle w:val="Emphasis"/>
        </w:rPr>
        <w:t>substantial and growing</w:t>
      </w:r>
      <w:r w:rsidRPr="00AA0D15">
        <w:t xml:space="preserve"> (</w:t>
      </w:r>
      <w:r w:rsidRPr="00AA0D15">
        <w:rPr>
          <w:rStyle w:val="StyleUnderline"/>
        </w:rPr>
        <w:t>believed to be on the order of 15%</w:t>
      </w:r>
      <w:r w:rsidRPr="00AA0D15">
        <w:t>, which exceeds the 13% historical average rate of return provided by investments in the stocks of companies in the Dow Jones Industrial Average). It is difficult to obtain reliable estimates of the social rate of return to higher education. However</w:t>
      </w:r>
      <w:r w:rsidRPr="00AA0D15">
        <w:rPr>
          <w:rStyle w:val="StyleUnderline"/>
        </w:rPr>
        <w:t>, a recent economic impact study by the</w:t>
      </w:r>
      <w:r w:rsidRPr="00AA0D15">
        <w:t xml:space="preserve"> National Association of State Universities and Land-Grant Colleges (</w:t>
      </w:r>
      <w:r w:rsidRPr="00AA0D15">
        <w:rPr>
          <w:rStyle w:val="StyleUnderline"/>
        </w:rPr>
        <w:t>NASULGC) provides evidence that the social returns are substantial</w:t>
      </w:r>
      <w:r w:rsidRPr="00AA0D15">
        <w:t xml:space="preserve">. Based on a survey of its member institutions it finds that </w:t>
      </w:r>
      <w:r w:rsidRPr="00AA0D15">
        <w:rPr>
          <w:rStyle w:val="StyleUnderline"/>
        </w:rPr>
        <w:t xml:space="preserve">for every dollar invested </w:t>
      </w:r>
      <w:r w:rsidRPr="00AA0D15">
        <w:t xml:space="preserve">by a state in a NASULGC institution, </w:t>
      </w:r>
      <w:r w:rsidRPr="00AA0D15">
        <w:rPr>
          <w:rStyle w:val="StyleUnderline"/>
        </w:rPr>
        <w:t>there is an average return of $5.</w:t>
      </w:r>
      <w:r w:rsidRPr="00AA0D15">
        <w:t xml:space="preserve"> </w:t>
      </w:r>
      <w:r w:rsidRPr="00AA0D15">
        <w:rPr>
          <w:rStyle w:val="StyleUnderline"/>
        </w:rPr>
        <w:t xml:space="preserve">Considering the large investment value of higher education expenditures it is concerning to see this withdrawal </w:t>
      </w:r>
      <w:r w:rsidRPr="00AA0D15">
        <w:t>and it begs the question of what is happening to the returns to other items states spend their money on.16</w:t>
      </w:r>
    </w:p>
    <w:p w:rsidR="00C81BC7" w:rsidRPr="00AA0D15" w:rsidRDefault="00C81BC7" w:rsidP="00C81BC7">
      <w:pPr>
        <w:pStyle w:val="Heading3"/>
        <w:rPr>
          <w:rFonts w:cs="Times New Roman"/>
        </w:rPr>
      </w:pPr>
      <w:r w:rsidRPr="00AA0D15">
        <w:rPr>
          <w:rFonts w:cs="Times New Roman"/>
        </w:rPr>
        <w:t>K2 Competitiveness/Tech Leadership</w:t>
      </w:r>
    </w:p>
    <w:p w:rsidR="00C81BC7" w:rsidRPr="00AA0D15" w:rsidRDefault="00C81BC7" w:rsidP="00C81BC7">
      <w:pPr>
        <w:pStyle w:val="Heading4"/>
        <w:rPr>
          <w:rFonts w:cs="Times New Roman"/>
        </w:rPr>
      </w:pPr>
      <w:r w:rsidRPr="00AA0D15">
        <w:rPr>
          <w:rFonts w:cs="Times New Roman"/>
        </w:rPr>
        <w:t xml:space="preserve">Universities are key to U.S. global competitiveness, tech leadership and heg --- funding is key </w:t>
      </w:r>
    </w:p>
    <w:p w:rsidR="00C81BC7" w:rsidRPr="00AA0D15" w:rsidRDefault="00C81BC7" w:rsidP="00C81BC7">
      <w:r w:rsidRPr="00AA0D15">
        <w:rPr>
          <w:b/>
        </w:rPr>
        <w:t xml:space="preserve">Garz et al. 12 </w:t>
      </w:r>
      <w:r w:rsidRPr="00AA0D15">
        <w:t>– PhD candidate in public policy at Berkeley. Birgeneau, Chancellor. Yeary, Vice Chancellor. (Robert J.  Birgeneau, Seth Garz, Frank Yeary, “Knowledge Made in America: A private­public funding model for leading public research universities,” 2-10-12, http://chancellor.berkeley.edu/sites/default/files/KnowledgeMadeinAmerica.pdf)//ET</w:t>
      </w:r>
    </w:p>
    <w:p w:rsidR="00C81BC7" w:rsidRPr="00AA0D15" w:rsidRDefault="00C81BC7" w:rsidP="00C81BC7">
      <w:r w:rsidRPr="00AA0D15">
        <w:rPr>
          <w:rStyle w:val="Emphasis"/>
        </w:rPr>
        <w:t>Maintain Global Leadership</w:t>
      </w:r>
      <w:r w:rsidRPr="00AA0D15">
        <w:t xml:space="preserve"> </w:t>
      </w:r>
      <w:r w:rsidRPr="00AA0D15">
        <w:rPr>
          <w:rStyle w:val="Emphasis"/>
        </w:rPr>
        <w:t>at America’s Great Public Universities</w:t>
      </w:r>
      <w:r w:rsidRPr="00AA0D15">
        <w:t xml:space="preserve"> through a New Private</w:t>
      </w:r>
      <w:r w:rsidRPr="00AA0D15">
        <w:rPr>
          <w:rFonts w:ascii="Cambria Math" w:hAnsi="Cambria Math" w:cs="Cambria Math"/>
        </w:rPr>
        <w:t>‐</w:t>
      </w:r>
      <w:r w:rsidRPr="00AA0D15">
        <w:t xml:space="preserve">Public Partnership </w:t>
      </w:r>
      <w:r w:rsidRPr="00AA0D15">
        <w:rPr>
          <w:rStyle w:val="StyleUnderline"/>
        </w:rPr>
        <w:t>Universities lie at the heart of successful, leading economies around the world, more so in today’s knowledge economy than ever before. The role of America’s leading universities in yielding new knowledge, discovering breakthrough ideas, fostering innovations, seeding new companies and creating jobs has been the envy of the world for six decades</w:t>
      </w:r>
      <w:r w:rsidRPr="00AA0D15">
        <w:t xml:space="preserve">. Sadly, </w:t>
      </w:r>
      <w:r w:rsidRPr="00AA0D15">
        <w:rPr>
          <w:rStyle w:val="StyleUnderline"/>
        </w:rPr>
        <w:t xml:space="preserve">this legacy of excellence is </w:t>
      </w:r>
      <w:r w:rsidRPr="00AA0D15">
        <w:rPr>
          <w:rStyle w:val="Emphasis"/>
        </w:rPr>
        <w:t>threatened</w:t>
      </w:r>
      <w:r w:rsidRPr="00AA0D15">
        <w:t xml:space="preserve">, </w:t>
      </w:r>
      <w:r w:rsidRPr="00AA0D15">
        <w:rPr>
          <w:rStyle w:val="StyleUnderline"/>
        </w:rPr>
        <w:t xml:space="preserve">as </w:t>
      </w:r>
      <w:r w:rsidRPr="00AA0D15">
        <w:rPr>
          <w:rStyle w:val="Emphasis"/>
        </w:rPr>
        <w:t>economically struggling states</w:t>
      </w:r>
      <w:r w:rsidRPr="00AA0D15">
        <w:t xml:space="preserve"> are </w:t>
      </w:r>
      <w:r w:rsidRPr="00AA0D15">
        <w:rPr>
          <w:rStyle w:val="Emphasis"/>
        </w:rPr>
        <w:t>disinvesti</w:t>
      </w:r>
      <w:r w:rsidRPr="00AA0D15">
        <w:t xml:space="preserve">ng </w:t>
      </w:r>
      <w:r w:rsidRPr="00AA0D15">
        <w:rPr>
          <w:rStyle w:val="Emphasis"/>
        </w:rPr>
        <w:t xml:space="preserve">in public higher education </w:t>
      </w:r>
      <w:r w:rsidRPr="00AA0D15">
        <w:t>at the same time national governments from many other countries are embarking upon major new investments in their public universities. According to a recent report by the U.S. Department of Commerce, “Federal funding of research cannot drive innovation by itself. A healthy private sector must act in partnership with univ</w:t>
      </w:r>
      <w:r w:rsidRPr="00AA0D15">
        <w:rPr>
          <w:rStyle w:val="StyleUnderline"/>
        </w:rPr>
        <w:t xml:space="preserve">ersity and research labs to fund the transfer of new technologies to the market, creating new businesses built on innovation. It is also crucial for institutions to encourage </w:t>
      </w:r>
      <w:r w:rsidRPr="00AA0D15">
        <w:rPr>
          <w:rStyle w:val="Emphasis"/>
        </w:rPr>
        <w:t>research</w:t>
      </w:r>
      <w:r w:rsidRPr="00AA0D15">
        <w:rPr>
          <w:rStyle w:val="StyleUnderline"/>
        </w:rPr>
        <w:t xml:space="preserve"> through a strong education system.</w:t>
      </w:r>
      <w:r w:rsidRPr="00AA0D15">
        <w:t xml:space="preserve"> ….However, the innovative performance of the United States has slipped during the past decade compared to other countries.” 1 The National Academies press finds that </w:t>
      </w:r>
      <w:r w:rsidRPr="00AA0D15">
        <w:rPr>
          <w:rStyle w:val="StyleUnderline"/>
        </w:rPr>
        <w:t xml:space="preserve">“U.S. leadership in technological innovation seems certain to be </w:t>
      </w:r>
      <w:r w:rsidRPr="00AA0D15">
        <w:rPr>
          <w:rStyle w:val="Emphasis"/>
        </w:rPr>
        <w:t>seriously erode</w:t>
      </w:r>
      <w:r w:rsidRPr="00AA0D15">
        <w:rPr>
          <w:rStyle w:val="StyleUnderline"/>
        </w:rPr>
        <w:t xml:space="preserve">d </w:t>
      </w:r>
      <w:r w:rsidRPr="00AA0D15">
        <w:t xml:space="preserve">unless current trends are reversed. </w:t>
      </w:r>
      <w:r w:rsidRPr="00AA0D15">
        <w:rPr>
          <w:rStyle w:val="StyleUnderline"/>
        </w:rPr>
        <w:t xml:space="preserve">The accelerating pace of discovery and application of new technologies, investments by other nations in research and development (R&amp;D) and the education of a technical workforce, and an increasingly competitive global economy are </w:t>
      </w:r>
      <w:r w:rsidRPr="00AA0D15">
        <w:rPr>
          <w:rStyle w:val="Emphasis"/>
        </w:rPr>
        <w:t>challenging U.S. technological leadership and with it future U.S. prosperity and security.”2 To maintain America’s economic competitiveness</w:t>
      </w:r>
      <w:r w:rsidRPr="00AA0D15">
        <w:t xml:space="preserve"> we must strengthen our efforts in the science, technology, engineering and math fields as well as provide a strong infrastructure for the humanities and social sciences, which are also critical to America’s global leadership success in the 21st century.</w:t>
      </w:r>
    </w:p>
    <w:p w:rsidR="00C81BC7" w:rsidRPr="00AA0D15" w:rsidRDefault="00C81BC7" w:rsidP="00C81BC7"/>
    <w:p w:rsidR="00C81BC7" w:rsidRPr="00AA0D15" w:rsidRDefault="00C81BC7" w:rsidP="00C81BC7">
      <w:pPr>
        <w:pStyle w:val="Heading3"/>
        <w:rPr>
          <w:rFonts w:cs="Times New Roman"/>
        </w:rPr>
      </w:pPr>
      <w:r w:rsidRPr="00AA0D15">
        <w:rPr>
          <w:rFonts w:cs="Times New Roman"/>
        </w:rPr>
        <w:t>K2 Chronic Disease</w:t>
      </w:r>
    </w:p>
    <w:p w:rsidR="00C81BC7" w:rsidRPr="00AA0D15" w:rsidRDefault="00C81BC7" w:rsidP="00C81BC7">
      <w:pPr>
        <w:pStyle w:val="Heading4"/>
        <w:rPr>
          <w:rFonts w:cs="Times New Roman"/>
        </w:rPr>
      </w:pPr>
      <w:r w:rsidRPr="00AA0D15">
        <w:rPr>
          <w:rFonts w:cs="Times New Roman"/>
        </w:rPr>
        <w:t xml:space="preserve">Public universities key to innovating new solutions to food crisis and global health threats </w:t>
      </w:r>
    </w:p>
    <w:p w:rsidR="00C81BC7" w:rsidRPr="00AA0D15" w:rsidRDefault="00C81BC7" w:rsidP="00C81BC7">
      <w:r w:rsidRPr="00AA0D15">
        <w:rPr>
          <w:b/>
        </w:rPr>
        <w:t xml:space="preserve">APLU 2016 --- </w:t>
      </w:r>
      <w:r w:rsidRPr="00AA0D15">
        <w:t>Association of Public Land Grant Universities. (“Public Universities’ Group Unveils Holistic Research Agenda &amp; Action Plan to Improve Food System &amp; Human Health”, 3-15-16, http://www.aplu.org/news-and-media/News/public-universities-group-unveils-holistic-research-agenda--action-plan-to-improve-food-system--human-health)//ET</w:t>
      </w:r>
    </w:p>
    <w:p w:rsidR="00C81BC7" w:rsidRPr="00AA0D15" w:rsidRDefault="00C81BC7" w:rsidP="00C81BC7">
      <w:pPr>
        <w:rPr>
          <w:rStyle w:val="Emphasis"/>
        </w:rPr>
      </w:pPr>
      <w:r w:rsidRPr="00AA0D15">
        <w:rPr>
          <w:sz w:val="14"/>
        </w:rPr>
        <w:t xml:space="preserve">Washington, DC – A group of </w:t>
      </w:r>
      <w:r w:rsidRPr="00AA0D15">
        <w:rPr>
          <w:rStyle w:val="Emphasis"/>
        </w:rPr>
        <w:t>leading experts from public universities</w:t>
      </w:r>
      <w:r w:rsidRPr="00AA0D15">
        <w:rPr>
          <w:sz w:val="14"/>
        </w:rPr>
        <w:t xml:space="preserve"> </w:t>
      </w:r>
      <w:r w:rsidRPr="00AA0D15">
        <w:rPr>
          <w:rStyle w:val="StyleUnderline"/>
        </w:rPr>
        <w:t xml:space="preserve">across the U.S. today unveiled a comprehensive research agenda and action plan that seeks to integrate agriculture, nutrition, food and health care systems to holistically improve human health outcomes and help </w:t>
      </w:r>
      <w:r w:rsidRPr="00AA0D15">
        <w:rPr>
          <w:rStyle w:val="Emphasis"/>
        </w:rPr>
        <w:t>prevent chronic disease</w:t>
      </w:r>
      <w:r w:rsidRPr="00AA0D15">
        <w:rPr>
          <w:sz w:val="14"/>
        </w:rPr>
        <w:t xml:space="preserve">. </w:t>
      </w:r>
      <w:r w:rsidRPr="00AA0D15">
        <w:rPr>
          <w:rStyle w:val="StyleUnderline"/>
        </w:rPr>
        <w:t>The new research agenda and action plan</w:t>
      </w:r>
      <w:r w:rsidRPr="00AA0D15">
        <w:rPr>
          <w:sz w:val="14"/>
        </w:rPr>
        <w:t xml:space="preserve">, Healthy Food Systems, Healthy People, is the product of a joint initiative coordinated by the Association of Public and Land-grant Universities (APLU), which </w:t>
      </w:r>
      <w:r w:rsidRPr="00AA0D15">
        <w:rPr>
          <w:rStyle w:val="StyleUnderline"/>
        </w:rPr>
        <w:t xml:space="preserve">aims to convene, integrate and leverage the wide array of expertise housed at the nation’s public universities. </w:t>
      </w:r>
      <w:r w:rsidRPr="00AA0D15">
        <w:rPr>
          <w:sz w:val="14"/>
        </w:rPr>
        <w:t>The report issues a clarion call to rethink the way human health is addressed and reorient national health priorities to reflect the manifold factors that impact health. “</w:t>
      </w:r>
      <w:r w:rsidRPr="00AA0D15">
        <w:rPr>
          <w:rStyle w:val="StyleUnderline"/>
        </w:rPr>
        <w:t>For far too long, efforts to improve human health have fallen short of their potential simply because they’ve offered one-dimensional solutions to a multidimensional is</w:t>
      </w:r>
      <w:r w:rsidRPr="00AA0D15">
        <w:rPr>
          <w:sz w:val="14"/>
        </w:rPr>
        <w:t xml:space="preserve">sue,” said Ian Maw, Vice President for Food, Agriculture and Natural Resources at APLU. “We need to eliminate the artificial barriers that have traditionally kept agriculture, nutrition, food and health care systems walled off from each other. Today’s report lays the foundation and sets a plan in place for breaking the mold and underscores the fact that the nation’s public universities have a unique ability and responsibility to do just that.” </w:t>
      </w:r>
      <w:r w:rsidRPr="00AA0D15">
        <w:rPr>
          <w:rStyle w:val="StyleUnderline"/>
        </w:rPr>
        <w:t xml:space="preserve">The report identifies five goals: Realign research and education approaches using a “systems thinking” model that treats human health as an interdisciplinary issue; Identify the drivers of consumer behavior in relation to chronic disease and examine how information can be used to help consumers make better decisions; Better understand the complex interrelationships of the food-human-gut-microbiome and its role in human health; Broaden the definition of food quality to include the promotion of human health; and Improve the lab-to-community pipeline to facilitate the dissemination of new knowledge that medical, public health, education, and Cooperative Extension professionals can use to promote human health and ameliorate the burden of chronic disease. </w:t>
      </w:r>
      <w:r w:rsidRPr="00AA0D15">
        <w:rPr>
          <w:sz w:val="14"/>
        </w:rPr>
        <w:t xml:space="preserve">An implementation committee has been created by the APLU Boards on Agriculture Assembly and Human Sciences to provide leadership in developing the funding recommendations and strategic partnerships for Fiscal Year 2018 and beyond. The strategic partnerships will include governmental entities, private corporations and food service companies, foundations, associations, medical schools and public health officers, and others. "The team that created this document realized the urgency of bringing agricultural and food systems together with the health care network,” said Dr. Richard H. Linton, Dean, College of Agriculture and Life Sciences at North Carolina State University and Co-Chair of the Healthy Food Systems, Healthy People Steering Committee. “Integrating an effective research and outreach plan is the only way that we can make a significant difference in reducing chronic disease." “The U.S. spends up to 75 percent of its health care expenses on chronic disease,” said Christine Ladisch, Inaugural Dean of Health &amp; Human Sciences at Purdue University and Co-Chair of the Healthy Food Systems, Healthy People Steering Committee. “The </w:t>
      </w:r>
      <w:r w:rsidRPr="00AA0D15">
        <w:rPr>
          <w:rStyle w:val="StyleUnderline"/>
        </w:rPr>
        <w:t xml:space="preserve">new approaches and partnerships outlined in this initiative </w:t>
      </w:r>
      <w:r w:rsidRPr="00AA0D15">
        <w:rPr>
          <w:rStyle w:val="Emphasis"/>
        </w:rPr>
        <w:t>hold great promise to reduce the incidence and severity of chronic disease as well as its economic toll.”</w:t>
      </w:r>
    </w:p>
    <w:p w:rsidR="00C81BC7" w:rsidRPr="00AA0D15" w:rsidRDefault="00C81BC7" w:rsidP="00C81BC7">
      <w:pPr>
        <w:pStyle w:val="Heading4"/>
        <w:rPr>
          <w:rStyle w:val="Style13ptBold"/>
          <w:rFonts w:cs="Times New Roman"/>
          <w:b/>
        </w:rPr>
      </w:pPr>
      <w:r w:rsidRPr="00AA0D15">
        <w:rPr>
          <w:rStyle w:val="Style13ptBold"/>
          <w:rFonts w:cs="Times New Roman"/>
          <w:b/>
        </w:rPr>
        <w:t xml:space="preserve">Chronic disease are a massive </w:t>
      </w:r>
      <w:r w:rsidRPr="00AA0D15">
        <w:rPr>
          <w:rStyle w:val="Style13ptBold"/>
          <w:rFonts w:cs="Times New Roman"/>
          <w:b/>
          <w:u w:val="single"/>
        </w:rPr>
        <w:t xml:space="preserve">structural problem </w:t>
      </w:r>
      <w:r w:rsidRPr="00AA0D15">
        <w:rPr>
          <w:rStyle w:val="Style13ptBold"/>
          <w:rFonts w:cs="Times New Roman"/>
          <w:b/>
        </w:rPr>
        <w:t xml:space="preserve">and leading cause of death </w:t>
      </w:r>
    </w:p>
    <w:p w:rsidR="00C81BC7" w:rsidRPr="00AA0D15" w:rsidRDefault="00C81BC7" w:rsidP="00C81BC7">
      <w:r w:rsidRPr="00AA0D15">
        <w:rPr>
          <w:b/>
        </w:rPr>
        <w:t xml:space="preserve">CDC 2016 </w:t>
      </w:r>
      <w:r w:rsidRPr="00AA0D15">
        <w:t>--- Center for Disease Control. (“Chronic Disease Overview,” Feb 23, https://www.cdc.gov/chronicdisease/overview/index.htm)//ET</w:t>
      </w:r>
    </w:p>
    <w:p w:rsidR="00C81BC7" w:rsidRPr="00AA0D15" w:rsidRDefault="00C81BC7" w:rsidP="00C81BC7">
      <w:pPr>
        <w:rPr>
          <w:rStyle w:val="Emphasis"/>
          <w:b w:val="0"/>
          <w:sz w:val="16"/>
          <w:u w:val="none"/>
        </w:rPr>
      </w:pPr>
      <w:r w:rsidRPr="00AA0D15">
        <w:rPr>
          <w:rStyle w:val="StyleUnderline"/>
        </w:rPr>
        <w:t>Chronic Diseases: The Leading Causes of Death</w:t>
      </w:r>
      <w:r w:rsidRPr="00AA0D15">
        <w:rPr>
          <w:rStyle w:val="Emphasis"/>
          <w:b w:val="0"/>
          <w:sz w:val="16"/>
          <w:u w:val="none"/>
        </w:rPr>
        <w:t xml:space="preserve"> and Disability </w:t>
      </w:r>
      <w:r w:rsidRPr="00AA0D15">
        <w:rPr>
          <w:rStyle w:val="StyleUnderline"/>
        </w:rPr>
        <w:t>in the United States Chronic diseases and conditions</w:t>
      </w:r>
      <w:r w:rsidRPr="00AA0D15">
        <w:rPr>
          <w:rStyle w:val="Emphasis"/>
          <w:b w:val="0"/>
          <w:sz w:val="16"/>
          <w:u w:val="none"/>
        </w:rPr>
        <w:t>—such as heart disease, stroke, cancer, type 2 diabetes, obesity, and arthritis—</w:t>
      </w:r>
      <w:r w:rsidRPr="00AA0D15">
        <w:rPr>
          <w:rStyle w:val="StyleUnderline"/>
        </w:rPr>
        <w:t xml:space="preserve">are among the most common, costly, and preventable of all health problems. </w:t>
      </w:r>
      <w:r w:rsidRPr="00AA0D15">
        <w:rPr>
          <w:rStyle w:val="Emphasis"/>
          <w:b w:val="0"/>
          <w:sz w:val="16"/>
          <w:u w:val="none"/>
        </w:rPr>
        <w:t xml:space="preserve">As of 2012, </w:t>
      </w:r>
      <w:r w:rsidRPr="00AA0D15">
        <w:rPr>
          <w:rStyle w:val="StyleUnderline"/>
        </w:rPr>
        <w:t>about half of all adults</w:t>
      </w:r>
      <w:r w:rsidRPr="00AA0D15">
        <w:rPr>
          <w:rStyle w:val="Emphasis"/>
          <w:b w:val="0"/>
          <w:sz w:val="16"/>
          <w:u w:val="none"/>
        </w:rPr>
        <w:t>—117 million people</w:t>
      </w:r>
      <w:r w:rsidRPr="00AA0D15">
        <w:rPr>
          <w:rStyle w:val="StyleUnderline"/>
        </w:rPr>
        <w:t>—had one or more chronic health conditio</w:t>
      </w:r>
      <w:r w:rsidRPr="00AA0D15">
        <w:rPr>
          <w:rStyle w:val="Emphasis"/>
          <w:b w:val="0"/>
          <w:sz w:val="16"/>
          <w:u w:val="none"/>
        </w:rPr>
        <w:t xml:space="preserve">ns. One in four adults had two or more chronic health conditions.1 </w:t>
      </w:r>
      <w:r w:rsidRPr="00AA0D15">
        <w:rPr>
          <w:rStyle w:val="Emphasis"/>
        </w:rPr>
        <w:t xml:space="preserve">Seven of the top 10 causes of death in 2014 were chronic </w:t>
      </w:r>
      <w:r w:rsidRPr="00AA0D15">
        <w:rPr>
          <w:rStyle w:val="StyleUnderline"/>
        </w:rPr>
        <w:t xml:space="preserve">diseases. Two of these chronic diseases—heart disease and cancer—together accounted for nearly 46% of all deaths.2 </w:t>
      </w:r>
      <w:r w:rsidRPr="00AA0D15">
        <w:rPr>
          <w:rStyle w:val="Emphasis"/>
          <w:b w:val="0"/>
          <w:sz w:val="16"/>
          <w:u w:val="none"/>
        </w:rPr>
        <w:t>Obesity is a serious health concern. During 2011–2014, more than one-third of adults (36%), or about 84 million people, were obese (defined as body mass index [BMI] ≥30 kg/m2). About one in six youths (17%) aged 2 to 19 years was obese (BMI ≥95th percentile).3 Arthritis is the most common cause of disability.4 Of the 54 million adults with doctor-diagnosed arthritis, more than 23 million say they have trouble with their usual activities because of arthritis.5 Diabetes is the leading cause of kidney failure, lower-limb amputations other than those caused by injury, and new cases of blindness among adults.6</w:t>
      </w:r>
    </w:p>
    <w:p w:rsidR="00C81BC7" w:rsidRPr="00AA0D15" w:rsidRDefault="00C81BC7" w:rsidP="00C81BC7">
      <w:pPr>
        <w:pStyle w:val="Heading3"/>
        <w:rPr>
          <w:rFonts w:cs="Times New Roman"/>
        </w:rPr>
      </w:pPr>
      <w:r w:rsidRPr="00AA0D15">
        <w:rPr>
          <w:rFonts w:cs="Times New Roman"/>
        </w:rPr>
        <w:t>AT: K-12 Prereq to University Success</w:t>
      </w:r>
    </w:p>
    <w:p w:rsidR="00C81BC7" w:rsidRPr="00AA0D15" w:rsidRDefault="00C81BC7" w:rsidP="00C81BC7">
      <w:pPr>
        <w:pStyle w:val="Heading4"/>
        <w:rPr>
          <w:rFonts w:cs="Times New Roman"/>
        </w:rPr>
      </w:pPr>
      <w:r w:rsidRPr="00AA0D15">
        <w:rPr>
          <w:rFonts w:cs="Times New Roman"/>
        </w:rPr>
        <w:t xml:space="preserve">Even if they’re right, State spending doesn’t solve– it’s used inefficiently </w:t>
      </w:r>
    </w:p>
    <w:p w:rsidR="00C81BC7" w:rsidRPr="00AA0D15" w:rsidRDefault="00C81BC7" w:rsidP="00C81BC7">
      <w:r w:rsidRPr="00AA0D15">
        <w:rPr>
          <w:rStyle w:val="Style13ptBold"/>
        </w:rPr>
        <w:t xml:space="preserve">Ross 15 </w:t>
      </w:r>
      <w:r w:rsidRPr="00AA0D15">
        <w:t>(Terrance Ross, former editorial fellow with The Atlantic​. “Where School Dollars Go to Waste,” 1/30/15, https://www.theatlantic.com/education/archive/2015/01/where-school-dollars-go-to-waste/384949/) GG</w:t>
      </w:r>
    </w:p>
    <w:p w:rsidR="00C81BC7" w:rsidRPr="00AA0D15" w:rsidRDefault="00C81BC7" w:rsidP="00C81BC7">
      <w:pPr>
        <w:rPr>
          <w:rStyle w:val="Style13ptBold"/>
          <w:b w:val="0"/>
          <w:bCs w:val="0"/>
          <w:sz w:val="16"/>
        </w:rPr>
      </w:pPr>
      <w:r w:rsidRPr="00AA0D15">
        <w:rPr>
          <w:rStyle w:val="StyleUnderline"/>
        </w:rPr>
        <w:t>America spends tons of money on education even though the final product isn't</w:t>
      </w:r>
      <w:r w:rsidRPr="00AA0D15">
        <w:rPr>
          <w:rStyle w:val="Style13ptBold"/>
          <w:b w:val="0"/>
          <w:bCs w:val="0"/>
          <w:sz w:val="16"/>
        </w:rPr>
        <w:t xml:space="preserve"> very </w:t>
      </w:r>
      <w:r w:rsidRPr="00AA0D15">
        <w:rPr>
          <w:rStyle w:val="StyleUnderline"/>
        </w:rPr>
        <w:t>impressive</w:t>
      </w:r>
      <w:r w:rsidRPr="00AA0D15">
        <w:rPr>
          <w:rStyle w:val="Style13ptBold"/>
          <w:b w:val="0"/>
          <w:bCs w:val="0"/>
          <w:sz w:val="16"/>
        </w:rPr>
        <w:t xml:space="preserve">. If children are indeed the future, then they're certainly an expensive one: Of the $3.2 trillion in total expenditures for local and state governments in 2012, education accounted for nearly 28 percent, or $869.2 billion, according to the latest data from the Census Bureau. That figure topped government spending in any other sector, almost doubling the second-largest recipient of taxpayer dollars—public welfare. But while </w:t>
      </w:r>
      <w:r w:rsidRPr="00AA0D15">
        <w:rPr>
          <w:rStyle w:val="StyleUnderline"/>
        </w:rPr>
        <w:t>much attention centers on how much schools are spending, it's also worth examining how well it’s being spent</w:t>
      </w:r>
      <w:r w:rsidRPr="00AA0D15">
        <w:rPr>
          <w:rStyle w:val="Style13ptBold"/>
          <w:b w:val="0"/>
          <w:bCs w:val="0"/>
          <w:sz w:val="16"/>
        </w:rPr>
        <w:t xml:space="preserve">. And it's not a new question. A few years ago the New York Times, for example, hosted a debate in its opinion section about the worthiness of education spending. Meanwhile, </w:t>
      </w:r>
      <w:r w:rsidRPr="00AA0D15">
        <w:rPr>
          <w:rStyle w:val="StyleUnderline"/>
        </w:rPr>
        <w:t>audits regularly find wasted funds at the district level</w:t>
      </w:r>
      <w:r w:rsidRPr="00AA0D15">
        <w:rPr>
          <w:rStyle w:val="Style13ptBold"/>
          <w:b w:val="0"/>
          <w:bCs w:val="0"/>
          <w:sz w:val="16"/>
        </w:rPr>
        <w:t xml:space="preserve">, including </w:t>
      </w:r>
      <w:r w:rsidRPr="00AA0D15">
        <w:rPr>
          <w:rStyle w:val="StyleUnderline"/>
        </w:rPr>
        <w:t>one</w:t>
      </w:r>
      <w:r w:rsidRPr="00AA0D15">
        <w:rPr>
          <w:rStyle w:val="Style13ptBold"/>
          <w:b w:val="0"/>
          <w:bCs w:val="0"/>
          <w:sz w:val="16"/>
        </w:rPr>
        <w:t xml:space="preserve"> last summer that </w:t>
      </w:r>
      <w:r w:rsidRPr="00AA0D15">
        <w:rPr>
          <w:rStyle w:val="StyleUnderline"/>
        </w:rPr>
        <w:t>identified</w:t>
      </w:r>
      <w:r w:rsidRPr="00AA0D15">
        <w:rPr>
          <w:rStyle w:val="Style13ptBold"/>
          <w:b w:val="0"/>
          <w:bCs w:val="0"/>
          <w:sz w:val="16"/>
        </w:rPr>
        <w:t xml:space="preserve"> more than $</w:t>
      </w:r>
      <w:r w:rsidRPr="00AA0D15">
        <w:rPr>
          <w:rStyle w:val="StyleUnderline"/>
        </w:rPr>
        <w:t>2.7 million in misspent technology funding for schools in Fort Worth</w:t>
      </w:r>
      <w:r w:rsidRPr="00AA0D15">
        <w:rPr>
          <w:rStyle w:val="Style13ptBold"/>
          <w:b w:val="0"/>
          <w:bCs w:val="0"/>
          <w:sz w:val="16"/>
        </w:rPr>
        <w:t>, Texas. Another audit—this one for Jefferson County Public Schools in Louisville, Kentucky—resulted in over 200 recommendations for improvement</w:t>
      </w:r>
      <w:r w:rsidRPr="00AA0D15">
        <w:rPr>
          <w:rStyle w:val="StyleUnderline"/>
        </w:rPr>
        <w:t>.* The revelations were so damning that the state auditor</w:t>
      </w:r>
      <w:r w:rsidRPr="00AA0D15">
        <w:rPr>
          <w:rStyle w:val="Style13ptBold"/>
          <w:b w:val="0"/>
          <w:bCs w:val="0"/>
          <w:sz w:val="16"/>
        </w:rPr>
        <w:t xml:space="preserve">, Adam Edelen, </w:t>
      </w:r>
      <w:r w:rsidRPr="00AA0D15">
        <w:rPr>
          <w:rStyle w:val="StyleUnderline"/>
        </w:rPr>
        <w:t>was quoted blaming the problem on "an unchecked bureaucracy that has become bloated and inefficient at the expense of the classroom</w:t>
      </w:r>
      <w:r w:rsidRPr="00AA0D15">
        <w:rPr>
          <w:rStyle w:val="Style13ptBold"/>
          <w:b w:val="0"/>
          <w:bCs w:val="0"/>
          <w:sz w:val="16"/>
        </w:rPr>
        <w:t xml:space="preserve">." It's undeniable that the burden on taxpayers to foot the bill for education is a heavy one, especially when research shows that the quality of a school district directly correlates with the amount of tax dollars families put into their local economies. A piece last year in USA Today by Michelle Rhee, a Democrat who formerly served as the chancellor of Washington, D.C., public schools, and Susan Combs, Texas' Republican public comptroller, reveals just how concerned public officials on both sides are about the misappropriation of government funds. </w:t>
      </w:r>
      <w:r w:rsidRPr="00AA0D15">
        <w:rPr>
          <w:rStyle w:val="StyleUnderline"/>
        </w:rPr>
        <w:t>Of course, education spending isn’t inherently bad</w:t>
      </w:r>
      <w:r w:rsidRPr="00AA0D15">
        <w:rPr>
          <w:rStyle w:val="Style13ptBold"/>
          <w:b w:val="0"/>
          <w:bCs w:val="0"/>
          <w:sz w:val="16"/>
        </w:rPr>
        <w:t xml:space="preserve">—what matters is the result. </w:t>
      </w:r>
      <w:r w:rsidRPr="00AA0D15">
        <w:rPr>
          <w:rStyle w:val="StyleUnderline"/>
        </w:rPr>
        <w:t>Some school districts get lots in return</w:t>
      </w:r>
      <w:r w:rsidRPr="00AA0D15">
        <w:rPr>
          <w:rStyle w:val="Style13ptBold"/>
          <w:b w:val="0"/>
          <w:bCs w:val="0"/>
          <w:sz w:val="16"/>
        </w:rPr>
        <w:t xml:space="preserve"> for the amount of money they spend. </w:t>
      </w:r>
      <w:r w:rsidRPr="00AA0D15">
        <w:rPr>
          <w:rStyle w:val="StyleUnderline"/>
        </w:rPr>
        <w:t>And some governments have systems that track the return on investment</w:t>
      </w:r>
      <w:r w:rsidRPr="00AA0D15">
        <w:rPr>
          <w:rStyle w:val="Style13ptBold"/>
          <w:b w:val="0"/>
          <w:bCs w:val="0"/>
          <w:sz w:val="16"/>
        </w:rPr>
        <w:t xml:space="preserve">. Texas, for example, launched a tool five years ago that assesses how school districts and individual campuses spend their money and compares the data with student achievement. Now, the online financial resource WalletHub has crunched the numbers on school spending at 90 of the most-populated cities across the country, revealing which ones are getting the most—and least—bang for their buck. To arrive at the findings, WalletHub divided each city’s aggregate test scores in fourth- and eighth-grade reading and math by its total per-capita education spending. The researchers then adjusted those figures for various socioeconomic factors, such as the poverty rate and percentage of households that don't speak English as their first language. Regionally, </w:t>
      </w:r>
      <w:r w:rsidRPr="00AA0D15">
        <w:rPr>
          <w:rStyle w:val="StyleUnderline"/>
        </w:rPr>
        <w:t>trends suggest that the North East is home to some of the most wasteful school districts. Of the bottom 10 cities on the list, seven are located in that area:</w:t>
      </w:r>
      <w:r w:rsidRPr="00AA0D15">
        <w:rPr>
          <w:rStyle w:val="Style13ptBold"/>
          <w:bCs w:val="0"/>
          <w:sz w:val="22"/>
          <w:u w:val="single"/>
        </w:rPr>
        <w:t xml:space="preserve"> </w:t>
      </w:r>
      <w:r w:rsidRPr="00AA0D15">
        <w:rPr>
          <w:rStyle w:val="StyleUnderline"/>
        </w:rPr>
        <w:t>For some cities the data is all but indicting</w:t>
      </w:r>
      <w:r w:rsidRPr="00AA0D15">
        <w:rPr>
          <w:rStyle w:val="Style13ptBold"/>
          <w:b w:val="0"/>
          <w:bCs w:val="0"/>
          <w:sz w:val="16"/>
        </w:rPr>
        <w:t xml:space="preserve">: At the bottom of the list is Rochester, </w:t>
      </w:r>
      <w:r w:rsidRPr="00AA0D15">
        <w:rPr>
          <w:rStyle w:val="StyleUnderline"/>
        </w:rPr>
        <w:t>New York, a city that is No. 2 for K-12 spending but has the lowest test scores</w:t>
      </w:r>
      <w:r w:rsidRPr="00AA0D15">
        <w:rPr>
          <w:rStyle w:val="Style13ptBold"/>
          <w:b w:val="0"/>
          <w:bCs w:val="0"/>
          <w:sz w:val="16"/>
        </w:rPr>
        <w:t xml:space="preserve">. Jill Gonzalez, a spokeswoman for WalletHub, had this to say about the regional analysis: "As far as the Northeast goes these </w:t>
      </w:r>
      <w:r w:rsidRPr="00AA0D15">
        <w:rPr>
          <w:rStyle w:val="StyleUnderline"/>
        </w:rPr>
        <w:t>cities are spending upwards of $2,500 per capita and their test scores really aren’t showing</w:t>
      </w:r>
      <w:r w:rsidRPr="00AA0D15">
        <w:rPr>
          <w:rStyle w:val="Style13ptBold"/>
          <w:b w:val="0"/>
          <w:bCs w:val="0"/>
          <w:sz w:val="16"/>
        </w:rPr>
        <w:t xml:space="preserve"> that. </w:t>
      </w:r>
      <w:r w:rsidRPr="00AA0D15">
        <w:rPr>
          <w:rStyle w:val="StyleUnderline"/>
        </w:rPr>
        <w:t>They may have more money to spend on students but they are not using it efficiently</w:t>
      </w:r>
      <w:r w:rsidRPr="00AA0D15">
        <w:rPr>
          <w:rStyle w:val="Style13ptBold"/>
          <w:b w:val="0"/>
          <w:bCs w:val="0"/>
          <w:sz w:val="16"/>
        </w:rPr>
        <w:t xml:space="preserve"> </w:t>
      </w:r>
      <w:r w:rsidRPr="00AA0D15">
        <w:rPr>
          <w:rStyle w:val="StyleUnderline"/>
        </w:rPr>
        <w:t>California is also home to some of the most wasteful K-12 spenders</w:t>
      </w:r>
      <w:r w:rsidRPr="00AA0D15">
        <w:rPr>
          <w:rStyle w:val="Style13ptBold"/>
          <w:b w:val="0"/>
          <w:bCs w:val="0"/>
          <w:sz w:val="16"/>
        </w:rPr>
        <w:t>, according to WalletHub—</w:t>
      </w:r>
      <w:r w:rsidRPr="00AA0D15">
        <w:rPr>
          <w:rStyle w:val="StyleUnderline"/>
        </w:rPr>
        <w:t>11 of the state's 16 most-populated cities are in the bottom 25.</w:t>
      </w:r>
      <w:r w:rsidRPr="00AA0D15">
        <w:rPr>
          <w:rStyle w:val="Style13ptBold"/>
          <w:b w:val="0"/>
          <w:bCs w:val="0"/>
          <w:sz w:val="16"/>
        </w:rPr>
        <w:t xml:space="preserve"> It's noteworthy that two of those cities also top the list of the percentage of households where English isn't spoken as a first language. While that factor isn't necessarily a reason for their inefficient spending, research shows that </w:t>
      </w:r>
      <w:r w:rsidRPr="00AA0D15">
        <w:rPr>
          <w:rStyle w:val="StyleUnderline"/>
        </w:rPr>
        <w:t>the language barrier can have a disastrous effect on learning outcomes</w:t>
      </w:r>
      <w:r w:rsidRPr="00AA0D15">
        <w:rPr>
          <w:rStyle w:val="Style13ptBold"/>
          <w:b w:val="0"/>
          <w:bCs w:val="0"/>
          <w:sz w:val="16"/>
        </w:rPr>
        <w:t>. Gonzalez, however, pointed to other cities that strived despite their socioeconomic challenges. "Those able to integrate socioeconomically have a leg up," she said. "We see that in Raleigh [No. 22] and in Austin [No. 8] they were able to overcome any factors that in other cities might be holding them back." The federal government has demonstrated in recent history that it's not happy about the wasted K-12 dollars. Former President George W. Bush's notorious No Child Left Behind act amounted to an attempt to put a stopper on unproductive spending by failing school districts. Implemented in the early 2000s, the No Child Left Behind legislation meant that schools now had to meet certain performance criteria or risk being taken over or shut down, among other sanctions. The idea was that further accountability would lead to higher achievement; however, its impact was debatable at best. And it's hard to deduce possible solutions from the WalletHub data. The list hints at some correlations, but as Gonzalez noted it's largely up to the individual localities to reevaluate how they're using their money. "</w:t>
      </w:r>
      <w:r w:rsidRPr="00AA0D15">
        <w:rPr>
          <w:rStyle w:val="StyleUnderline"/>
        </w:rPr>
        <w:t>There is not a one-side-fits-all band-aid for any education system</w:t>
      </w:r>
      <w:r w:rsidRPr="00AA0D15">
        <w:rPr>
          <w:rStyle w:val="Style13ptBold"/>
          <w:b w:val="0"/>
          <w:bCs w:val="0"/>
          <w:sz w:val="16"/>
        </w:rPr>
        <w:t>," she said. "If you know your district and your city and put it where it should go that will help make the system as a whole much more efficient."</w:t>
      </w:r>
    </w:p>
    <w:p w:rsidR="00C81BC7" w:rsidRPr="00AA0D15" w:rsidRDefault="00C81BC7" w:rsidP="00C81BC7"/>
    <w:p w:rsidR="00C81BC7" w:rsidRDefault="00C81BC7">
      <w:pPr>
        <w:spacing w:after="160" w:line="259" w:lineRule="auto"/>
        <w:rPr>
          <w:rFonts w:asciiTheme="minorHAnsi" w:hAnsiTheme="minorHAnsi" w:cstheme="minorBidi"/>
          <w:sz w:val="22"/>
        </w:rPr>
      </w:pPr>
    </w:p>
    <w:sectPr w:rsidR="00C81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35406"/>
    <w:multiLevelType w:val="hybridMultilevel"/>
    <w:tmpl w:val="EDF207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784A8A"/>
    <w:multiLevelType w:val="hybridMultilevel"/>
    <w:tmpl w:val="8D6858EC"/>
    <w:lvl w:ilvl="0" w:tplc="6248D89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65428"/>
    <w:multiLevelType w:val="hybridMultilevel"/>
    <w:tmpl w:val="8D42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297BAC"/>
    <w:multiLevelType w:val="hybridMultilevel"/>
    <w:tmpl w:val="2264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795ACF"/>
    <w:multiLevelType w:val="multilevel"/>
    <w:tmpl w:val="F0A6C4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A4290"/>
    <w:multiLevelType w:val="hybridMultilevel"/>
    <w:tmpl w:val="0B7E1B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B9712A"/>
    <w:multiLevelType w:val="hybridMultilevel"/>
    <w:tmpl w:val="22EC038E"/>
    <w:lvl w:ilvl="0" w:tplc="34CE4CA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00387"/>
    <w:multiLevelType w:val="hybridMultilevel"/>
    <w:tmpl w:val="06624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835375"/>
    <w:multiLevelType w:val="hybridMultilevel"/>
    <w:tmpl w:val="2CF28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3E4102"/>
    <w:multiLevelType w:val="hybridMultilevel"/>
    <w:tmpl w:val="B5A4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171B6B"/>
    <w:multiLevelType w:val="hybridMultilevel"/>
    <w:tmpl w:val="155CA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CB231B"/>
    <w:multiLevelType w:val="multilevel"/>
    <w:tmpl w:val="E9E4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16793"/>
    <w:multiLevelType w:val="hybridMultilevel"/>
    <w:tmpl w:val="182A4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9"/>
  </w:num>
  <w:num w:numId="14">
    <w:abstractNumId w:val="11"/>
  </w:num>
  <w:num w:numId="15">
    <w:abstractNumId w:val="18"/>
  </w:num>
  <w:num w:numId="16">
    <w:abstractNumId w:val="22"/>
  </w:num>
  <w:num w:numId="17">
    <w:abstractNumId w:val="12"/>
  </w:num>
  <w:num w:numId="18">
    <w:abstractNumId w:val="10"/>
  </w:num>
  <w:num w:numId="19">
    <w:abstractNumId w:val="16"/>
  </w:num>
  <w:num w:numId="20">
    <w:abstractNumId w:val="21"/>
  </w:num>
  <w:num w:numId="21">
    <w:abstractNumId w:val="14"/>
  </w:num>
  <w:num w:numId="22">
    <w:abstractNumId w:val="17"/>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2897032"/>
    <w:docVar w:name="VerbatimVersion" w:val="5.1"/>
  </w:docVars>
  <w:rsids>
    <w:rsidRoot w:val="00C47278"/>
    <w:rsid w:val="0000439A"/>
    <w:rsid w:val="000139A3"/>
    <w:rsid w:val="00062CED"/>
    <w:rsid w:val="00083299"/>
    <w:rsid w:val="000C0E68"/>
    <w:rsid w:val="00100833"/>
    <w:rsid w:val="00104529"/>
    <w:rsid w:val="00105942"/>
    <w:rsid w:val="00107396"/>
    <w:rsid w:val="0012110D"/>
    <w:rsid w:val="00144A4C"/>
    <w:rsid w:val="00157B45"/>
    <w:rsid w:val="00176AB0"/>
    <w:rsid w:val="00177B7D"/>
    <w:rsid w:val="0018322D"/>
    <w:rsid w:val="001A3A1D"/>
    <w:rsid w:val="001B5776"/>
    <w:rsid w:val="001E1ACD"/>
    <w:rsid w:val="001E527A"/>
    <w:rsid w:val="001F78CE"/>
    <w:rsid w:val="002439A5"/>
    <w:rsid w:val="00251FC7"/>
    <w:rsid w:val="002855A7"/>
    <w:rsid w:val="002A57BE"/>
    <w:rsid w:val="002B146A"/>
    <w:rsid w:val="002B5E17"/>
    <w:rsid w:val="002B62E3"/>
    <w:rsid w:val="00315690"/>
    <w:rsid w:val="00316B75"/>
    <w:rsid w:val="00325646"/>
    <w:rsid w:val="00335BAA"/>
    <w:rsid w:val="00343C60"/>
    <w:rsid w:val="003460F2"/>
    <w:rsid w:val="00356811"/>
    <w:rsid w:val="0036615E"/>
    <w:rsid w:val="0038158C"/>
    <w:rsid w:val="003902BA"/>
    <w:rsid w:val="003A09E2"/>
    <w:rsid w:val="003B53E2"/>
    <w:rsid w:val="003E1AEC"/>
    <w:rsid w:val="00402EDC"/>
    <w:rsid w:val="00407037"/>
    <w:rsid w:val="004605D6"/>
    <w:rsid w:val="004A5299"/>
    <w:rsid w:val="004C60E8"/>
    <w:rsid w:val="004E3579"/>
    <w:rsid w:val="004E728B"/>
    <w:rsid w:val="004F0113"/>
    <w:rsid w:val="004F39E0"/>
    <w:rsid w:val="005205EB"/>
    <w:rsid w:val="00537BD5"/>
    <w:rsid w:val="0057268A"/>
    <w:rsid w:val="005D2912"/>
    <w:rsid w:val="006065BD"/>
    <w:rsid w:val="00645FA9"/>
    <w:rsid w:val="00646F0A"/>
    <w:rsid w:val="00647866"/>
    <w:rsid w:val="00665003"/>
    <w:rsid w:val="006A2AD0"/>
    <w:rsid w:val="006C2375"/>
    <w:rsid w:val="006D4ECC"/>
    <w:rsid w:val="00722258"/>
    <w:rsid w:val="007243E5"/>
    <w:rsid w:val="00745C6D"/>
    <w:rsid w:val="00766EA0"/>
    <w:rsid w:val="007A2226"/>
    <w:rsid w:val="007C2097"/>
    <w:rsid w:val="007F5B66"/>
    <w:rsid w:val="00823A1C"/>
    <w:rsid w:val="00845B9D"/>
    <w:rsid w:val="00860984"/>
    <w:rsid w:val="008B3ECB"/>
    <w:rsid w:val="008B4E85"/>
    <w:rsid w:val="008C1B2E"/>
    <w:rsid w:val="0091627E"/>
    <w:rsid w:val="00950F35"/>
    <w:rsid w:val="0097032B"/>
    <w:rsid w:val="009D2EAD"/>
    <w:rsid w:val="009D54B2"/>
    <w:rsid w:val="009E1922"/>
    <w:rsid w:val="009F7ED2"/>
    <w:rsid w:val="00A93661"/>
    <w:rsid w:val="00A95652"/>
    <w:rsid w:val="00AB33B0"/>
    <w:rsid w:val="00AC0AB8"/>
    <w:rsid w:val="00B004C2"/>
    <w:rsid w:val="00B04324"/>
    <w:rsid w:val="00B117AA"/>
    <w:rsid w:val="00B33C6D"/>
    <w:rsid w:val="00B4508F"/>
    <w:rsid w:val="00B55AD5"/>
    <w:rsid w:val="00B8057C"/>
    <w:rsid w:val="00B8198A"/>
    <w:rsid w:val="00B82638"/>
    <w:rsid w:val="00BB2D10"/>
    <w:rsid w:val="00BD6238"/>
    <w:rsid w:val="00BF593B"/>
    <w:rsid w:val="00BF773A"/>
    <w:rsid w:val="00BF7E81"/>
    <w:rsid w:val="00C13773"/>
    <w:rsid w:val="00C17CC8"/>
    <w:rsid w:val="00C47278"/>
    <w:rsid w:val="00C742E1"/>
    <w:rsid w:val="00C81035"/>
    <w:rsid w:val="00C81BC7"/>
    <w:rsid w:val="00C83417"/>
    <w:rsid w:val="00C9604F"/>
    <w:rsid w:val="00CA19AA"/>
    <w:rsid w:val="00CB4C8B"/>
    <w:rsid w:val="00CC5298"/>
    <w:rsid w:val="00CD736E"/>
    <w:rsid w:val="00CD798D"/>
    <w:rsid w:val="00CE161E"/>
    <w:rsid w:val="00CF59A8"/>
    <w:rsid w:val="00D04110"/>
    <w:rsid w:val="00D325A9"/>
    <w:rsid w:val="00D36A8A"/>
    <w:rsid w:val="00D42F5E"/>
    <w:rsid w:val="00D43212"/>
    <w:rsid w:val="00D61409"/>
    <w:rsid w:val="00D6691E"/>
    <w:rsid w:val="00D71170"/>
    <w:rsid w:val="00DA1C92"/>
    <w:rsid w:val="00DA25D4"/>
    <w:rsid w:val="00DA6538"/>
    <w:rsid w:val="00E15E75"/>
    <w:rsid w:val="00E5262C"/>
    <w:rsid w:val="00EB074B"/>
    <w:rsid w:val="00EB5E26"/>
    <w:rsid w:val="00EC7DC4"/>
    <w:rsid w:val="00ED30CF"/>
    <w:rsid w:val="00F176EF"/>
    <w:rsid w:val="00F45E10"/>
    <w:rsid w:val="00F6364A"/>
    <w:rsid w:val="00F6591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4118"/>
  <w15:chartTrackingRefBased/>
  <w15:docId w15:val="{0DA0D4F7-719B-4DDA-A362-CFBF57010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011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4F01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4F0113"/>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4F0113"/>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4F0113"/>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4F01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0113"/>
  </w:style>
  <w:style w:type="character" w:customStyle="1" w:styleId="Heading1Char">
    <w:name w:val="Heading 1 Char"/>
    <w:aliases w:val="Pocket Char"/>
    <w:basedOn w:val="DefaultParagraphFont"/>
    <w:link w:val="Heading1"/>
    <w:rsid w:val="004F0113"/>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4F0113"/>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4F0113"/>
    <w:rPr>
      <w:rFonts w:ascii="Times New Roman" w:eastAsiaTheme="majorEastAsia" w:hAnsi="Times New Roman" w:cstheme="majorBidi"/>
      <w:b/>
      <w:sz w:val="28"/>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F0113"/>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4F011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4F0113"/>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4F0113"/>
    <w:rPr>
      <w:b w:val="0"/>
      <w:sz w:val="22"/>
      <w:u w:val="single"/>
    </w:rPr>
  </w:style>
  <w:style w:type="character" w:styleId="Hyperlink">
    <w:name w:val="Hyperlink"/>
    <w:aliases w:val="Read,Important,heading 1 (block title),Card Text,Internet Link,Analytic Text"/>
    <w:basedOn w:val="DefaultParagraphFont"/>
    <w:uiPriority w:val="99"/>
    <w:unhideWhenUsed/>
    <w:rsid w:val="004F0113"/>
    <w:rPr>
      <w:color w:val="auto"/>
      <w:u w:val="none"/>
    </w:rPr>
  </w:style>
  <w:style w:type="character" w:styleId="FollowedHyperlink">
    <w:name w:val="FollowedHyperlink"/>
    <w:basedOn w:val="DefaultParagraphFont"/>
    <w:uiPriority w:val="99"/>
    <w:semiHidden/>
    <w:unhideWhenUsed/>
    <w:rsid w:val="004F0113"/>
    <w:rPr>
      <w:color w:val="auto"/>
      <w:u w:val="none"/>
    </w:rPr>
  </w:style>
  <w:style w:type="paragraph" w:customStyle="1" w:styleId="textbold">
    <w:name w:val="text bold"/>
    <w:basedOn w:val="Normal"/>
    <w:link w:val="Emphasis"/>
    <w:uiPriority w:val="7"/>
    <w:qFormat/>
    <w:rsid w:val="00C47278"/>
    <w:pPr>
      <w:widowControl w:val="0"/>
      <w:pBdr>
        <w:top w:val="single" w:sz="8" w:space="0" w:color="auto"/>
        <w:left w:val="single" w:sz="8" w:space="0" w:color="auto"/>
        <w:bottom w:val="single" w:sz="8" w:space="0" w:color="auto"/>
        <w:right w:val="single" w:sz="8" w:space="0" w:color="auto"/>
      </w:pBdr>
      <w:spacing w:after="160" w:line="252" w:lineRule="auto"/>
      <w:ind w:left="720"/>
      <w:jc w:val="both"/>
    </w:pPr>
    <w:rPr>
      <w:b/>
      <w:iCs/>
      <w:sz w:val="22"/>
      <w:u w:val="single"/>
      <w:bdr w:val="single" w:sz="8" w:space="0" w:color="auto"/>
    </w:rPr>
  </w:style>
  <w:style w:type="paragraph" w:styleId="ListParagraph">
    <w:name w:val="List Paragraph"/>
    <w:basedOn w:val="Normal"/>
    <w:uiPriority w:val="34"/>
    <w:unhideWhenUsed/>
    <w:qFormat/>
    <w:rsid w:val="00C47278"/>
    <w:pPr>
      <w:spacing w:after="160" w:line="259" w:lineRule="auto"/>
      <w:ind w:left="720"/>
      <w:contextualSpacing/>
    </w:pPr>
    <w:rPr>
      <w:rFonts w:ascii="Calibri" w:hAnsi="Calibri" w:cs="Calibri"/>
      <w:sz w:val="22"/>
    </w:rPr>
  </w:style>
  <w:style w:type="character" w:styleId="CommentReference">
    <w:name w:val="annotation reference"/>
    <w:basedOn w:val="DefaultParagraphFont"/>
    <w:uiPriority w:val="99"/>
    <w:semiHidden/>
    <w:unhideWhenUsed/>
    <w:rsid w:val="00C47278"/>
    <w:rPr>
      <w:sz w:val="16"/>
      <w:szCs w:val="16"/>
    </w:rPr>
  </w:style>
  <w:style w:type="paragraph" w:styleId="CommentText">
    <w:name w:val="annotation text"/>
    <w:basedOn w:val="Normal"/>
    <w:link w:val="CommentTextChar"/>
    <w:uiPriority w:val="99"/>
    <w:semiHidden/>
    <w:unhideWhenUsed/>
    <w:rsid w:val="00C47278"/>
    <w:pPr>
      <w:spacing w:after="160" w:line="259" w:lineRule="auto"/>
    </w:pPr>
    <w:rPr>
      <w:rFonts w:ascii="Georgia" w:hAnsi="Georgia" w:cs="Calibri"/>
      <w:sz w:val="20"/>
      <w:szCs w:val="20"/>
    </w:rPr>
  </w:style>
  <w:style w:type="character" w:customStyle="1" w:styleId="CommentTextChar">
    <w:name w:val="Comment Text Char"/>
    <w:basedOn w:val="DefaultParagraphFont"/>
    <w:link w:val="CommentText"/>
    <w:uiPriority w:val="99"/>
    <w:semiHidden/>
    <w:rsid w:val="00C47278"/>
    <w:rPr>
      <w:rFonts w:ascii="Georgia" w:hAnsi="Georgia" w:cs="Calibri"/>
      <w:sz w:val="20"/>
      <w:szCs w:val="20"/>
    </w:rPr>
  </w:style>
  <w:style w:type="paragraph" w:styleId="BalloonText">
    <w:name w:val="Balloon Text"/>
    <w:basedOn w:val="Normal"/>
    <w:link w:val="BalloonTextChar"/>
    <w:uiPriority w:val="99"/>
    <w:semiHidden/>
    <w:unhideWhenUsed/>
    <w:rsid w:val="00C47278"/>
    <w:pPr>
      <w:spacing w:after="160" w:line="259"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278"/>
    <w:rPr>
      <w:rFonts w:ascii="Segoe UI" w:hAnsi="Segoe UI" w:cs="Segoe UI"/>
      <w:sz w:val="18"/>
      <w:szCs w:val="18"/>
    </w:rPr>
  </w:style>
  <w:style w:type="character" w:customStyle="1" w:styleId="apple-converted-space">
    <w:name w:val="apple-converted-space"/>
    <w:basedOn w:val="DefaultParagraphFont"/>
    <w:rsid w:val="00C47278"/>
  </w:style>
  <w:style w:type="character" w:customStyle="1" w:styleId="Mention">
    <w:name w:val="Mention"/>
    <w:basedOn w:val="DefaultParagraphFont"/>
    <w:uiPriority w:val="99"/>
    <w:semiHidden/>
    <w:unhideWhenUsed/>
    <w:rsid w:val="00C47278"/>
    <w:rPr>
      <w:color w:val="2B579A"/>
      <w:shd w:val="clear" w:color="auto" w:fill="E6E6E6"/>
    </w:rPr>
  </w:style>
  <w:style w:type="paragraph" w:customStyle="1" w:styleId="big-cap-wrap">
    <w:name w:val="big-cap-wrap"/>
    <w:basedOn w:val="Normal"/>
    <w:rsid w:val="00C47278"/>
    <w:pPr>
      <w:spacing w:before="100" w:beforeAutospacing="1" w:after="100" w:afterAutospacing="1"/>
    </w:pPr>
    <w:rPr>
      <w:rFonts w:eastAsia="Times New Roman"/>
      <w:sz w:val="24"/>
      <w:szCs w:val="24"/>
    </w:rPr>
  </w:style>
  <w:style w:type="character" w:customStyle="1" w:styleId="big-cap">
    <w:name w:val="big-cap"/>
    <w:basedOn w:val="DefaultParagraphFont"/>
    <w:rsid w:val="00C47278"/>
  </w:style>
  <w:style w:type="paragraph" w:customStyle="1" w:styleId="danger-zone">
    <w:name w:val="danger-zone"/>
    <w:basedOn w:val="Normal"/>
    <w:rsid w:val="00C47278"/>
    <w:pPr>
      <w:spacing w:before="100" w:beforeAutospacing="1" w:after="100" w:afterAutospacing="1"/>
    </w:pPr>
    <w:rPr>
      <w:rFonts w:eastAsia="Times New Roman"/>
      <w:sz w:val="24"/>
      <w:szCs w:val="24"/>
    </w:rPr>
  </w:style>
  <w:style w:type="paragraph" w:styleId="NormalWeb">
    <w:name w:val="Normal (Web)"/>
    <w:basedOn w:val="Normal"/>
    <w:uiPriority w:val="99"/>
    <w:unhideWhenUsed/>
    <w:rsid w:val="00C47278"/>
    <w:pPr>
      <w:spacing w:before="100" w:beforeAutospacing="1" w:after="100" w:afterAutospacing="1"/>
    </w:pPr>
    <w:rPr>
      <w:rFonts w:eastAsia="Times New Roman"/>
      <w:sz w:val="24"/>
      <w:szCs w:val="24"/>
    </w:rPr>
  </w:style>
  <w:style w:type="paragraph" w:customStyle="1" w:styleId="xhead">
    <w:name w:val="xhead"/>
    <w:basedOn w:val="Normal"/>
    <w:rsid w:val="00C47278"/>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21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voidnetwork.gr/wp-content/uploads/2016/09/The-Blackwell-Companion-to-Social-Movements-Edited-by-David-A.-Snow-Sarah-A.-Soule-and-Hanspeter-Kriesi.pdf" TargetMode="External"/><Relationship Id="rId117" Type="http://schemas.openxmlformats.org/officeDocument/2006/relationships/hyperlink" Target="http://nypost.com/2014/11/23/city-schools-warned-of-plans-to-enroll-2350-migrant-children/" TargetMode="External"/><Relationship Id="rId21" Type="http://schemas.openxmlformats.org/officeDocument/2006/relationships/hyperlink" Target="https://www.cfr.org/excerpt-expanding-role-state-and-local-governments-us-foreign-affairs" TargetMode="External"/><Relationship Id="rId42" Type="http://schemas.openxmlformats.org/officeDocument/2006/relationships/hyperlink" Target="https://www2.ed.gov/about/offices/list/ocr/docs/2015-16-crdc-overview-changes-data-elements.pdf" TargetMode="External"/><Relationship Id="rId47" Type="http://schemas.openxmlformats.org/officeDocument/2006/relationships/hyperlink" Target="https://www.ed.gov/news/press-releases/new-data-show-chronic-absenteeism-widespread-and-prevalent-among-all-student-groups" TargetMode="External"/><Relationship Id="rId63" Type="http://schemas.openxmlformats.org/officeDocument/2006/relationships/hyperlink" Target="http://science.sciencemag.org/content/344/6179/41.full" TargetMode="External"/><Relationship Id="rId68" Type="http://schemas.openxmlformats.org/officeDocument/2006/relationships/hyperlink" Target="http://aac.asm.org/content/early/2016/05/25/AAC.01103-16.full.pdf+html" TargetMode="External"/><Relationship Id="rId84" Type="http://schemas.openxmlformats.org/officeDocument/2006/relationships/hyperlink" Target="https://www.theatlantic.com/education/archive/2017/03/how-betsy-devos-could-end-the-school-integration-comeback/520113/" TargetMode="External"/><Relationship Id="rId89" Type="http://schemas.openxmlformats.org/officeDocument/2006/relationships/hyperlink" Target="http://www.motherjones.com/politics/2017/04/jeff-sessions-couldnt-stop-consent-decree-baltimore" TargetMode="External"/><Relationship Id="rId112" Type="http://schemas.openxmlformats.org/officeDocument/2006/relationships/hyperlink" Target="http://www.heritage.org/education/report/reducing-federal-intervention-education-and-moving-toward-student-centered)//ET" TargetMode="External"/><Relationship Id="rId133" Type="http://schemas.openxmlformats.org/officeDocument/2006/relationships/hyperlink" Target="https://www.vox.com/cards/commoncore/how-are-national-standards-different-from-a-national-curriculum" TargetMode="External"/><Relationship Id="rId138" Type="http://schemas.openxmlformats.org/officeDocument/2006/relationships/hyperlink" Target="http://gpseducation.oecd.org/revieweducationpolicies/" TargetMode="External"/><Relationship Id="rId154" Type="http://schemas.openxmlformats.org/officeDocument/2006/relationships/hyperlink" Target="https://object.cato.org/sites/cato.org/files/serials/files/cato-handbook-policymakers/2003/9/hb108-29.pdf" TargetMode="External"/><Relationship Id="rId159" Type="http://schemas.openxmlformats.org/officeDocument/2006/relationships/hyperlink" Target="http://www.heritage.org/testimony/effects-the-federal-role-and-intervention-education" TargetMode="External"/><Relationship Id="rId16" Type="http://schemas.openxmlformats.org/officeDocument/2006/relationships/hyperlink" Target="http://www.psychologicalscience.org/journals/pspi/pdf/pspi2_1.pdf?origin=p" TargetMode="External"/><Relationship Id="rId107" Type="http://schemas.openxmlformats.org/officeDocument/2006/relationships/hyperlink" Target="http://gao.gov/products/GAO-12-108" TargetMode="External"/><Relationship Id="rId11" Type="http://schemas.openxmlformats.org/officeDocument/2006/relationships/hyperlink" Target="http://www.classsizematters.org/wp-content/uploads/2014/02/207632499-Pb-Class-Size.pdf" TargetMode="External"/><Relationship Id="rId32" Type="http://schemas.openxmlformats.org/officeDocument/2006/relationships/hyperlink" Target="http://www.americanthinker.com/articles/2012/10/why_doesnt_the_world_imitate_the_us.html" TargetMode="External"/><Relationship Id="rId37" Type="http://schemas.openxmlformats.org/officeDocument/2006/relationships/hyperlink" Target="http://www.uspto.gov/web/offices/ac/ido/oeip/taf/us_stat.htm" TargetMode="External"/><Relationship Id="rId53" Type="http://schemas.openxmlformats.org/officeDocument/2006/relationships/hyperlink" Target="http://www.kshb.com/news/local-news/changes-could-come-to-how-new-single-terminal-at-kci-is-paid-for" TargetMode="External"/><Relationship Id="rId58" Type="http://schemas.openxmlformats.org/officeDocument/2006/relationships/hyperlink" Target="http://www.hup.harvard.edu/catalog.php?isbn=9780674052420" TargetMode="External"/><Relationship Id="rId74" Type="http://schemas.openxmlformats.org/officeDocument/2006/relationships/hyperlink" Target="http://www.eurosurveillance.org/ViewArticle.aspx?ArticleId=3194" TargetMode="External"/><Relationship Id="rId79" Type="http://schemas.openxmlformats.org/officeDocument/2006/relationships/hyperlink" Target="http://www.sciencedirect.com/science/article/pii/S1201971216311833" TargetMode="External"/><Relationship Id="rId102" Type="http://schemas.openxmlformats.org/officeDocument/2006/relationships/hyperlink" Target="http://jhr.uwpress.org/content/52/1/48.abstract" TargetMode="External"/><Relationship Id="rId123" Type="http://schemas.openxmlformats.org/officeDocument/2006/relationships/hyperlink" Target="http://www.huffingtonpost.com/2015/01/26/states-lawsuit-immigration_n_6550840.html" TargetMode="External"/><Relationship Id="rId128" Type="http://schemas.openxmlformats.org/officeDocument/2006/relationships/hyperlink" Target="http://www.motherjones.com/politics/2017/01/transgender-rights-bathrooms-state-legislature-texas-arizona-wyoming-kansas/" TargetMode="External"/><Relationship Id="rId144" Type="http://schemas.openxmlformats.org/officeDocument/2006/relationships/hyperlink" Target="http://gpseducation.oecd.org/revieweducationpolicies/" TargetMode="External"/><Relationship Id="rId149" Type="http://schemas.openxmlformats.org/officeDocument/2006/relationships/hyperlink" Target="http://www.ncsl.org/research/education/state-role-in-education-finance.aspx" TargetMode="External"/><Relationship Id="rId5" Type="http://schemas.openxmlformats.org/officeDocument/2006/relationships/webSettings" Target="webSettings.xml"/><Relationship Id="rId90" Type="http://schemas.openxmlformats.org/officeDocument/2006/relationships/hyperlink" Target="https://www.justice.gov/jmd/file/822036/download" TargetMode="External"/><Relationship Id="rId95" Type="http://schemas.openxmlformats.org/officeDocument/2006/relationships/hyperlink" Target="https://www.ed.gov/news/press-releases/statement-us-secretary-education-betsy-devos-president-trumps-buy-american-and-hire-american-executive-order" TargetMode="External"/><Relationship Id="rId160" Type="http://schemas.openxmlformats.org/officeDocument/2006/relationships/fontTable" Target="fontTable.xml"/><Relationship Id="rId22" Type="http://schemas.openxmlformats.org/officeDocument/2006/relationships/hyperlink" Target="http://www.csg.org/knowledgecenter/docs/ncic/ResurgenceofMultistateRegionalism-KeonChi-Spectrum-July1990.pdf" TargetMode="External"/><Relationship Id="rId27" Type="http://schemas.openxmlformats.org/officeDocument/2006/relationships/hyperlink" Target="http://voidnetwork.gr/wp-content/uploads/2016/09/The-Blackwell-Companion-to-Social-Movements-Edited-by-David-A.-Snow-Sarah-A.-Soule-and-Hanspeter-Kriesi.pdf" TargetMode="External"/><Relationship Id="rId43" Type="http://schemas.openxmlformats.org/officeDocument/2006/relationships/hyperlink" Target="https://www2.ed.gov/about/offices/list/ocr/frontpage/faq/crdc.html" TargetMode="External"/><Relationship Id="rId48" Type="http://schemas.openxmlformats.org/officeDocument/2006/relationships/hyperlink" Target="http://osse.dc.gov/equity-reports" TargetMode="External"/><Relationship Id="rId64" Type="http://schemas.openxmlformats.org/officeDocument/2006/relationships/hyperlink" Target="http://www.astho.org/" TargetMode="External"/><Relationship Id="rId69" Type="http://schemas.openxmlformats.org/officeDocument/2006/relationships/hyperlink" Target="http://phenomena.nationalgeographic.com/2016/06/23/colistin-resistance-the-pig-is-out-of-the-barn/" TargetMode="External"/><Relationship Id="rId113" Type="http://schemas.openxmlformats.org/officeDocument/2006/relationships/hyperlink" Target="http://www.epi.org/publication/states-education-productivity-growth-foundations/" TargetMode="External"/><Relationship Id="rId118" Type="http://schemas.openxmlformats.org/officeDocument/2006/relationships/hyperlink" Target="http://www.fairus.org/DocServer/research-pub/AlienMinors_EducationCosts_Aug2014.pdf" TargetMode="External"/><Relationship Id="rId134" Type="http://schemas.openxmlformats.org/officeDocument/2006/relationships/hyperlink" Target="http://gpseducation.oecd.org/revieweducationpolicies/" TargetMode="External"/><Relationship Id="rId139" Type="http://schemas.openxmlformats.org/officeDocument/2006/relationships/hyperlink" Target="http://gpseducation.oecd.org/revieweducationpolicies/" TargetMode="External"/><Relationship Id="rId80" Type="http://schemas.openxmlformats.org/officeDocument/2006/relationships/hyperlink" Target="http://www.vocativ.com/394419/attack-of-the-superbugs/national_action_plan_for_combating_antibotic-resistant_bacteria." TargetMode="External"/><Relationship Id="rId85" Type="http://schemas.openxmlformats.org/officeDocument/2006/relationships/hyperlink" Target="https://tcf.org/content/facts/the-benefits-of-socioeconomically-and-racially-integrated-schools-and-classrooms/" TargetMode="External"/><Relationship Id="rId150" Type="http://schemas.openxmlformats.org/officeDocument/2006/relationships/hyperlink" Target="http://nces.ed.gov/programs/coe/indicator_cma.asp" TargetMode="External"/><Relationship Id="rId155" Type="http://schemas.openxmlformats.org/officeDocument/2006/relationships/hyperlink" Target="https://object.cato.org/sites/cato.org/files/serials/files/cato-handbook-policymakers/2003/9/hb108-29.pdf" TargetMode="External"/><Relationship Id="rId12" Type="http://schemas.openxmlformats.org/officeDocument/2006/relationships/hyperlink" Target="http://www.classsizematters.org/wp-content/uploads/2014/02/207632499-Pb-Class-Size.pdf" TargetMode="External"/><Relationship Id="rId17" Type="http://schemas.openxmlformats.org/officeDocument/2006/relationships/hyperlink" Target="http://www.cbc.ca/news/canada/newfoundland-labrador/inside-the-classroom-class-sizes-weak-punishment-1.3944584" TargetMode="External"/><Relationship Id="rId33" Type="http://schemas.openxmlformats.org/officeDocument/2006/relationships/hyperlink" Target="http://www.americanthinker.com/2012/10/i_dream_of_gini.html" TargetMode="External"/><Relationship Id="rId38" Type="http://schemas.openxmlformats.org/officeDocument/2006/relationships/hyperlink" Target="http://content.healthaffairs.org/content/25/2/452.full" TargetMode="External"/><Relationship Id="rId59" Type="http://schemas.openxmlformats.org/officeDocument/2006/relationships/hyperlink" Target="https://www.statnews.com/2017/03/16/trump-budget-science-research/" TargetMode="External"/><Relationship Id="rId103" Type="http://schemas.openxmlformats.org/officeDocument/2006/relationships/hyperlink" Target="https://www.theatlantic.com/business/archive/2014/10/why-germany-is-so-much-better-at-training-its-workers/381550/" TargetMode="External"/><Relationship Id="rId108" Type="http://schemas.openxmlformats.org/officeDocument/2006/relationships/hyperlink" Target="https://edworkforce.house.gov/News/DocumentSingle.aspx?DocumentID=276108" TargetMode="External"/><Relationship Id="rId124" Type="http://schemas.openxmlformats.org/officeDocument/2006/relationships/hyperlink" Target="http://febp.newamerica.net/background-analysis/school-finance" TargetMode="External"/><Relationship Id="rId129" Type="http://schemas.openxmlformats.org/officeDocument/2006/relationships/hyperlink" Target="https://www.vox.com/identities/2017/1/5/14173882/texas-transgender-bathroom-law-lgbtq" TargetMode="External"/><Relationship Id="rId20" Type="http://schemas.openxmlformats.org/officeDocument/2006/relationships/hyperlink" Target="http://www.ncsl.org/research/fiscal-policy/state-balanced-budget-requirements.aspx" TargetMode="External"/><Relationship Id="rId41" Type="http://schemas.openxmlformats.org/officeDocument/2006/relationships/hyperlink" Target="http://www.sammt.org/cms/lib03/MT15000278/Centricity/Domain/223/Tester%20Letter%20to%20Secretary%20Duncan%20Office%20of%20Civil%20Rights%20Data%20Collection%209-14-15.pdf" TargetMode="External"/><Relationship Id="rId54" Type="http://schemas.openxmlformats.org/officeDocument/2006/relationships/hyperlink" Target="http://kcmo.gov/shields/about/" TargetMode="External"/><Relationship Id="rId62" Type="http://schemas.openxmlformats.org/officeDocument/2006/relationships/hyperlink" Target="https://www.ncbi.nlm.nih.gov/pmc/articles/PMC4750411/" TargetMode="External"/><Relationship Id="rId70" Type="http://schemas.openxmlformats.org/officeDocument/2006/relationships/hyperlink" Target="http://www.thelancet.com/journals/laninf/article/PIIS1473-3099(16)30329-2/abstract" TargetMode="External"/><Relationship Id="rId75" Type="http://schemas.openxmlformats.org/officeDocument/2006/relationships/hyperlink" Target="http://www.who.int/tb/areas-of-work/drug-resistant-tb/xdr-tb-faq/en/" TargetMode="External"/><Relationship Id="rId83" Type="http://schemas.openxmlformats.org/officeDocument/2006/relationships/hyperlink" Target="https://democrats-edworkforce.house.gov/media/press-releases/scott-condemns-trump-administrations-decision-to-pull-funding-for-school-diversity" TargetMode="External"/><Relationship Id="rId88" Type="http://schemas.openxmlformats.org/officeDocument/2006/relationships/hyperlink" Target="https://www.theatlantic.com/politics/archive/2017/05/civil-rights-sessions/528126/" TargetMode="External"/><Relationship Id="rId91" Type="http://schemas.openxmlformats.org/officeDocument/2006/relationships/hyperlink" Target="https://www.ice.gov/worksite" TargetMode="External"/><Relationship Id="rId96" Type="http://schemas.openxmlformats.org/officeDocument/2006/relationships/hyperlink" Target="https://www.aft.org/column/promise-career-and-technical-education" TargetMode="External"/><Relationship Id="rId111" Type="http://schemas.openxmlformats.org/officeDocument/2006/relationships/hyperlink" Target="http://www.narf.org/wordpress/wp-content/uploads/2015/01/purple.pdf)//E" TargetMode="External"/><Relationship Id="rId132" Type="http://schemas.openxmlformats.org/officeDocument/2006/relationships/hyperlink" Target="https://www.law.cornell.edu/uscode/text/20/1232a" TargetMode="External"/><Relationship Id="rId140" Type="http://schemas.openxmlformats.org/officeDocument/2006/relationships/hyperlink" Target="http://gpseducation.oecd.org/revieweducationpolicies/" TargetMode="External"/><Relationship Id="rId145" Type="http://schemas.openxmlformats.org/officeDocument/2006/relationships/hyperlink" Target="http://horizon.unc.edu/projects/issues/papers/National_Standards.html" TargetMode="External"/><Relationship Id="rId153" Type="http://schemas.openxmlformats.org/officeDocument/2006/relationships/hyperlink" Target="http://www.luc.edu/media/lucedu/law/centers/childlaw/childed/pdfs/2014studentpapers/Davis.pdf"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ei.org/publication/federal-compliance-works-against-education-policy-goals/)//ET" TargetMode="External"/><Relationship Id="rId15" Type="http://schemas.openxmlformats.org/officeDocument/2006/relationships/hyperlink" Target="http://www.ppic.org/main/publication.asp?i=155" TargetMode="External"/><Relationship Id="rId23" Type="http://schemas.openxmlformats.org/officeDocument/2006/relationships/hyperlink" Target="http://www.aei.org/publication/global-perspective-features-american-education/" TargetMode="External"/><Relationship Id="rId28" Type="http://schemas.openxmlformats.org/officeDocument/2006/relationships/hyperlink" Target="http://www.socsci.uci.edu/~ea3/Democratic%20States%20and%20Social%20Movements%20Social%20Problems%201999.pdf" TargetMode="External"/><Relationship Id="rId36" Type="http://schemas.openxmlformats.org/officeDocument/2006/relationships/hyperlink" Target="http://www.mindfully.org/Sustainability/Americans-Consume-24percent.htm" TargetMode="External"/><Relationship Id="rId49" Type="http://schemas.openxmlformats.org/officeDocument/2006/relationships/hyperlink" Target="https://www.csba.org/GovernanceAndPolicyResources/~/media/CSBA/Files/GovernanceResources/GovernanceBriefs/201503_AB420DisciplineFactSheet.ashx" TargetMode="External"/><Relationship Id="rId57" Type="http://schemas.openxmlformats.org/officeDocument/2006/relationships/hyperlink" Target="https://www.statnews.com/2016/08/17/biotech-drug-development-failure/" TargetMode="External"/><Relationship Id="rId106" Type="http://schemas.openxmlformats.org/officeDocument/2006/relationships/hyperlink" Target="http://journals.sagepub.com/doi/abs/10.3102/0162373712453870" TargetMode="External"/><Relationship Id="rId114" Type="http://schemas.openxmlformats.org/officeDocument/2006/relationships/hyperlink" Target="http://www.aei.org/publication/illegal-immigration-k-12-education/" TargetMode="External"/><Relationship Id="rId119" Type="http://schemas.openxmlformats.org/officeDocument/2006/relationships/hyperlink" Target="http://nces.ed.gov/nationsreportcard/pdf/main2011/2013450.pdf" TargetMode="External"/><Relationship Id="rId127" Type="http://schemas.openxmlformats.org/officeDocument/2006/relationships/hyperlink" Target="http://www.mercurynews.com/2016/09/29/california-unisex-restroom-single-stall-law-jerry-brown/" TargetMode="External"/><Relationship Id="rId10" Type="http://schemas.openxmlformats.org/officeDocument/2006/relationships/hyperlink" Target="http://www.centerforpubliceducation.org/Main-Menu/Organizing-a-school/Class-size-and-student-achievement-At-a-glance/Class-size-and-student-achievement-Research-review.html" TargetMode="External"/><Relationship Id="rId31" Type="http://schemas.openxmlformats.org/officeDocument/2006/relationships/hyperlink" Target="https://pdfs.semanticscholar.org/2240/629c654338ec7e2a4b392b99131be7f64115.pdf" TargetMode="External"/><Relationship Id="rId44" Type="http://schemas.openxmlformats.org/officeDocument/2006/relationships/hyperlink" Target="https://www.gpo.gov/fdsys/pkg/FR-2016-12-30/html/2016-31727.htm" TargetMode="External"/><Relationship Id="rId52" Type="http://schemas.openxmlformats.org/officeDocument/2006/relationships/hyperlink" Target="http://www.kansascity.com/opinion/editorials/article158501409.html" TargetMode="External"/><Relationship Id="rId60" Type="http://schemas.openxmlformats.org/officeDocument/2006/relationships/hyperlink" Target="http://www.iea.nl/fileadmin/user_upload/Policy_Briefs/IEA_policy_brief_Mar2015.pdf" TargetMode="External"/><Relationship Id="rId65" Type="http://schemas.openxmlformats.org/officeDocument/2006/relationships/hyperlink" Target="https://www.cdc.gov/mmwr/volumes/66/wr/mm6601a7.htm?s_cid=mm6601a7_w" TargetMode="External"/><Relationship Id="rId73" Type="http://schemas.openxmlformats.org/officeDocument/2006/relationships/hyperlink" Target="http://www.cidrap.umn.edu/news-perspective/2016/09/cdc-reports-first-highly-resistant-gonorrhea-us" TargetMode="External"/><Relationship Id="rId78" Type="http://schemas.openxmlformats.org/officeDocument/2006/relationships/hyperlink" Target="http://www.wcax.com/story/7355419/superbug-strikes-more-vermont-inmates" TargetMode="External"/><Relationship Id="rId81" Type="http://schemas.openxmlformats.org/officeDocument/2006/relationships/hyperlink" Target="http://www.amazon.com/exec/obidos/ISBN=046509824X/theatlanticmonthA/re%20f=nosim" TargetMode="External"/><Relationship Id="rId86" Type="http://schemas.openxmlformats.org/officeDocument/2006/relationships/hyperlink" Target="http://www.cnn.com/2016/05/27/us/cleveland-mississippi-sidebar-segregation-academies/index.html" TargetMode="External"/><Relationship Id="rId94" Type="http://schemas.openxmlformats.org/officeDocument/2006/relationships/hyperlink" Target="https://cte.careertech.org/sites/default/files/State-CTE-Standards-ReportFINAL.pdf" TargetMode="External"/><Relationship Id="rId99" Type="http://schemas.openxmlformats.org/officeDocument/2006/relationships/hyperlink" Target="https://www.whitehouse.gov/the-press-office/2017/03/17/remarks-president-trump-roundtable-discussion-vocational-training-us-and" TargetMode="External"/><Relationship Id="rId101" Type="http://schemas.openxmlformats.org/officeDocument/2006/relationships/hyperlink" Target="http://hanushek.stanford.edu/sites/default/files/publications/Hanushek%2BSchwerdt%2BWoessmann%2BZhang%202017%20JHR%2052%281%29_0.pdf" TargetMode="External"/><Relationship Id="rId122" Type="http://schemas.openxmlformats.org/officeDocument/2006/relationships/hyperlink" Target="http://nces.ed.gov/nationsreportcard/subject/publications/stt2013/pdf/2014464ca4.pdf" TargetMode="External"/><Relationship Id="rId130" Type="http://schemas.openxmlformats.org/officeDocument/2006/relationships/hyperlink" Target="http://lawdigitalcommons.bc.edu/cgi/viewcontent.cgi?article=3483&amp;context=bclr" TargetMode="External"/><Relationship Id="rId135" Type="http://schemas.openxmlformats.org/officeDocument/2006/relationships/hyperlink" Target="http://gpseducation.oecd.org/revieweducationpolicies/" TargetMode="External"/><Relationship Id="rId143" Type="http://schemas.openxmlformats.org/officeDocument/2006/relationships/hyperlink" Target="http://gpseducation.oecd.org/revieweducationpolicies/" TargetMode="External"/><Relationship Id="rId148" Type="http://schemas.openxmlformats.org/officeDocument/2006/relationships/hyperlink" Target="http://caselaw.lp.findlaw.com/scripts/getcase.pl?court=US&amp;vol=411&amp;invol=1" TargetMode="External"/><Relationship Id="rId151" Type="http://schemas.openxmlformats.org/officeDocument/2006/relationships/hyperlink" Target="http://nces.ed.gov/programs/digest/d13/tables/dt13_235.10.asp" TargetMode="External"/><Relationship Id="rId156" Type="http://schemas.openxmlformats.org/officeDocument/2006/relationships/hyperlink" Target="https://pdfs.semanticscholar.org/009e/b5c5ec3e36ec99d6239db6e183f34aaf758a.pdf" TargetMode="External"/><Relationship Id="rId4" Type="http://schemas.openxmlformats.org/officeDocument/2006/relationships/settings" Target="settings.xml"/><Relationship Id="rId9" Type="http://schemas.openxmlformats.org/officeDocument/2006/relationships/hyperlink" Target="https://www.theatlantic.com/education/archive/2015/07/too-many-kids/397451/" TargetMode="External"/><Relationship Id="rId13" Type="http://schemas.openxmlformats.org/officeDocument/2006/relationships/hyperlink" Target="http://www.classsizematters.org/wp-content/uploads/2014/02/207632499-Pb-Class-Size.pdf" TargetMode="External"/><Relationship Id="rId18" Type="http://schemas.openxmlformats.org/officeDocument/2006/relationships/hyperlink" Target="http://www.fairfaxtimes.com/articles/opinions/fcps-to-propose-increases-in-class-sizes/article_28ebdfac-369a-11e7-9a2d-032461c1a1a5.html" TargetMode="External"/><Relationship Id="rId39" Type="http://schemas.openxmlformats.org/officeDocument/2006/relationships/hyperlink" Target="http://educationnext.org/letting-federal-data-drive-state-and-local-policy-under-secretary-devos/" TargetMode="External"/><Relationship Id="rId109" Type="http://schemas.openxmlformats.org/officeDocument/2006/relationships/hyperlink" Target="https://www.scientificamerican.com/article/trumps-first-100-days-science-education-and-schools/)//ET" TargetMode="External"/><Relationship Id="rId34" Type="http://schemas.openxmlformats.org/officeDocument/2006/relationships/hyperlink" Target="http://papers.ssrn.com/sol3/papers.cfm?abstract_id=2132939" TargetMode="External"/><Relationship Id="rId50" Type="http://schemas.openxmlformats.org/officeDocument/2006/relationships/hyperlink" Target="http://www.migrationpolicy.org/news/trump-and-devos-what-could-new-administration-spell-english-learner-and-immigrant-students" TargetMode="External"/><Relationship Id="rId55" Type="http://schemas.openxmlformats.org/officeDocument/2006/relationships/hyperlink" Target="http://www.kansascity.com/news/local/article142749144.html" TargetMode="External"/><Relationship Id="rId76" Type="http://schemas.openxmlformats.org/officeDocument/2006/relationships/hyperlink" Target="http://bsac.org.uk/wp-content/uploads/2015/05/SECURING-NEW-DRUGS-FOR-FUTURE-GENERATIONS-FINAL-WEB_0.pdf" TargetMode="External"/><Relationship Id="rId97" Type="http://schemas.openxmlformats.org/officeDocument/2006/relationships/hyperlink" Target="https://www.politiplatform.com/trump/education/1203" TargetMode="External"/><Relationship Id="rId104" Type="http://schemas.openxmlformats.org/officeDocument/2006/relationships/hyperlink" Target="https://nces.ed.gov/surveys/ctes/tables/h125.asp" TargetMode="External"/><Relationship Id="rId120" Type="http://schemas.openxmlformats.org/officeDocument/2006/relationships/hyperlink" Target="http://www.fairus.org/DocServer/research-pub/CaliforniaCostStudy_2014-v2.pdf" TargetMode="External"/><Relationship Id="rId125" Type="http://schemas.openxmlformats.org/officeDocument/2006/relationships/hyperlink" Target="http://www.ago.state.al.us/Page-Immigration-Act-No-2011-535-Text" TargetMode="External"/><Relationship Id="rId141" Type="http://schemas.openxmlformats.org/officeDocument/2006/relationships/hyperlink" Target="http://gpseducation.oecd.org/revieweducationpolicies/" TargetMode="External"/><Relationship Id="rId146" Type="http://schemas.openxmlformats.org/officeDocument/2006/relationships/hyperlink" Target="http://www.independent.org/publications/books/summary.asp?id=119" TargetMode="External"/><Relationship Id="rId7" Type="http://schemas.openxmlformats.org/officeDocument/2006/relationships/hyperlink" Target="http://www2.heritage.org/research/testimony/2011/03/effects-of-the-federal-role-and-intervention-in-education" TargetMode="External"/><Relationship Id="rId71" Type="http://schemas.openxmlformats.org/officeDocument/2006/relationships/hyperlink" Target="https://www.ncbi.nlm.nih.gov/pubmed/26436831" TargetMode="External"/><Relationship Id="rId92" Type="http://schemas.openxmlformats.org/officeDocument/2006/relationships/hyperlink" Target="http://www.aypf.org/wp-content/uploads/2014/07/Supporting-High-Quality-CTE.pdf" TargetMode="External"/><Relationship Id="rId2" Type="http://schemas.openxmlformats.org/officeDocument/2006/relationships/numbering" Target="numbering.xml"/><Relationship Id="rId29" Type="http://schemas.openxmlformats.org/officeDocument/2006/relationships/hyperlink" Target="http://www.socsci.uci.edu/~ea3/Democratic%20States%20and%20Social%20Movements%20Social%20Problems%201999.pdf" TargetMode="External"/><Relationship Id="rId24" Type="http://schemas.openxmlformats.org/officeDocument/2006/relationships/hyperlink" Target="http://educationnext.org/the-international-experience/" TargetMode="External"/><Relationship Id="rId40" Type="http://schemas.openxmlformats.org/officeDocument/2006/relationships/hyperlink" Target="https://www.aasa.org/uploadedFiles/Policy_and_Advocacy/files/AASA%20CRDC%20Comments%2008.20.13.pdf" TargetMode="External"/><Relationship Id="rId45" Type="http://schemas.openxmlformats.org/officeDocument/2006/relationships/hyperlink" Target="https://dpi.wi.gov/wise/federal-reporting/crdc" TargetMode="External"/><Relationship Id="rId66" Type="http://schemas.openxmlformats.org/officeDocument/2006/relationships/hyperlink" Target="https://www.cdc.gov/drugresistance/threat-report-2013/pdf/ar-threats-2013-508.pdf" TargetMode="External"/><Relationship Id="rId87" Type="http://schemas.openxmlformats.org/officeDocument/2006/relationships/hyperlink" Target="http://www.jstor.org.proxy.lib.umich.edu/stable/pdf/1072627.pdf?refreqid=excelsior%3A602a0b8761ec704d2c9252be098ba13e" TargetMode="External"/><Relationship Id="rId110" Type="http://schemas.openxmlformats.org/officeDocument/2006/relationships/hyperlink" Target="http://www.narf.org/wordpress/wp-content/uploads/2015/01/purple.pdf)//E" TargetMode="External"/><Relationship Id="rId115" Type="http://schemas.openxmlformats.org/officeDocument/2006/relationships/hyperlink" Target="http://news.yahoo.com/federal-judge-stalls-obamas-executive-action-immigration-052549363.html" TargetMode="External"/><Relationship Id="rId131" Type="http://schemas.openxmlformats.org/officeDocument/2006/relationships/hyperlink" Target="http://lawdigitalcommons.bc.edu/cgi/viewcontent.cgi?article=3483&amp;context=bclr" TargetMode="External"/><Relationship Id="rId136" Type="http://schemas.openxmlformats.org/officeDocument/2006/relationships/hyperlink" Target="http://gpseducation.oecd.org/revieweducationpolicies/" TargetMode="External"/><Relationship Id="rId157" Type="http://schemas.openxmlformats.org/officeDocument/2006/relationships/hyperlink" Target="http://scholarship.law.wm.edu/cgi/viewcontent.cgi?article=1282&amp;context=wmlr)//jkuffour" TargetMode="External"/><Relationship Id="rId61" Type="http://schemas.openxmlformats.org/officeDocument/2006/relationships/hyperlink" Target="http://www.npr.org/2017/03/16/520379061/read-president-trumps-budget-blueprint" TargetMode="External"/><Relationship Id="rId82" Type="http://schemas.openxmlformats.org/officeDocument/2006/relationships/hyperlink" Target="https://www.washingtonpost.com/news/education/wp/2017/03/29/trumps-education-department-nixes-obama-era-grant-program-for-school-diversity/?utm_term=.7e45d37bfc5b" TargetMode="External"/><Relationship Id="rId152" Type="http://schemas.openxmlformats.org/officeDocument/2006/relationships/hyperlink" Target="https://goo.gl/kTEjKe" TargetMode="External"/><Relationship Id="rId19" Type="http://schemas.openxmlformats.org/officeDocument/2006/relationships/hyperlink" Target="https://atlassociety.org/commentary/commentary-blog/4244-america-s-deficit-culture" TargetMode="External"/><Relationship Id="rId14" Type="http://schemas.openxmlformats.org/officeDocument/2006/relationships/hyperlink" Target="http://dataspace.princeton.edu/jspui/bitstream/88435/dsp01w66343627/1/451.pdf" TargetMode="External"/><Relationship Id="rId30" Type="http://schemas.openxmlformats.org/officeDocument/2006/relationships/hyperlink" Target="https://pdfs.semanticscholar.org/2240/629c654338ec7e2a4b392b99131be7f64115.pdf" TargetMode="External"/><Relationship Id="rId35" Type="http://schemas.openxmlformats.org/officeDocument/2006/relationships/hyperlink" Target="https://www.cia.gov/library/publications/the-world-factbook/rankorder/2034rank.html?countryName=United%20States&amp;countryCode=us&amp;regionCode=noa&amp;rank=23" TargetMode="External"/><Relationship Id="rId56" Type="http://schemas.openxmlformats.org/officeDocument/2006/relationships/hyperlink" Target="https://www.statnews.com/2017/03/21/science-research-fail/)//jkuffour" TargetMode="External"/><Relationship Id="rId77" Type="http://schemas.openxmlformats.org/officeDocument/2006/relationships/hyperlink" Target="https://www.ncbi.nlm.nih.gov/pubmed/25541089" TargetMode="External"/><Relationship Id="rId100" Type="http://schemas.openxmlformats.org/officeDocument/2006/relationships/hyperlink" Target="https://www.theatlantic.com/education/archive/2017/05/trumps-education-budget-takes-aim-at-the-working-class/527718/" TargetMode="External"/><Relationship Id="rId105" Type="http://schemas.openxmlformats.org/officeDocument/2006/relationships/hyperlink" Target="https://edexcellence.net/publications/career-and-technical-education-in-high-school-does-it-improve-student-outcomes" TargetMode="External"/><Relationship Id="rId126" Type="http://schemas.openxmlformats.org/officeDocument/2006/relationships/hyperlink" Target="http://digitalcommons.law.yale.edu/cgi/viewcontent.cgi?article=1085&amp;context=ylpr" TargetMode="External"/><Relationship Id="rId147" Type="http://schemas.openxmlformats.org/officeDocument/2006/relationships/hyperlink" Target="http://www.ncsl.org/research/education/state-role-in-education-finance.aspx" TargetMode="External"/><Relationship Id="rId8" Type="http://schemas.openxmlformats.org/officeDocument/2006/relationships/hyperlink" Target="http://www2.heritage.org/research/testimony/2011/03/effects-of-the-federal-role-and-intervention-in-education" TargetMode="External"/><Relationship Id="rId51" Type="http://schemas.openxmlformats.org/officeDocument/2006/relationships/hyperlink" Target="http://www.cbpp.org/research/policy-basics-state-and-local-borrowing" TargetMode="External"/><Relationship Id="rId72" Type="http://schemas.openxmlformats.org/officeDocument/2006/relationships/hyperlink" Target="http://jcm.asm.org/content/49/11/4022.full" TargetMode="External"/><Relationship Id="rId93" Type="http://schemas.openxmlformats.org/officeDocument/2006/relationships/hyperlink" Target="https://cte.careertech.org/sites/default/files/files/resources/2016_State_Policy_Year_in_Review.pdf" TargetMode="External"/><Relationship Id="rId98" Type="http://schemas.openxmlformats.org/officeDocument/2006/relationships/hyperlink" Target="https://www.mprnews.org/story/2017/04/17/franken-pushes-grants-to-forge-school-career-links" TargetMode="External"/><Relationship Id="rId121" Type="http://schemas.openxmlformats.org/officeDocument/2006/relationships/hyperlink" Target="http://nces.ed.gov/nationsreportcard/subject/publications/stt2013/pdf/2014464ca8.pdf" TargetMode="External"/><Relationship Id="rId142" Type="http://schemas.openxmlformats.org/officeDocument/2006/relationships/hyperlink" Target="http://gpseducation.oecd.org/revieweducationpolicies/" TargetMode="External"/><Relationship Id="rId3" Type="http://schemas.openxmlformats.org/officeDocument/2006/relationships/styles" Target="styles.xml"/><Relationship Id="rId25" Type="http://schemas.openxmlformats.org/officeDocument/2006/relationships/hyperlink" Target="http://www.stuff.co.nz/world/americas/donald-trumps-america/93160452/allies-distance-themselves-from-us-after-trumps-first-foreign-trip" TargetMode="External"/><Relationship Id="rId46" Type="http://schemas.openxmlformats.org/officeDocument/2006/relationships/hyperlink" Target="http://marylandpublicschools.org/stateboard/Documents/06282016/TabJ-LeadHigherUpdate.pdf" TargetMode="External"/><Relationship Id="rId67" Type="http://schemas.openxmlformats.org/officeDocument/2006/relationships/hyperlink" Target="http://www.vocativ.com/394419/attack-of-the-superbugs/,%20as%20with%20the%20Nevada%20case" TargetMode="External"/><Relationship Id="rId116" Type="http://schemas.openxmlformats.org/officeDocument/2006/relationships/hyperlink" Target="http://www.pewhispanic.org/2014/11/18/unauthorized-immigrant-totals-rise-in-7-states-fall-in-14/" TargetMode="External"/><Relationship Id="rId137" Type="http://schemas.openxmlformats.org/officeDocument/2006/relationships/hyperlink" Target="http://gpseducation.oecd.org/revieweducationpolicies/" TargetMode="External"/><Relationship Id="rId158" Type="http://schemas.openxmlformats.org/officeDocument/2006/relationships/hyperlink" Target="http://scholarship.law.wm.edu/cgi/viewcontent.cgi?article=1282&amp;context=wmlr)//jkuffou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D5EDD-29A7-4A43-8D53-E08FF864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202</TotalTime>
  <Pages>1</Pages>
  <Words>151212</Words>
  <Characters>861910</Characters>
  <Application>Microsoft Office Word</Application>
  <DocSecurity>0</DocSecurity>
  <Lines>7182</Lines>
  <Paragraphs>2022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34</cp:revision>
  <dcterms:created xsi:type="dcterms:W3CDTF">2017-07-01T16:09:00Z</dcterms:created>
  <dcterms:modified xsi:type="dcterms:W3CDTF">2017-07-01T20:21:00Z</dcterms:modified>
</cp:coreProperties>
</file>