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3D0058" w:rsidP="003D0058">
      <w:pPr>
        <w:pStyle w:val="Heading1"/>
      </w:pPr>
      <w:r>
        <w:t>Title I Neg – Grant</w:t>
      </w:r>
    </w:p>
    <w:p w:rsidR="00B56D41" w:rsidRDefault="00B56D41" w:rsidP="00B56D41">
      <w:pPr>
        <w:pStyle w:val="Heading3"/>
      </w:pPr>
      <w:r>
        <w:lastRenderedPageBreak/>
        <w:t>Notes</w:t>
      </w:r>
    </w:p>
    <w:p w:rsidR="00B56D41" w:rsidRDefault="00B56D41" w:rsidP="00B56D41">
      <w:r>
        <w:t>Cut ESA’s CP</w:t>
      </w:r>
      <w:r w:rsidR="000C482B">
        <w:t xml:space="preserve"> ones I have </w:t>
      </w:r>
    </w:p>
    <w:p w:rsidR="00B56D41" w:rsidRDefault="00B56D41" w:rsidP="00B56D41"/>
    <w:p w:rsidR="000C482B" w:rsidRDefault="00B56D41" w:rsidP="00B56D41">
      <w:r>
        <w:t>Formluas hurt poor kids in specific regiosn</w:t>
      </w:r>
    </w:p>
    <w:p w:rsidR="000C482B" w:rsidRDefault="000C482B" w:rsidP="00B56D41"/>
    <w:p w:rsidR="00B56D41" w:rsidRDefault="00B56D41" w:rsidP="00B56D41">
      <w:r>
        <w:t>New $ inequality cards</w:t>
      </w:r>
    </w:p>
    <w:p w:rsidR="000C482B" w:rsidRPr="00B56D41" w:rsidRDefault="000C482B" w:rsidP="000C482B">
      <w:pPr>
        <w:pStyle w:val="ListParagraph"/>
        <w:numPr>
          <w:ilvl w:val="0"/>
          <w:numId w:val="12"/>
        </w:numPr>
      </w:pPr>
      <w:r>
        <w:t>Adv CPs to inequality, warming, etc.</w:t>
      </w:r>
    </w:p>
    <w:p w:rsidR="003D0058" w:rsidRDefault="003D0058" w:rsidP="003D0058">
      <w:pPr>
        <w:pStyle w:val="Heading2"/>
      </w:pPr>
      <w:r>
        <w:lastRenderedPageBreak/>
        <w:t>Solvency</w:t>
      </w:r>
    </w:p>
    <w:p w:rsidR="003D0058" w:rsidRDefault="003D0058" w:rsidP="003D0058">
      <w:pPr>
        <w:pStyle w:val="Heading3"/>
      </w:pPr>
      <w:r>
        <w:lastRenderedPageBreak/>
        <w:t>Laundry List</w:t>
      </w:r>
    </w:p>
    <w:p w:rsidR="003D0058" w:rsidRDefault="003D0058" w:rsidP="003D0058">
      <w:pPr>
        <w:pStyle w:val="Heading4"/>
      </w:pPr>
      <w:r>
        <w:t>Laundry list of reasons and empirics show Title I fails and causes damage</w:t>
      </w:r>
    </w:p>
    <w:p w:rsidR="003D0058" w:rsidRPr="009546A9" w:rsidRDefault="003D0058" w:rsidP="003D0058">
      <w:pPr>
        <w:rPr>
          <w:rStyle w:val="Style13ptBold"/>
        </w:rPr>
      </w:pPr>
      <w:r>
        <w:rPr>
          <w:rStyle w:val="Style13ptBold"/>
        </w:rPr>
        <w:t xml:space="preserve">Ravitch and Loveless 2k </w:t>
      </w:r>
      <w:r w:rsidRPr="009546A9">
        <w:t>(Diane Ravitch and Tom Loveless, Nonresident Senior Fellow - Governance Studies, Brown Center on Education Policy, Brookings, “Broken Promises: What the Federal Government Can Do To Improve American Education” 3/1/2000 () https://www.brookings.edu/articles/broken-promises-what-the-federal-government-can-do-to-improve-american-education/) GG</w:t>
      </w:r>
    </w:p>
    <w:p w:rsidR="003D0058" w:rsidRPr="009546A9" w:rsidRDefault="003D0058" w:rsidP="003D0058">
      <w:pPr>
        <w:rPr>
          <w:b/>
          <w:u w:val="single"/>
        </w:rPr>
      </w:pPr>
      <w:r w:rsidRPr="003E1827">
        <w:rPr>
          <w:rStyle w:val="StyleUnderline"/>
        </w:rPr>
        <w:t>Title I</w:t>
      </w:r>
      <w:r>
        <w:t xml:space="preserve">, the biggest federal education program for grades K-12, </w:t>
      </w:r>
      <w:r w:rsidRPr="003E1827">
        <w:rPr>
          <w:rStyle w:val="StyleUnderline"/>
        </w:rPr>
        <w:t>costs about $8.4 billion a year</w:t>
      </w:r>
      <w:r>
        <w:t xml:space="preserve">. Passed in 1965, it provides extra funds to help educate poor children. The money goes first to state education departments, which distribute it to school districts, which give it to schools with the highest concentration of poor students. Since 1965, more than $100 billion has been spent on Title I. </w:t>
      </w:r>
      <w:r w:rsidRPr="003D0058">
        <w:rPr>
          <w:rStyle w:val="Emphasis"/>
        </w:rPr>
        <w:t xml:space="preserve">Although poor children have made </w:t>
      </w:r>
      <w:r w:rsidRPr="003D0058">
        <w:rPr>
          <w:rStyle w:val="StyleUnderline"/>
        </w:rPr>
        <w:t>some</w:t>
      </w:r>
      <w:r w:rsidRPr="003D0058">
        <w:rPr>
          <w:rStyle w:val="Emphasis"/>
        </w:rPr>
        <w:t xml:space="preserve"> progress</w:t>
      </w:r>
      <w:r w:rsidRPr="003E1827">
        <w:rPr>
          <w:rStyle w:val="StyleUnderline"/>
        </w:rPr>
        <w:t xml:space="preserve"> in the interval, </w:t>
      </w:r>
      <w:r w:rsidRPr="003D0058">
        <w:rPr>
          <w:rStyle w:val="Emphasis"/>
        </w:rPr>
        <w:t>it is difficult to attribute their progress to Title I funding</w:t>
      </w:r>
      <w:r>
        <w:t xml:space="preserve">. For one thing, </w:t>
      </w:r>
      <w:r w:rsidRPr="003E1827">
        <w:rPr>
          <w:rStyle w:val="StyleUnderline"/>
        </w:rPr>
        <w:t>Title I is a funding stream, not a program with a specific educational strategy. Districts and schools use the funding in a variety of ways, and it is commingled with state and local programs and funds.</w:t>
      </w:r>
    </w:p>
    <w:p w:rsidR="003D0058" w:rsidRPr="009546A9" w:rsidRDefault="003D0058" w:rsidP="003D0058">
      <w:pPr>
        <w:rPr>
          <w:rStyle w:val="StyleUnderline"/>
          <w:b/>
          <w:sz w:val="16"/>
          <w:u w:val="none"/>
        </w:rPr>
      </w:pPr>
      <w:r>
        <w:t xml:space="preserve">Unfortunately, </w:t>
      </w:r>
      <w:r w:rsidRPr="003E1827">
        <w:rPr>
          <w:rStyle w:val="StyleUnderline"/>
        </w:rPr>
        <w:t>little has been learned since 1965 about the conditions under which poor children make the most progress. Research has been inconsistent, sporadic, and unable to identify the most effective classroom strategies.</w:t>
      </w:r>
      <w:r>
        <w:t xml:space="preserve"> Studies have not used rigorous scientific methods, such as the random assignment of students to treatment and control groups. Notwithstanding the limits of this research,</w:t>
      </w:r>
      <w:r w:rsidRPr="003E1827">
        <w:t xml:space="preserve"> </w:t>
      </w:r>
      <w:r>
        <w:t xml:space="preserve">two findings about the Title I program stand out. </w:t>
      </w:r>
      <w:r w:rsidRPr="003E1827">
        <w:rPr>
          <w:rStyle w:val="StyleUnderline"/>
        </w:rPr>
        <w:t xml:space="preserve">On achievement tests, </w:t>
      </w:r>
      <w:r w:rsidRPr="003D0058">
        <w:rPr>
          <w:rStyle w:val="Emphasis"/>
        </w:rPr>
        <w:t>poor children who do not receive Title I services score about the same as those who do</w:t>
      </w:r>
      <w:r>
        <w:t xml:space="preserve">. </w:t>
      </w:r>
      <w:r w:rsidRPr="003E1827">
        <w:rPr>
          <w:rStyle w:val="StyleUnderline"/>
        </w:rPr>
        <w:t>Also troubling, a large share of Title I funding is spent before it reaches the classroom</w:t>
      </w:r>
      <w:r>
        <w:t xml:space="preserve">. Michael </w:t>
      </w:r>
      <w:r w:rsidRPr="003E1827">
        <w:rPr>
          <w:rStyle w:val="StyleUnderline"/>
        </w:rPr>
        <w:t>Kirst of Stanford</w:t>
      </w:r>
      <w:r>
        <w:t xml:space="preserve"> University </w:t>
      </w:r>
      <w:r w:rsidRPr="003E1827">
        <w:rPr>
          <w:rStyle w:val="StyleUnderline"/>
        </w:rPr>
        <w:t>found</w:t>
      </w:r>
      <w:r>
        <w:t xml:space="preserve"> that </w:t>
      </w:r>
      <w:r w:rsidRPr="003E1827">
        <w:rPr>
          <w:rStyle w:val="StyleUnderline"/>
        </w:rPr>
        <w:t>federal funds financed 70 percent of the state education agency in Texas in 1972</w:t>
      </w:r>
      <w:r>
        <w:t xml:space="preserve">. Other </w:t>
      </w:r>
      <w:r w:rsidRPr="003E1827">
        <w:rPr>
          <w:rStyle w:val="StyleUnderline"/>
        </w:rPr>
        <w:t>studies suggest</w:t>
      </w:r>
      <w:r>
        <w:t xml:space="preserve"> that </w:t>
      </w:r>
      <w:r w:rsidRPr="003D0058">
        <w:rPr>
          <w:rStyle w:val="Emphasis"/>
        </w:rPr>
        <w:t>Title I</w:t>
      </w:r>
      <w:r w:rsidRPr="003E1827">
        <w:rPr>
          <w:rStyle w:val="StyleUnderline"/>
        </w:rPr>
        <w:t>—whatever its effects on poor children—</w:t>
      </w:r>
      <w:r w:rsidRPr="003D0058">
        <w:rPr>
          <w:rStyle w:val="Emphasis"/>
        </w:rPr>
        <w:t>has continued to fund the expansion of state bureaucracies</w:t>
      </w:r>
      <w:r>
        <w:t xml:space="preserve">. Paul T. Hill discovered that </w:t>
      </w:r>
      <w:r w:rsidRPr="003E1827">
        <w:rPr>
          <w:rStyle w:val="StyleUnderline"/>
        </w:rPr>
        <w:t>federal programs supplied 41 percent of operating revenues for state agencies in 1993, contributing to what he called the “colonization” of state departments of education</w:t>
      </w:r>
      <w:r>
        <w:t>. Speaking of state departments of education, Hill concluded, “</w:t>
      </w:r>
      <w:r w:rsidRPr="003E1827">
        <w:rPr>
          <w:rStyle w:val="StyleUnderline"/>
        </w:rPr>
        <w:t>Many have no real agenda beyond keeping federal funds flowing</w:t>
      </w:r>
      <w:r>
        <w:t>.”</w:t>
      </w:r>
    </w:p>
    <w:p w:rsidR="003D0058" w:rsidRDefault="003D0058" w:rsidP="003D0058">
      <w:r w:rsidRPr="003E1827">
        <w:rPr>
          <w:rStyle w:val="StyleUnderline"/>
        </w:rPr>
        <w:t>The formula that dictates where Title I funds go has presented several problems</w:t>
      </w:r>
      <w:r>
        <w:t xml:space="preserve">. In the 1990s, </w:t>
      </w:r>
      <w:r w:rsidRPr="003E1827">
        <w:rPr>
          <w:rStyle w:val="StyleUnderline"/>
        </w:rPr>
        <w:t>Congress recognized that Title I monies were going to most districts in the country,</w:t>
      </w:r>
      <w:r>
        <w:t xml:space="preserve"> </w:t>
      </w:r>
      <w:r w:rsidRPr="003E1827">
        <w:rPr>
          <w:rStyle w:val="StyleUnderline"/>
        </w:rPr>
        <w:t xml:space="preserve">including many well-off districts, instead of </w:t>
      </w:r>
      <w:r>
        <w:t xml:space="preserve">being targeted to </w:t>
      </w:r>
      <w:r w:rsidRPr="003E1827">
        <w:rPr>
          <w:rStyle w:val="StyleUnderline"/>
        </w:rPr>
        <w:t>the</w:t>
      </w:r>
      <w:r>
        <w:t xml:space="preserve"> </w:t>
      </w:r>
      <w:r w:rsidRPr="003E1827">
        <w:rPr>
          <w:rStyle w:val="StyleUnderline"/>
        </w:rPr>
        <w:t>poorest</w:t>
      </w:r>
      <w:r>
        <w:t xml:space="preserve"> </w:t>
      </w:r>
      <w:r w:rsidRPr="003E1827">
        <w:rPr>
          <w:rStyle w:val="StyleUnderline"/>
        </w:rPr>
        <w:t>schools</w:t>
      </w:r>
      <w:r>
        <w:t xml:space="preserve">. But </w:t>
      </w:r>
      <w:r w:rsidRPr="003E1827">
        <w:rPr>
          <w:rStyle w:val="StyleUnderline"/>
        </w:rPr>
        <w:t xml:space="preserve">efforts to concentrate </w:t>
      </w:r>
      <w:r w:rsidRPr="003D0058">
        <w:rPr>
          <w:rStyle w:val="Emphasis"/>
        </w:rPr>
        <w:t>Title I funding have produced</w:t>
      </w:r>
      <w:r>
        <w:t xml:space="preserve"> some </w:t>
      </w:r>
      <w:r w:rsidRPr="003D0058">
        <w:rPr>
          <w:rStyle w:val="Emphasis"/>
        </w:rPr>
        <w:t>perverse effects</w:t>
      </w:r>
      <w:r>
        <w:t xml:space="preserve">. </w:t>
      </w:r>
      <w:r w:rsidRPr="003E1827">
        <w:rPr>
          <w:rStyle w:val="StyleUnderline"/>
        </w:rPr>
        <w:t>In</w:t>
      </w:r>
      <w:r>
        <w:t xml:space="preserve"> many </w:t>
      </w:r>
      <w:r w:rsidRPr="003E1827">
        <w:rPr>
          <w:rStyle w:val="StyleUnderline"/>
        </w:rPr>
        <w:t>urban districts, a public school must be at least 60 percent poor</w:t>
      </w:r>
      <w:r>
        <w:t xml:space="preserve"> to qualify for federal Title I aid. </w:t>
      </w:r>
      <w:r w:rsidRPr="003E1827">
        <w:rPr>
          <w:rStyle w:val="StyleUnderline"/>
        </w:rPr>
        <w:t>Thus, if a poor student’s family moves to a slightly better neighborhood</w:t>
      </w:r>
      <w:r>
        <w:t xml:space="preserve"> and the student enrolls in the local public school where “only” half the children are poor, </w:t>
      </w:r>
      <w:r w:rsidRPr="003E1827">
        <w:rPr>
          <w:rStyle w:val="StyleUnderline"/>
        </w:rPr>
        <w:t xml:space="preserve">the school will not be a Title I school and will receive no federal aid </w:t>
      </w:r>
      <w:r>
        <w:t>at all. Unlike the federal funding of higher education, where federal dollars follow the student, Title I dollars reward concentrated economic segregation.</w:t>
      </w:r>
    </w:p>
    <w:p w:rsidR="003D0058" w:rsidRPr="003D0058" w:rsidRDefault="003D0058" w:rsidP="003D0058"/>
    <w:p w:rsidR="003D0058" w:rsidRDefault="003D0058" w:rsidP="003D0058">
      <w:pPr>
        <w:pStyle w:val="Heading3"/>
      </w:pPr>
      <w:r>
        <w:lastRenderedPageBreak/>
        <w:t>Interstate Disparities</w:t>
      </w:r>
    </w:p>
    <w:p w:rsidR="003D0058" w:rsidRPr="00084FED" w:rsidRDefault="003D0058" w:rsidP="003D0058">
      <w:pPr>
        <w:pStyle w:val="Heading4"/>
      </w:pPr>
      <w:r>
        <w:t xml:space="preserve">Title I funding can’t overcome interstate disparities which prevents equality, and even then intrastate funds aren’t enough </w:t>
      </w:r>
    </w:p>
    <w:p w:rsidR="003D0058" w:rsidRDefault="003D0058" w:rsidP="003D0058">
      <w:r>
        <w:rPr>
          <w:rStyle w:val="Style13ptBold"/>
        </w:rPr>
        <w:t xml:space="preserve">Hinson 15 </w:t>
      </w:r>
      <w:r>
        <w:t>(Elizabeth K. Hinson, Mainstreaming Equality in Federal Budgeting: Addressing Educational Inequities With Regard to the States, 20 Mich. J. Race &amp; L. 377 [2015]) GG</w:t>
      </w:r>
    </w:p>
    <w:p w:rsidR="003D0058" w:rsidRDefault="003D0058" w:rsidP="003D0058">
      <w:pPr>
        <w:rPr>
          <w:rStyle w:val="StyleUnderline"/>
        </w:rPr>
      </w:pPr>
      <w:r w:rsidRPr="00084FED">
        <w:rPr>
          <w:rStyle w:val="StyleUnderline"/>
        </w:rPr>
        <w:t xml:space="preserve">In evaluating the effectiveness of the Title I funding scheme, it is important to focus not just on the shortcomings of horizontal equity in </w:t>
      </w:r>
      <w:r w:rsidRPr="00084FED">
        <w:rPr>
          <w:rStyle w:val="Emphasis"/>
        </w:rPr>
        <w:t>intrastate</w:t>
      </w:r>
      <w:r w:rsidRPr="00084FED">
        <w:rPr>
          <w:rStyle w:val="StyleUnderline"/>
        </w:rPr>
        <w:t xml:space="preserve"> disparities but also on </w:t>
      </w:r>
      <w:r w:rsidRPr="00084FED">
        <w:rPr>
          <w:rStyle w:val="Emphasis"/>
        </w:rPr>
        <w:t>interstate</w:t>
      </w:r>
      <w:r w:rsidRPr="00084FED">
        <w:rPr>
          <w:rStyle w:val="StyleUnderline"/>
        </w:rPr>
        <w:t xml:space="preserve"> disparities</w:t>
      </w:r>
      <w:r>
        <w:t xml:space="preserve">.40 Interstate disparities can vary greatly. A 1991 Congressional report on fiscal inequities in the education of students, stated that </w:t>
      </w:r>
      <w:r w:rsidRPr="00084FED">
        <w:rPr>
          <w:rStyle w:val="StyleUnderline"/>
        </w:rPr>
        <w:t>the lowest spending district in Mississippi spent $1,324 per pupil in 1986-87, while</w:t>
      </w:r>
      <w:r>
        <w:t xml:space="preserve"> in the same year two of </w:t>
      </w:r>
      <w:r w:rsidRPr="00084FED">
        <w:rPr>
          <w:rStyle w:val="StyleUnderline"/>
        </w:rPr>
        <w:t>the highest spending districts</w:t>
      </w:r>
      <w:r>
        <w:t xml:space="preserve"> in New York </w:t>
      </w:r>
      <w:r w:rsidRPr="00084FED">
        <w:rPr>
          <w:rStyle w:val="StyleUnderline"/>
        </w:rPr>
        <w:t>spent $11,754 and $10,544 per pupil</w:t>
      </w:r>
      <w:r>
        <w:t xml:space="preserve">.41 “In the 1994-95 school year, for example, average per-pupil spending varied from a low of $3,431 in Utah to a high of $9,136 in New Jersey.”42 “In a classroom of 25 students, </w:t>
      </w:r>
      <w:r w:rsidRPr="00084FED">
        <w:rPr>
          <w:rStyle w:val="StyleUnderline"/>
        </w:rPr>
        <w:t>this $5,700 disparity amounts to $142,500 per class.”</w:t>
      </w:r>
      <w:r>
        <w:t xml:space="preserve">43 Twenty years later similar disparities exist. In 2011, Utah spent only $6,905 per student, the lowest amount in the nation, while New York spent $16,835 per student and Wyoming spent $19,534 per student, the highest amount in the nation.44 In a classroom of 25 students, this $12,629 disparity amounts to $315,725 per class. The national average for per-pupil expenditures was $11,864.45. </w:t>
      </w:r>
      <w:r w:rsidRPr="00084FED">
        <w:rPr>
          <w:rStyle w:val="StyleUnderline"/>
        </w:rPr>
        <w:t>Traditionally</w:t>
      </w:r>
      <w:r>
        <w:t xml:space="preserve">, </w:t>
      </w:r>
      <w:r w:rsidRPr="00084FED">
        <w:rPr>
          <w:rStyle w:val="StyleUnderline"/>
        </w:rPr>
        <w:t>school finance reform has been a state-by-state effort, with no prospect for increased federal involvement in encouraging or requiring interstate equality</w:t>
      </w:r>
      <w:r>
        <w:t xml:space="preserve">. States have at times been encouraged by the federal government to equalize their own school funding schemes46 but </w:t>
      </w:r>
      <w:r w:rsidRPr="00084FED">
        <w:rPr>
          <w:rStyle w:val="StyleUnderline"/>
        </w:rPr>
        <w:t xml:space="preserve">the incentive provision in the </w:t>
      </w:r>
      <w:r>
        <w:t>Improving America’s Schools Act of 1994 (</w:t>
      </w:r>
      <w:r w:rsidRPr="00084FED">
        <w:rPr>
          <w:rStyle w:val="StyleUnderline"/>
        </w:rPr>
        <w:t>IASA</w:t>
      </w:r>
      <w:r>
        <w:t xml:space="preserve">) </w:t>
      </w:r>
      <w:r w:rsidRPr="00084FED">
        <w:rPr>
          <w:rStyle w:val="StyleUnderline"/>
        </w:rPr>
        <w:t>was not funded, and Title I has not been fully funded since the passage of the N</w:t>
      </w:r>
      <w:r>
        <w:t xml:space="preserve">o </w:t>
      </w:r>
      <w:r w:rsidRPr="00084FED">
        <w:rPr>
          <w:rStyle w:val="StyleUnderline"/>
        </w:rPr>
        <w:t>C</w:t>
      </w:r>
      <w:r>
        <w:t xml:space="preserve">hild </w:t>
      </w:r>
      <w:r w:rsidRPr="00084FED">
        <w:rPr>
          <w:rStyle w:val="StyleUnderline"/>
        </w:rPr>
        <w:t>L</w:t>
      </w:r>
      <w:r>
        <w:t xml:space="preserve">eft </w:t>
      </w:r>
      <w:r w:rsidRPr="00084FED">
        <w:rPr>
          <w:rStyle w:val="StyleUnderline"/>
        </w:rPr>
        <w:t>B</w:t>
      </w:r>
      <w:r>
        <w:t xml:space="preserve">ehind Act of 2001.47 Ultimately, </w:t>
      </w:r>
      <w:r w:rsidRPr="00084FED">
        <w:rPr>
          <w:rStyle w:val="StyleUnderline"/>
        </w:rPr>
        <w:t>the federal government has played no large role in addressing interstate funding disparities</w:t>
      </w:r>
      <w:r>
        <w:t xml:space="preserve">. </w:t>
      </w:r>
      <w:r w:rsidRPr="00084FED">
        <w:rPr>
          <w:rStyle w:val="StyleUnderline"/>
        </w:rPr>
        <w:t>In</w:t>
      </w:r>
      <w:r w:rsidRPr="00084FED">
        <w:t xml:space="preserve"> the case of </w:t>
      </w:r>
      <w:r w:rsidRPr="00084FED">
        <w:rPr>
          <w:rStyle w:val="StyleUnderline"/>
        </w:rPr>
        <w:t>pre-dominantly minority schools, some spend above per pupil state average expenditures, yet in many cases, the additional spending results from Milliken II remedies</w:t>
      </w:r>
      <w:r w:rsidRPr="00084FED">
        <w:t xml:space="preserve">.48. </w:t>
      </w:r>
      <w:r w:rsidRPr="00084FED">
        <w:rPr>
          <w:rStyle w:val="StyleUnderline"/>
        </w:rPr>
        <w:t>For those states that have made internal efforts</w:t>
      </w:r>
      <w:r w:rsidRPr="00084FED">
        <w:t xml:space="preserve"> to reform school finance, </w:t>
      </w:r>
      <w:r w:rsidRPr="00084FED">
        <w:rPr>
          <w:rStyle w:val="StyleUnderline"/>
        </w:rPr>
        <w:t xml:space="preserve">there has been much to surmount based on the unique histories and political climates of individual states. </w:t>
      </w:r>
      <w:r>
        <w:t xml:space="preserve">For instance, the State of Alabama has faced obstacles ranging from a constitutional amendment which abolished the state’s guarantee of public education following the Brown decision to the more recent ruling by the state supreme court in 2002 that the duty to fund Alabama’s schools rests solely on the state legislature and “no order of a state court, which requires the disbursement of state funds, shall be binding on the state or any state official until the order has been approved by a simple majority of both houses of the Legislature.”49 </w:t>
      </w:r>
      <w:r w:rsidRPr="00084FED">
        <w:rPr>
          <w:rStyle w:val="StyleUnderline"/>
        </w:rPr>
        <w:t>This stance reflects the long-time tradition of allowing legislatures to dominate much of the share of state power in Southern states as well as Alabama’s reluctance to allow any state court to rule that the state school-funding scheme is unconstitutional, despite embarrassing disparities</w:t>
      </w:r>
      <w:r>
        <w:t xml:space="preserve">.50 More than half of the state’s students qualify for free or reduced-price lunches.51 Alabama’s state and local revenues for education are low not only because of the state’s relatively low wealth, but also because it taxes itself at a lower rate than all but half a dozen other states.52 The state has also been criticized in a report by the Public Affairs Research Council of Alabama for the inefficient expenditure of money it does raise because of the state’s top-down earmarking.53 Alabama channels almost all its revenue from its major taxes—income and sales—into public education, but the legislature has nevertheless allocated millions of those dollars for purposes that are not completely educational in nature.54 When funds fall short for allocation to local school systems, books and classroom supplies for students and maintenance costs are hit the worst since state law in Alabama prohibits reduction in public school employee salaries when </w:t>
      </w:r>
      <w:r>
        <w:lastRenderedPageBreak/>
        <w:t>there is any cut in state funding.</w:t>
      </w:r>
      <w:r w:rsidRPr="00084FED">
        <w:rPr>
          <w:rStyle w:val="StyleUnderline"/>
        </w:rPr>
        <w:t>55 Alabama is by no means the only state with intrastate funding disparities and complex obstacles based on local politics, legislative appropriations, and history. Challenges made by local business leaders, advocacy organizations, and school districts themselves due to intrastate funding disparities have been launched in the states of Kansas, Kentucky, Ohio, Maryland, Massachusetts, New Jersey, New York, North Carolina, Texas, and others, with varying outcomes.56</w:t>
      </w:r>
    </w:p>
    <w:p w:rsidR="003D0058" w:rsidRDefault="003D0058" w:rsidP="003D0058">
      <w:pPr>
        <w:rPr>
          <w:rStyle w:val="StyleUnderline"/>
        </w:rPr>
      </w:pPr>
    </w:p>
    <w:p w:rsidR="003D0058" w:rsidRDefault="003D0058" w:rsidP="003D0058">
      <w:pPr>
        <w:pStyle w:val="Heading4"/>
      </w:pPr>
      <w:r>
        <w:t>Here’s some specific data per region</w:t>
      </w:r>
    </w:p>
    <w:p w:rsidR="003D0058" w:rsidRPr="00084FED" w:rsidRDefault="003D0058" w:rsidP="003D0058">
      <w:r>
        <w:rPr>
          <w:rStyle w:val="Style13ptBold"/>
        </w:rPr>
        <w:t xml:space="preserve">Hinson 15 </w:t>
      </w:r>
      <w:r>
        <w:t>(Elizabeth K. Hinson, Mainstreaming Equality in Federal Budgeting: Addressing Educational Inequities With Regard to the States, 20 Mich. J. Race &amp; L. 377 [2015]) GG</w:t>
      </w:r>
    </w:p>
    <w:p w:rsidR="003D0058" w:rsidRPr="003D0058" w:rsidRDefault="003D0058" w:rsidP="003D0058">
      <w:r w:rsidRPr="00084FED">
        <w:rPr>
          <w:rStyle w:val="StyleUnderline"/>
        </w:rPr>
        <w:t xml:space="preserve">School funding litigation, </w:t>
      </w:r>
      <w:r w:rsidRPr="00084FED">
        <w:t xml:space="preserve">state supreme court decisions </w:t>
      </w:r>
      <w:r w:rsidRPr="00084FED">
        <w:rPr>
          <w:rStyle w:val="StyleUnderline"/>
        </w:rPr>
        <w:t xml:space="preserve">and the subsequent reform efforts by state legislatures indicate the ongoing struggle to ensure fiscal equity between the poorest and wealthiest districts within individual states. Title I funding formulas also target funds based on the con-centration of children living in poverty within specific districts </w:t>
      </w:r>
      <w:r w:rsidRPr="00084FED">
        <w:t>of</w:t>
      </w:r>
      <w:r>
        <w:t xml:space="preserve"> individual states.94 </w:t>
      </w:r>
      <w:r w:rsidRPr="00084FED">
        <w:rPr>
          <w:rStyle w:val="StyleUnderline"/>
        </w:rPr>
        <w:t>However</w:t>
      </w:r>
      <w:r>
        <w:t xml:space="preserve">, </w:t>
      </w:r>
      <w:r w:rsidRPr="00084FED">
        <w:rPr>
          <w:rStyle w:val="StyleUnderline"/>
        </w:rPr>
        <w:t>wide-ranging disparities occur not only between the typical urban and rural districts and wealthier suburban districts95 within states but also in patterns between geographical regions of the United States</w:t>
      </w:r>
      <w:r>
        <w:t xml:space="preserve">. Some </w:t>
      </w:r>
      <w:r w:rsidRPr="00084FED">
        <w:rPr>
          <w:rStyle w:val="StyleUnderline"/>
        </w:rPr>
        <w:t>regions</w:t>
      </w:r>
      <w:r>
        <w:t xml:space="preserve"> and states </w:t>
      </w:r>
      <w:r w:rsidRPr="00084FED">
        <w:rPr>
          <w:rStyle w:val="StyleUnderline"/>
        </w:rPr>
        <w:t xml:space="preserve">have harnessed local control and used that </w:t>
      </w:r>
      <w:r>
        <w:t xml:space="preserve">local </w:t>
      </w:r>
      <w:r w:rsidRPr="00084FED">
        <w:rPr>
          <w:rStyle w:val="StyleUnderline"/>
        </w:rPr>
        <w:t>power to deny adequate educations</w:t>
      </w:r>
      <w:r>
        <w:t xml:space="preserve"> for all children.96 </w:t>
      </w:r>
      <w:r w:rsidRPr="00084FED">
        <w:rPr>
          <w:rStyle w:val="StyleUnderline"/>
        </w:rPr>
        <w:t>These local sentiments and political plays are evidenced in the range of funds appropriated for school districts across the country.</w:t>
      </w:r>
      <w:r>
        <w:t xml:space="preserve"> This Article will examine more closely those interstate disparities and also focus specifically on indicators of chronic challenges. Data used in this analysis is from the 2010 school year. </w:t>
      </w:r>
      <w:r w:rsidRPr="00DE40CF">
        <w:rPr>
          <w:rStyle w:val="StyleUnderline"/>
        </w:rPr>
        <w:t xml:space="preserve">Within the Northeastern region of the United States, several states have managed to maintain spending at or above the national average </w:t>
      </w:r>
      <w:r w:rsidRPr="00084FED">
        <w:t>for per pupil expenditures. Connecticut, Maine, Massachusetts, New Hampshire, New York, Rhode Island, and Vermont ensured this funding for 100 percent of their students.97 For all seven states designated in this region— Connecticut, Maine, Massachusetts, New Hampshire, New York, Rhode Island, and Vermont—the average expense per pupil was about $15,216 dollars.</w:t>
      </w:r>
      <w:r>
        <w:t xml:space="preserve">98 The national average of per pupil spending in 2010 was $11,824.99 </w:t>
      </w:r>
      <w:r w:rsidRPr="00DE40CF">
        <w:rPr>
          <w:rStyle w:val="StyleUnderline"/>
        </w:rPr>
        <w:t>In the Mid-Atlantic, the six states of Delaware, Maryland, New Jersey, Pennsylvania, Virginia, West Virginia, and the District of Columbia spent on average about $13,481 dollars per student, still above the national average</w:t>
      </w:r>
      <w:r>
        <w:t xml:space="preserve"> of pupil spending.100 In 2010, one hundred percent of students in Maryland and the District of Columbia attended school in districts where per-pupil expenditures were at or above the U.S. average, while New Jersey almost hit the 100 percent mark at 99.9 percent of its students attending such schools.101 Delaware sent about 88 percent of its students to schools that met the national average for student expenditures.102 Slightly above 70 percent of students attended such school districts in Virginia, the same in Pennsylvania and just above 88 percent in West Virginia.103 </w:t>
      </w:r>
      <w:r w:rsidRPr="00DE40CF">
        <w:rPr>
          <w:rStyle w:val="StyleUnderline"/>
        </w:rPr>
        <w:t>Midwestern states send fewer students to schools where spending is as high as in the Northeast and Mid-Atlantic. The highest percentage of students attending schools in districts where per pupil expenditures are at or above the national average is in Wisconsin</w:t>
      </w:r>
      <w:r>
        <w:t xml:space="preserve">, where the percentage is about seventy-two percent.104 </w:t>
      </w:r>
      <w:r w:rsidRPr="00DE40CF">
        <w:rPr>
          <w:rStyle w:val="StyleUnderline"/>
        </w:rPr>
        <w:t>Illinois ranks next for spending closest to the national average</w:t>
      </w:r>
      <w:r>
        <w:t xml:space="preserve">, sending about 66 percent of its students to schools that meet the national average for student expenditures.105 In Michigan, only about 27 percent of students attend school in districts were student expenditures are at or above the national average.106 </w:t>
      </w:r>
      <w:r w:rsidRPr="00DE40CF">
        <w:rPr>
          <w:rStyle w:val="StyleUnderline"/>
        </w:rPr>
        <w:t>In Ohio, about 43 percent of students attend such schools. Indiana sends about 17 percent of its students</w:t>
      </w:r>
      <w:r>
        <w:t xml:space="preserve">.107 All together, the five states of Illinois, Indiana, Michigan, Ohio, and Wisconsin spend on average about $11,306 per pupil, which places the student expenditures </w:t>
      </w:r>
      <w:r>
        <w:lastRenderedPageBreak/>
        <w:t xml:space="preserve">slightly below the national average in 2010.10 </w:t>
      </w:r>
      <w:r w:rsidRPr="00DE40CF">
        <w:rPr>
          <w:rStyle w:val="StyleUnderline"/>
        </w:rPr>
        <w:t>The Southeastern region includes thirteen states</w:t>
      </w:r>
      <w:r>
        <w:t xml:space="preserve">, including Alabama, Arkansas, Florida, Georgia, Kentucky, Louisiana, Mississippi, Missouri, North Carolina, Oklahoma, South Carolina, Tennessee, and Texas. </w:t>
      </w:r>
      <w:r w:rsidRPr="00DE40CF">
        <w:rPr>
          <w:rStyle w:val="StyleUnderline"/>
        </w:rPr>
        <w:t>The percentage of students in schools spending at or above the national average drops significantly</w:t>
      </w:r>
      <w:r>
        <w:t xml:space="preserve"> in these states.109 </w:t>
      </w:r>
      <w:r w:rsidRPr="00DE40CF">
        <w:rPr>
          <w:rStyle w:val="StyleUnderline"/>
        </w:rPr>
        <w:t>In Georgia, just 22 percent of students attend school districts where per pupil expenditures are at or below the national average.</w:t>
      </w:r>
      <w:r>
        <w:t xml:space="preserve">110 Other states’ averages were even less in 2010: Missouri sent 15 percent of its students to school districts meeting the national average, </w:t>
      </w:r>
      <w:r w:rsidRPr="00DE40CF">
        <w:rPr>
          <w:rStyle w:val="StyleUnderline"/>
        </w:rPr>
        <w:t>Texas sent slightly less than 18 percent, South Carolina about 13 percent</w:t>
      </w:r>
      <w:r>
        <w:t xml:space="preserve">, Louisiana about 51 percent, and Arkansas about 14 percent.111 North Carolina managed about seven percent, Kentucky about twelve percent, Florida about two percent, Alabama about six percent, Oklahoma about three percent, and Mississippi about three percent.112 </w:t>
      </w:r>
      <w:r w:rsidRPr="00DE40CF">
        <w:t>In Tennessee, just over one percent of students attend school in districts spending at or above the national average</w:t>
      </w:r>
      <w:r w:rsidRPr="00DE40CF">
        <w:rPr>
          <w:rStyle w:val="StyleUnderline"/>
        </w:rPr>
        <w:t>. All thirteen states averaged below the national average at about $9,964,113 with North Carolina averaging the lowest amount of the thirteen states at $8,713 per pupil.114 The Plains and Mountains region are comprised of the eight states</w:t>
      </w:r>
      <w:r>
        <w:t xml:space="preserve"> of Colorado, Iowa, Minnesota, Montana, Nebraska, North Dakota, South Dakota, and Wyoming. Wyoming </w:t>
      </w:r>
      <w:r w:rsidRPr="00DE40CF">
        <w:rPr>
          <w:rStyle w:val="StyleUnderline"/>
        </w:rPr>
        <w:t>sent all of its students to school districts spending at or above the national expenditures,115 while the other states averaged sending many fewer students to such schools</w:t>
      </w:r>
      <w:r>
        <w:t xml:space="preserve">. North Dakota sent about 30 percent of its students to schools spending at or above the national average and Montana sent about 27 percent, while Minnesota sent about 34 percent, and Nebraska about 32 percent.116 Kansas sent about 36 percent of its students, South Dakota sent about 12 percent, Iowa about 12 percent, and Colorado about 7 percent.117 All eight states averaged about $12,950.118 At the lowest-end, Colorado averaged about $9,306.119 Much further west, Hawaii sent all students to schools meeting the national average, while Alaska was close behind, sending about ninety-six percent of its students.120 </w:t>
      </w:r>
      <w:r w:rsidRPr="00DE40CF">
        <w:rPr>
          <w:rStyle w:val="StyleUnderline"/>
        </w:rPr>
        <w:t xml:space="preserve">There is a large difference, however, between Alaska and Hawaii and the other western states </w:t>
      </w:r>
      <w:r>
        <w:t xml:space="preserve">of Arizona, California, Idaho, Nevada, New Mexico, Oregon, Utah, and Washington. California manages to send about 20 percent of its students to schools meeting the national average in per-pupil expenditures, while Oregon averages 22 percent, and Washington about 27 percent.121 New Mexico sends about 17 percent of its students to schools spending at or above the average, Nevada sends about five percent, and Idaho sends just about four percent of its students.122 </w:t>
      </w:r>
      <w:r w:rsidRPr="00DE40CF">
        <w:rPr>
          <w:rStyle w:val="StyleUnderline"/>
        </w:rPr>
        <w:t>Arizona meets or exceeds the national average expenditure at about five percent.123 Together, the states averaged $10,076 per student,124 below the national average</w:t>
      </w:r>
      <w:r>
        <w:t xml:space="preserve">. At the high end, Alaska averaged $16,675 per student, while </w:t>
      </w:r>
      <w:r w:rsidRPr="00DE40CF">
        <w:rPr>
          <w:rStyle w:val="StyleUnderline"/>
        </w:rPr>
        <w:t>Utah, spending just $7,042 per student, sat at the very bottom for all states in the nation and sent just one percent of its students to school districts spending at or above the national average.125 All states categorized as a part of the Southeast and West regions, with the exception of Alaska and Hawaii, spent below the average per pupil</w:t>
      </w:r>
      <w:r>
        <w:t xml:space="preserve"> expenditure.126 On average, states in the Northeast spent the most of any other</w:t>
      </w:r>
    </w:p>
    <w:p w:rsidR="003D0058" w:rsidRDefault="00187698" w:rsidP="00187698">
      <w:pPr>
        <w:pStyle w:val="Heading3"/>
      </w:pPr>
      <w:r>
        <w:lastRenderedPageBreak/>
        <w:t>Incentives</w:t>
      </w:r>
    </w:p>
    <w:p w:rsidR="00187698" w:rsidRDefault="00187698" w:rsidP="00187698">
      <w:pPr>
        <w:pStyle w:val="Heading4"/>
      </w:pPr>
      <w:r>
        <w:t xml:space="preserve">Title 1 funds primarily </w:t>
      </w:r>
      <w:r w:rsidR="008F0725">
        <w:t xml:space="preserve">benefit </w:t>
      </w:r>
      <w:r>
        <w:t xml:space="preserve">administrators who have financial incentives </w:t>
      </w:r>
      <w:r w:rsidR="006453E1">
        <w:t>to maintain failure and dependence</w:t>
      </w:r>
    </w:p>
    <w:p w:rsidR="00187698" w:rsidRPr="00187698" w:rsidRDefault="00C51EC7" w:rsidP="00187698">
      <w:r w:rsidRPr="00C51EC7">
        <w:t xml:space="preserve">Sam </w:t>
      </w:r>
      <w:r w:rsidRPr="00C51EC7">
        <w:rPr>
          <w:rStyle w:val="Style13ptBold"/>
        </w:rPr>
        <w:t>Blumenfeld</w:t>
      </w:r>
      <w:r>
        <w:t xml:space="preserve">, </w:t>
      </w:r>
      <w:r w:rsidRPr="00C51EC7">
        <w:t>11-10-20</w:t>
      </w:r>
      <w:r w:rsidRPr="00C51EC7">
        <w:rPr>
          <w:rStyle w:val="Style13ptBold"/>
        </w:rPr>
        <w:t>14</w:t>
      </w:r>
      <w:r w:rsidRPr="00C51EC7">
        <w:t xml:space="preserve">, "Fifty Years of Title 1: Has It Worked?," </w:t>
      </w:r>
      <w:r>
        <w:t>New American</w:t>
      </w:r>
      <w:r w:rsidRPr="00C51EC7">
        <w:t xml:space="preserve">, </w:t>
      </w:r>
      <w:hyperlink r:id="rId6" w:history="1">
        <w:r w:rsidRPr="00A615D5">
          <w:rPr>
            <w:rStyle w:val="Hyperlink"/>
          </w:rPr>
          <w:t>https://www.thenewamerican.com/culture/education/item/19494-fifty-years-of-title-1-has-it-worked</w:t>
        </w:r>
      </w:hyperlink>
      <w:r>
        <w:t xml:space="preserve"> ach </w:t>
      </w:r>
    </w:p>
    <w:p w:rsidR="00187698" w:rsidRDefault="00187698" w:rsidP="00187698">
      <w:r w:rsidRPr="00187698">
        <w:rPr>
          <w:u w:val="single"/>
        </w:rPr>
        <w:t>Why have we seen virtually no improvement in the academic achievement of these children targeted by Title 1? It might have something to do with the notion that if all of these 50,000 Title 1 directors, assistant directors, and teachers succeeded in eliminating the achievement gap that there would be no further use for Title 1 and its army of Title 1 educators</w:t>
      </w:r>
      <w:r>
        <w:t>.</w:t>
      </w:r>
      <w:r w:rsidR="00C8294C">
        <w:t xml:space="preserve"> </w:t>
      </w:r>
      <w:r>
        <w:t xml:space="preserve">Indeed, </w:t>
      </w:r>
      <w:r w:rsidRPr="00187698">
        <w:rPr>
          <w:u w:val="single"/>
        </w:rPr>
        <w:t>as early as 1969, it was already known that Title 1 was not producing the results it was supposed to produce</w:t>
      </w:r>
      <w:r>
        <w:t>. In that year a prestigious Committee on Reading was appointed by the National Academy of Education to examine America’s reading problem and offer recommendations for improvement. Its report, Toward a Literate Society, published in 1975, stated:</w:t>
      </w:r>
      <w:r w:rsidR="00C8294C">
        <w:t xml:space="preserve"> </w:t>
      </w:r>
      <w:r w:rsidRPr="00187698">
        <w:rPr>
          <w:u w:val="single"/>
        </w:rPr>
        <w:t>It is not cynical to suggest that the chief beneficiaries of</w:t>
      </w:r>
      <w:r>
        <w:t xml:space="preserve"> the Elementary and Secondary Education Act (</w:t>
      </w:r>
      <w:r w:rsidRPr="00187698">
        <w:rPr>
          <w:u w:val="single"/>
        </w:rPr>
        <w:t>ESEA) have been members of the school systems — both professional and paraprofessional — for whom new jobs were created</w:t>
      </w:r>
      <w:r>
        <w:t xml:space="preserve">.... Seven years and as </w:t>
      </w:r>
      <w:r w:rsidRPr="00187698">
        <w:rPr>
          <w:u w:val="single"/>
        </w:rPr>
        <w:t>many billions of dollars later, the children of the poor have not been “compensated” as clearly as the employees of the school systems through this investment.</w:t>
      </w:r>
      <w:r w:rsidR="00C8294C">
        <w:t xml:space="preserve"> </w:t>
      </w:r>
      <w:r>
        <w:t xml:space="preserve">In addition, Title 1 educators have continued to use the same sight-word teaching methods and programs that created the reading problem to begin with. </w:t>
      </w:r>
      <w:r w:rsidRPr="00C8294C">
        <w:rPr>
          <w:u w:val="single"/>
        </w:rPr>
        <w:t>Thus, the Title 1 establishment is incapable of doing what it was created to do</w:t>
      </w:r>
      <w:r>
        <w:t xml:space="preserve">. And </w:t>
      </w:r>
      <w:r w:rsidRPr="00C8294C">
        <w:rPr>
          <w:u w:val="single"/>
        </w:rPr>
        <w:t>no one in Congress has bothered to even look into the matter</w:t>
      </w:r>
      <w:r>
        <w:t xml:space="preserve">. </w:t>
      </w:r>
      <w:r w:rsidRPr="00C8294C">
        <w:rPr>
          <w:u w:val="single"/>
        </w:rPr>
        <w:t>That is why we have a dysfunctional governmental education system</w:t>
      </w:r>
      <w:r>
        <w:t>.</w:t>
      </w:r>
    </w:p>
    <w:p w:rsidR="008D46EF" w:rsidRDefault="008D46EF" w:rsidP="008D46EF">
      <w:pPr>
        <w:pStyle w:val="Heading3"/>
      </w:pPr>
      <w:r>
        <w:lastRenderedPageBreak/>
        <w:t>Formulas</w:t>
      </w:r>
    </w:p>
    <w:p w:rsidR="008D46EF" w:rsidRDefault="008D46EF" w:rsidP="008D46EF"/>
    <w:p w:rsidR="008D46EF" w:rsidRDefault="008D46EF" w:rsidP="008D46EF">
      <w:pPr>
        <w:pStyle w:val="Heading4"/>
      </w:pPr>
      <w:r>
        <w:t>Funding formulas inherently fail</w:t>
      </w:r>
    </w:p>
    <w:p w:rsidR="005975C6" w:rsidRPr="005975C6" w:rsidRDefault="005975C6" w:rsidP="005975C6">
      <w:r>
        <w:t>EFP= Education Finance Policy</w:t>
      </w:r>
    </w:p>
    <w:p w:rsidR="005975C6" w:rsidRDefault="00CC756C" w:rsidP="008D46EF">
      <w:r w:rsidRPr="00CC756C">
        <w:t xml:space="preserve">Iris </w:t>
      </w:r>
      <w:r w:rsidRPr="006729FF">
        <w:rPr>
          <w:rStyle w:val="Style13ptBold"/>
        </w:rPr>
        <w:t>BenDavid-Hadar</w:t>
      </w:r>
      <w:r w:rsidRPr="00CC756C">
        <w:t xml:space="preserve">, Stephoni </w:t>
      </w:r>
      <w:r w:rsidRPr="006729FF">
        <w:rPr>
          <w:rStyle w:val="Style13ptBold"/>
        </w:rPr>
        <w:t>Case &amp;</w:t>
      </w:r>
      <w:r w:rsidRPr="00CC756C">
        <w:t xml:space="preserve"> Rob </w:t>
      </w:r>
      <w:r w:rsidRPr="006729FF">
        <w:rPr>
          <w:rStyle w:val="Style13ptBold"/>
        </w:rPr>
        <w:t>Smith</w:t>
      </w:r>
      <w:r>
        <w:t xml:space="preserve">, </w:t>
      </w:r>
      <w:r w:rsidR="006B733F">
        <w:t>May, 20</w:t>
      </w:r>
      <w:r w:rsidR="006B733F" w:rsidRPr="006729FF">
        <w:rPr>
          <w:rStyle w:val="Style13ptBold"/>
        </w:rPr>
        <w:t>17</w:t>
      </w:r>
      <w:r w:rsidR="006B733F">
        <w:t>,</w:t>
      </w:r>
      <w:r w:rsidR="00DE57A2">
        <w:t xml:space="preserve"> (School of Education @ </w:t>
      </w:r>
      <w:r w:rsidR="00B8298E">
        <w:t>Bar Ilan University, School of Education @ South Nazarene University, and Director of the Centre for the Study of Practice and Culture in Education)</w:t>
      </w:r>
      <w:r w:rsidR="006B733F">
        <w:t xml:space="preserve"> </w:t>
      </w:r>
      <w:r w:rsidR="00552973" w:rsidRPr="00552973">
        <w:t>School funding formulae: designed to create a learning society?</w:t>
      </w:r>
      <w:r w:rsidR="00552973">
        <w:t xml:space="preserve">, </w:t>
      </w:r>
      <w:r w:rsidR="00552973" w:rsidRPr="00552973">
        <w:t>Compare: A Journal of Comparative and International Education</w:t>
      </w:r>
      <w:r w:rsidR="00552973">
        <w:t xml:space="preserve">, </w:t>
      </w:r>
      <w:r w:rsidR="00851EF9">
        <w:t xml:space="preserve">p 1-18, </w:t>
      </w:r>
      <w:hyperlink r:id="rId7" w:history="1">
        <w:r w:rsidR="00C21F27" w:rsidRPr="00A615D5">
          <w:rPr>
            <w:rStyle w:val="Hyperlink"/>
          </w:rPr>
          <w:t>http://dx.doi.org/10.1080/03057925.2017.1323625</w:t>
        </w:r>
      </w:hyperlink>
      <w:r w:rsidR="00C21F27">
        <w:t>, ach</w:t>
      </w:r>
    </w:p>
    <w:p w:rsidR="008D46EF" w:rsidRPr="008D46EF" w:rsidRDefault="008D46EF" w:rsidP="008D46EF">
      <w:r w:rsidRPr="008D46EF">
        <w:t xml:space="preserve">While this study deals with solely three jurisdictions, the comparison is relevant to other countries striving to achieve equity. Despite contextual constraints, our research reveals how in each jurisdiction there is an interplay of three factors: a national squeeze on funding; distinctive local issues relating to equity and need; and the market independence of local actors. </w:t>
      </w:r>
      <w:r w:rsidRPr="005B31FC">
        <w:rPr>
          <w:u w:val="single"/>
        </w:rPr>
        <w:t>While schools may have the best insight into local needs, central government control of the funding formulae militates against the mobilisation of local knowledge. Furthermore, due to funding pressures emanating from the centre, decisions may be taken at school level that are competitively expedient rather than responding to identifiable needs</w:t>
      </w:r>
      <w:r w:rsidRPr="008D46EF">
        <w:t xml:space="preserve">. This means the impact of any EAD element will be reduced in any context in which education budgets are being reduced. </w:t>
      </w:r>
      <w:r w:rsidRPr="005B31FC">
        <w:rPr>
          <w:u w:val="single"/>
        </w:rPr>
        <w:t>This interplay</w:t>
      </w:r>
      <w:r w:rsidRPr="008D46EF">
        <w:t xml:space="preserve"> </w:t>
      </w:r>
      <w:r w:rsidRPr="005B31FC">
        <w:rPr>
          <w:u w:val="single"/>
        </w:rPr>
        <w:t>of factors mediates EFP, thereby shaping fairness</w:t>
      </w:r>
      <w:r w:rsidRPr="008D46EF">
        <w:t>.</w:t>
      </w:r>
      <w:r w:rsidR="00EB7CCB">
        <w:t xml:space="preserve">  </w:t>
      </w:r>
      <w:r w:rsidR="00EB7CCB" w:rsidRPr="00EB7CCB">
        <w:t xml:space="preserve">The establishment of a ‘learning society’ hinges on the reduction of social inequality and if education has a role in realising this aspiration, we might expect this to be underpinned by a fair funding formula. However, </w:t>
      </w:r>
      <w:r w:rsidR="00EB7CCB" w:rsidRPr="00EB7CCB">
        <w:rPr>
          <w:u w:val="single"/>
        </w:rPr>
        <w:t>if viewed as a primary tool for bringing about social equity, there is clearly a risk that EFP, however complex, is at risk of becoming a centralised and anodyne technology for the (politically expedient) governmental definition of need</w:t>
      </w:r>
      <w:r w:rsidR="00EB7CCB" w:rsidRPr="00EB7CCB">
        <w:t>. While the neoliberal assumptions that central budgets need to be reduced and local actors should have market independence continue to shape policy, there is a clear implication that the achievement of a ‘learning society’ as suggested by Stiglitz and Greenwald hangs in the balance.</w:t>
      </w:r>
    </w:p>
    <w:p w:rsidR="00A36A2E" w:rsidRDefault="00A36A2E" w:rsidP="00A36A2E">
      <w:pPr>
        <w:pStyle w:val="Heading2"/>
      </w:pPr>
      <w:r>
        <w:lastRenderedPageBreak/>
        <w:t>AT – Equity Adv (Past Group)</w:t>
      </w:r>
    </w:p>
    <w:p w:rsidR="00A36A2E" w:rsidRDefault="00A36A2E" w:rsidP="00A36A2E">
      <w:pPr>
        <w:pStyle w:val="Heading3"/>
      </w:pPr>
      <w:r>
        <w:lastRenderedPageBreak/>
        <w:t>Closing Gap</w:t>
      </w:r>
    </w:p>
    <w:p w:rsidR="00A36A2E" w:rsidRDefault="00A36A2E" w:rsidP="00A36A2E">
      <w:pPr>
        <w:pStyle w:val="Heading4"/>
      </w:pPr>
      <w:r>
        <w:t xml:space="preserve">The Achievement gap is being reduced now – yes there’s still issues but trends point to less disparities </w:t>
      </w:r>
    </w:p>
    <w:p w:rsidR="00A36A2E" w:rsidRPr="0015703E" w:rsidRDefault="00A36A2E" w:rsidP="00A36A2E">
      <w:r>
        <w:rPr>
          <w:rStyle w:val="Style13ptBold"/>
        </w:rPr>
        <w:t xml:space="preserve">Carnoy and Garcia 17 </w:t>
      </w:r>
      <w:r w:rsidRPr="0015703E">
        <w:t>(Martin Carnoy and Emma García, Economic Policy Institute, “Five key trends in U.S. student performance” 1/12/17, Martin Carnoy is a labor economist with a special interest in the relation between the economy and the educational system, Emma García specializes in the economics of education and education policy. Ph.D., Economics and Education, Teachers College, Columbia University http://www.epi.org/publication/five-key-trends-in-u-s-student-performance-progress-by-blacks-and-hispanics-the-takeoff-of-asians-the-stall-of-non-english-speakers-the-persistence-of-socioeconomic-gaps-and-the-damaging-effect/#epi-toc-4) GG</w:t>
      </w:r>
    </w:p>
    <w:p w:rsidR="00A36A2E" w:rsidRDefault="00A36A2E" w:rsidP="00A36A2E">
      <w:pPr>
        <w:rPr>
          <w:sz w:val="10"/>
        </w:rPr>
      </w:pPr>
      <w:r w:rsidRPr="0015703E">
        <w:rPr>
          <w:rStyle w:val="StyleUnderline"/>
        </w:rPr>
        <w:t>A founding ideal of American democracy is that merit, not accident of birth, should determine individuals’ income and social status</w:t>
      </w:r>
      <w:r w:rsidRPr="0015703E">
        <w:rPr>
          <w:sz w:val="12"/>
        </w:rPr>
        <w:t xml:space="preserve">. Schools have assumed a major role in judging key elements of merit among young people—namely, academic skills, hard work, self-discipline, and cooperative behavior. Schools do so mainly by evaluating students in a variety of subjects deemed important for success later in life. No one expects outcomes at the end of the schooling process to be the same for every student, since initial ability varies, and some young people are more disciplined and willing to work harder in school than others. Yet, when students’ inherent characteristics—such as race, gender, or parents’ economic and social capital—rather than their innate ability, hard work, and discipline systematically affect their school outcomes, this threatens democratic ideals. These apparent contradictions between the ideals and reality of U.S. schools have led analysts over the last few decades to study and try to explain persistent gaps in student achievement. Particular </w:t>
      </w:r>
      <w:r w:rsidRPr="007D6594">
        <w:rPr>
          <w:rStyle w:val="StyleUnderline"/>
        </w:rPr>
        <w:t>attention has been given to the gap between blacks and Hispanics versus whites, across social-class groups,</w:t>
      </w:r>
      <w:r w:rsidRPr="0015703E">
        <w:rPr>
          <w:sz w:val="12"/>
        </w:rPr>
        <w:t xml:space="preserve"> and by gender. Research has provided evidence that race and ethnicity continue to be important factors in explaining achievement differences. </w:t>
      </w:r>
      <w:r w:rsidRPr="007D6594">
        <w:rPr>
          <w:rStyle w:val="StyleUnderline"/>
        </w:rPr>
        <w:t>However, much of the black-white and Hispanic-white achievement gaps are accounted for by social-class differences</w:t>
      </w:r>
      <w:r w:rsidRPr="0015703E">
        <w:rPr>
          <w:sz w:val="12"/>
        </w:rPr>
        <w:t xml:space="preserve">. That is, in the United States, race and often ethnicity are closely intertwined with social class. Minority children, particularly African-Americans and Hispanics, are more likely to be poor than white children because of the ways that race and ethnicity shape opportunity and economic outcomes. Black and Hispanic children are also more likely than their white or Asian-American counterparts to live in low-income, racially segregated neighborhoods and to attend schools with high concentrations of low-income, nonwhite students. </w:t>
      </w:r>
      <w:r w:rsidRPr="007D6594">
        <w:rPr>
          <w:rStyle w:val="StyleUnderline"/>
        </w:rPr>
        <w:t xml:space="preserve">Notwithstanding these troubling realities, </w:t>
      </w:r>
      <w:r w:rsidRPr="007D6594">
        <w:rPr>
          <w:rStyle w:val="Emphasis"/>
        </w:rPr>
        <w:t>achievement differences between blacks and whites and between Hispanics and whites have shrunk in recent decades</w:t>
      </w:r>
      <w:r w:rsidRPr="007D6594">
        <w:rPr>
          <w:rStyle w:val="StyleUnderline"/>
        </w:rPr>
        <w:t>.</w:t>
      </w:r>
      <w:r w:rsidRPr="0015703E">
        <w:rPr>
          <w:sz w:val="12"/>
        </w:rPr>
        <w:t xml:space="preserve"> The bad news is </w:t>
      </w:r>
      <w:r w:rsidRPr="007D6594">
        <w:rPr>
          <w:rStyle w:val="StyleUnderline"/>
        </w:rPr>
        <w:t>that until recently gaps between the higher and lower social-class groups were increasing</w:t>
      </w:r>
      <w:r w:rsidRPr="0015703E">
        <w:rPr>
          <w:sz w:val="12"/>
        </w:rPr>
        <w:t xml:space="preserve">, particularly between children in the highest income group and everyone else (Reardon 2011; Reardon, Waldfogel, and Bassok 2016; Putnam 2015). </w:t>
      </w:r>
      <w:r w:rsidRPr="0015703E">
        <w:rPr>
          <w:rStyle w:val="StyleUnderline"/>
        </w:rPr>
        <w:t>This paper advances the discussion of these issues by analyzing trends in the influence of race/ethnicity, social class, and gender on students’ academic performance</w:t>
      </w:r>
      <w:r w:rsidRPr="0015703E">
        <w:rPr>
          <w:sz w:val="12"/>
        </w:rPr>
        <w:t xml:space="preserve"> in the United States. It focuses on trends for two different grade levels—eighth and fourth—and two different subjects—mathematics and reading—over the past decade. Trends in eighth-grade mathematics since the mid-1990s are also examined. </w:t>
      </w:r>
      <w:r w:rsidRPr="0015703E">
        <w:rPr>
          <w:rStyle w:val="StyleUnderline"/>
        </w:rPr>
        <w:t>This paper also explores the ways in which English language ability relates to Hispanics’ and Asian Americans’ academic performance over time</w:t>
      </w:r>
      <w:r w:rsidRPr="0015703E">
        <w:rPr>
          <w:sz w:val="12"/>
        </w:rPr>
        <w:t xml:space="preserve"> (Nores and Barnett 2014). We use individual student microdata gathered from the National Assessment of Educational Progress (NAEP) to estimate the math and reading performance of students in the fourth and eighth grades from 2003 to 2013, and the math performance of eighth-graders from 1996 to 2013.</w:t>
      </w:r>
      <w:r>
        <w:rPr>
          <w:sz w:val="12"/>
        </w:rPr>
        <w:t xml:space="preserve"> </w:t>
      </w:r>
      <w:r w:rsidRPr="0015703E">
        <w:rPr>
          <w:sz w:val="8"/>
          <w:szCs w:val="8"/>
        </w:rPr>
        <w:t>Our study has six objectives:</w:t>
      </w:r>
      <w:r>
        <w:rPr>
          <w:sz w:val="8"/>
          <w:szCs w:val="8"/>
        </w:rPr>
        <w:t xml:space="preserve"> </w:t>
      </w:r>
      <w:r w:rsidRPr="0015703E">
        <w:rPr>
          <w:sz w:val="8"/>
          <w:szCs w:val="8"/>
        </w:rPr>
        <w:t>To describe changes in the racial characteristics and socioeconomic status (SES) of the student population, and in the composition of student bodies in U.S. schools over the past two decades in the periods 1996–2003 and 2003–2013</w:t>
      </w:r>
      <w:r>
        <w:rPr>
          <w:sz w:val="8"/>
          <w:szCs w:val="8"/>
        </w:rPr>
        <w:t xml:space="preserve"> </w:t>
      </w:r>
      <w:r w:rsidRPr="0015703E">
        <w:rPr>
          <w:sz w:val="8"/>
          <w:szCs w:val="8"/>
        </w:rPr>
        <w:t>To describe the types of schools (high- and low-poverty, high and low concentrations of blacks plus Hispanics) that black, Hispanic, white, and Asian children attend and how these have changed over the past 10 and 20 years</w:t>
      </w:r>
      <w:r>
        <w:rPr>
          <w:sz w:val="8"/>
          <w:szCs w:val="8"/>
        </w:rPr>
        <w:t xml:space="preserve"> </w:t>
      </w:r>
      <w:r w:rsidRPr="0015703E">
        <w:rPr>
          <w:sz w:val="8"/>
          <w:szCs w:val="8"/>
        </w:rPr>
        <w:t>To estimate changes in students’ achievement gaps by social class and race/ethnicity, including gaps for students designated as English language learners (ELLs), over the past 10 and 20 years</w:t>
      </w:r>
      <w:r>
        <w:rPr>
          <w:sz w:val="8"/>
          <w:szCs w:val="8"/>
        </w:rPr>
        <w:t xml:space="preserve"> </w:t>
      </w:r>
      <w:r w:rsidRPr="0015703E">
        <w:rPr>
          <w:sz w:val="8"/>
          <w:szCs w:val="8"/>
        </w:rPr>
        <w:t>To estimate changes over the past decade in the influence of school composition—such as concentration of students by poverty, race, and ethnic status—on students’ achievement gaps by social class and race/ethnicity</w:t>
      </w:r>
      <w:r>
        <w:rPr>
          <w:sz w:val="8"/>
          <w:szCs w:val="8"/>
        </w:rPr>
        <w:t xml:space="preserve"> </w:t>
      </w:r>
      <w:r w:rsidRPr="0015703E">
        <w:rPr>
          <w:sz w:val="8"/>
          <w:szCs w:val="8"/>
        </w:rPr>
        <w:t>To estimate whether and how much the trajectories of social class and race/ethnicity achievement gaps differed over the past 10 years for male and female students</w:t>
      </w:r>
      <w:r>
        <w:rPr>
          <w:sz w:val="8"/>
          <w:szCs w:val="8"/>
        </w:rPr>
        <w:t xml:space="preserve"> </w:t>
      </w:r>
      <w:r w:rsidRPr="0015703E">
        <w:rPr>
          <w:sz w:val="8"/>
          <w:szCs w:val="8"/>
        </w:rPr>
        <w:t>To estimate whether and how much these trajectories differed over the past 10 years for lower-achieving students and higher-achieving students</w:t>
      </w:r>
      <w:r>
        <w:rPr>
          <w:sz w:val="8"/>
          <w:szCs w:val="8"/>
        </w:rPr>
        <w:t xml:space="preserve"> </w:t>
      </w:r>
      <w:r w:rsidRPr="0015703E">
        <w:rPr>
          <w:sz w:val="10"/>
        </w:rPr>
        <w:t xml:space="preserve">Our unique approach, which uses individual student microdata gathered from NAEP over a substantial period of time (10 to 17 years, depending on the subject and grade), allows us to estimate changes in race/ethnic gaps, controlling for English-language learner designation, gender, and socioeconomic status. The approach also lets us estimate changes in socioeconomic gaps, controlling for race/ethnicity, gender, and ELL designation. Moreover, we can assess changes over time with regard to the sensitivity of race/ethnic and socioeconomic gaps to the inclusion of controls for school characteristics in terms of the proportion of poor and minority children in the student body. The percentage of students receiving free or reduced-price lunch (FRPL) is used as a proxy measure for the poor children in the student body.1 We characterize a school as high-poverty when more than 75 percent of its students are eligible for FRPL. Importantly, because we use individual student data from large-scale assessments for our analysis, we can identify those students assigned to the English language learner track. We can therefore separate Hispanic and Asian ELL students from their non-ELL ethnic counterparts and examine their distinct performance and trends. Finally, our approach enables us to show how estimates of race/ethnic achievement gaps are affected by the unequal share of race/ethnic groups across those states in which students have systematically performed better or worse on the NAEP. </w:t>
      </w:r>
      <w:r w:rsidRPr="0015703E">
        <w:rPr>
          <w:rStyle w:val="StyleUnderline"/>
        </w:rPr>
        <w:t>The results of our analysis yield important insights into the changing nature of inequality in the U.S. education system.</w:t>
      </w:r>
      <w:r>
        <w:rPr>
          <w:rStyle w:val="StyleUnderline"/>
        </w:rPr>
        <w:t xml:space="preserve"> </w:t>
      </w:r>
      <w:r w:rsidRPr="0015703E">
        <w:rPr>
          <w:sz w:val="10"/>
        </w:rPr>
        <w:t xml:space="preserve">We find that </w:t>
      </w:r>
      <w:r w:rsidRPr="0015703E">
        <w:rPr>
          <w:rStyle w:val="StyleUnderline"/>
        </w:rPr>
        <w:t>between the mid-1990s and 2013</w:t>
      </w:r>
      <w:r w:rsidRPr="0015703E">
        <w:rPr>
          <w:sz w:val="10"/>
        </w:rPr>
        <w:t xml:space="preserve">, </w:t>
      </w:r>
      <w:r w:rsidRPr="0015703E">
        <w:rPr>
          <w:rStyle w:val="StyleUnderline"/>
        </w:rPr>
        <w:t>the proportion of low-income students in U.S. schools</w:t>
      </w:r>
      <w:r w:rsidRPr="0015703E">
        <w:rPr>
          <w:sz w:val="10"/>
        </w:rPr>
        <w:t>—those eligible for free or reduced-price lunch (FRPL)—</w:t>
      </w:r>
      <w:r w:rsidRPr="0015703E">
        <w:rPr>
          <w:rStyle w:val="StyleUnderline"/>
        </w:rPr>
        <w:t>increased rapidly</w:t>
      </w:r>
      <w:r w:rsidRPr="0015703E">
        <w:rPr>
          <w:sz w:val="10"/>
        </w:rPr>
        <w:t xml:space="preserve">. By 2013, more than half of eighth-grade mathematics students were eligible for FRPL (52.1 percent), up from 35.1 percent in 2000. </w:t>
      </w:r>
      <w:r w:rsidRPr="0015703E">
        <w:rPr>
          <w:rStyle w:val="StyleUnderline"/>
        </w:rPr>
        <w:t>In addition, the proportion of Hispanic and Asian students increased, in contrast to a steady decline in the percentage of non-Hispanic white and black students</w:t>
      </w:r>
      <w:r w:rsidRPr="0015703E">
        <w:rPr>
          <w:sz w:val="10"/>
        </w:rPr>
        <w:t xml:space="preserve">. As the overall proportion of low-income students (those eligible for FRPL) increased in U.S. schools, the percentage of all students attending high-poverty schools (those with more than 75 percent of students eligible for FRPL)2 rose substantially from 2003 to 2013. The proportion of black and Hispanic students in these high-poverty schools was much higher than for white or Asian students. By 2013, more than 40 percent of black and Hispanic students attended a high-poverty school (43.5 percent of blacks, 40.3 percent of Hispanic non-ELLs, and 55.8 percent of Hispanic ELLs, respectively). In contrast, only about 7 percent of white students (6.9 percent) attended such schools. At least one in five black and Hispanic students (20.7 percent of blacks, 15.1 percent of Hispanic non-ELLs, and 33.9 percent of Hispanic ELLs, respectively) who were not eligible for free or reduced-price lunch attended a high-poverty school compared with just 3.2 percent of non-eligible white students. Asian non-ELLs generally attended schools that had even lower levels of poverty than those attended by white students, although poor Asian non-ELL students were much more likely to attend high-poverty schools than poor white students. </w:t>
      </w:r>
      <w:r w:rsidRPr="0015703E">
        <w:rPr>
          <w:rStyle w:val="StyleUnderline"/>
        </w:rPr>
        <w:t>We confirm earlier studies showing that although the black/white test-score gap remains large, it has declined substantially in the past two decades.</w:t>
      </w:r>
      <w:r>
        <w:rPr>
          <w:rStyle w:val="StyleUnderline"/>
        </w:rPr>
        <w:t xml:space="preserve"> </w:t>
      </w:r>
      <w:r w:rsidRPr="0015703E">
        <w:rPr>
          <w:rStyle w:val="StyleUnderline"/>
        </w:rPr>
        <w:t xml:space="preserve">The </w:t>
      </w:r>
      <w:r w:rsidRPr="0015703E">
        <w:rPr>
          <w:rStyle w:val="StyleUnderline"/>
        </w:rPr>
        <w:lastRenderedPageBreak/>
        <w:t>achievement gap between white students and Hispanic non-ELL students also closed substantially in this period</w:t>
      </w:r>
      <w:r w:rsidRPr="0015703E">
        <w:rPr>
          <w:sz w:val="10"/>
        </w:rPr>
        <w:t xml:space="preserve">. The achievement gap between white students and Asian non-ELLs greatly increased in favor of Asians. By 2013, Asian non-ELL students scored almost half a standard deviation (SD) higher than white students in math. Moreover, the gap between Asians and whites in math was even larger among higher-scoring students. In stark contrast to the shrinking achievement gap between white students and Hispanic non-ELL students and the expanding achievement gap between Asian non-ELL students and whites, we find that Hispanic ELL and Asian ELL students are falling further behind white students in mathematics and reading achievement.3 Adjusting for the higher concentration of Asian non-English language learner students in California and Hawaii, two low-scoring states, reduces our estimates of Asian students’ scores compared to what they would have been had they lived in higher-scoring states. This “state effect” also tends to be true for our estimates of the scores of Hispanic non-ELL students (who are concentrated in California and the Southwest), and for the estimated scores of African Americans (who are concentrated in southern states, which generally score lower on the NAEP). Attending a higher-poverty school had a negative influence on the math and reading achievement of students from all racial/ethnic groups in both fourth and eighth grades. This negative influence was smaller for Hispanic non-English language learners than for whites and blacks, and it was larger for Asians than for other groups. In contrast, attending a school with more than 75 percent black plus Hispanic students had a larger negative effect on black, Hispanic, and Asian students than on white students. Attending the highest-poverty school (with a high proportion of poor students, meaning more than 75 percent of students eligible for FRPL) continues to have a strong negative impact on individual students across racial/ethnic groups, but that impact has not changed over the period 1996–2013. (Note that this is also true for schools with more than 50 percent of students who are FRPL-eligible.) We do not find clear evidence that either the black-white or the Hispanic-white achievement gap is increasing more among those students who attend higher- versus lower-poverty schools, or among those who attend schools with higher concentrations of black plus Hispanic students versus those students who do not attend such schools. Our results are also inconclusive about changes in the achievement gap between higher- and lower-income students. We find that changes in the gap vary by subject and grade. Our data are limited to measuring the gap between students who are “not poor,” “somewhat poor,” and “very poor,” but not between students at the top of the income distribution and low- and middle-income students. The divisions used in this analysis are useful for testing differences in student achievement between middle-income and lower-income students, but not between the very highest-income students and those in the rest of the income distribution. It is at the very top of the income distribution (the top 10 percent) where analysts have found student achievement rising compared to everyone else. </w:t>
      </w:r>
      <w:r w:rsidRPr="0015703E">
        <w:rPr>
          <w:rStyle w:val="StyleUnderline"/>
        </w:rPr>
        <w:t>In terms of gender differences in performance, the advantage of male students over females in mathematics decreased, as did female</w:t>
      </w:r>
      <w:r w:rsidRPr="0015703E">
        <w:rPr>
          <w:sz w:val="10"/>
        </w:rPr>
        <w:t xml:space="preserve"> </w:t>
      </w:r>
      <w:r w:rsidRPr="0015703E">
        <w:rPr>
          <w:rStyle w:val="StyleUnderline"/>
        </w:rPr>
        <w:t>students’ advantage over their male peers</w:t>
      </w:r>
      <w:r w:rsidRPr="0015703E">
        <w:rPr>
          <w:sz w:val="10"/>
        </w:rPr>
        <w:t xml:space="preserve"> </w:t>
      </w:r>
      <w:r w:rsidRPr="0015703E">
        <w:rPr>
          <w:rStyle w:val="StyleUnderline"/>
        </w:rPr>
        <w:t>in reading</w:t>
      </w:r>
      <w:r w:rsidRPr="0015703E">
        <w:rPr>
          <w:sz w:val="10"/>
        </w:rPr>
        <w:t xml:space="preserve">, when controlling for race/ethnicity and social class. </w:t>
      </w:r>
      <w:r w:rsidRPr="0015703E">
        <w:rPr>
          <w:rStyle w:val="StyleUnderline"/>
        </w:rPr>
        <w:t>The gender gaps are now small compared to race/ethnicity differences, but are still significant.</w:t>
      </w:r>
      <w:r>
        <w:rPr>
          <w:rStyle w:val="StyleUnderline"/>
        </w:rPr>
        <w:t xml:space="preserve"> </w:t>
      </w:r>
      <w:r w:rsidRPr="0015703E">
        <w:rPr>
          <w:sz w:val="10"/>
        </w:rPr>
        <w:t xml:space="preserve">We argue that these patterns of change (or lack of change) have important implications for what is happening in U.S. schools and American society. </w:t>
      </w:r>
      <w:r w:rsidRPr="0015703E">
        <w:rPr>
          <w:rStyle w:val="StyleUnderline"/>
        </w:rPr>
        <w:t>The decline in the gap between whites and Hispanic non-English language learners may help explain the sense among white workers in lower socioeconomic levels that Hispanics are increasingly competing for their jobs</w:t>
      </w:r>
      <w:r w:rsidRPr="0015703E">
        <w:rPr>
          <w:sz w:val="10"/>
        </w:rPr>
        <w:t xml:space="preserve">. Although the 2016 presidential campaign has put the focus on undocumented immigrants, the real issue may be that there are increasing numbers of second- and third-generation Hispanic Americans with achievement levels similar to those of whites when adjustments are made for socioeconomic background. Among high-achieving students competing for places in elite universities, </w:t>
      </w:r>
      <w:r w:rsidRPr="0015703E">
        <w:rPr>
          <w:rStyle w:val="StyleUnderline"/>
        </w:rPr>
        <w:t>the major increase in Asian students’ achievement relative to whites’</w:t>
      </w:r>
      <w:r w:rsidRPr="0015703E">
        <w:rPr>
          <w:sz w:val="10"/>
        </w:rPr>
        <w:t xml:space="preserve"> (and everyone else’s), </w:t>
      </w:r>
      <w:r w:rsidRPr="0015703E">
        <w:rPr>
          <w:rStyle w:val="StyleUnderline"/>
        </w:rPr>
        <w:t>especially in mathematics, has probably increased the pressure on upper-middle-class white families to invest even more in their children’s tutoring</w:t>
      </w:r>
      <w:r w:rsidRPr="0015703E">
        <w:rPr>
          <w:sz w:val="10"/>
        </w:rPr>
        <w:t xml:space="preserve"> and outside-of-school academic activities. The percentage of Asian students in the top-25 U.S. universities (as defined by U.S. News and World Report) reached 21 percent of the undergraduate student body in 2007, and has remained at that level. Over the same period, the percentage of whites in those universities fell from 48 percent to 43 percent. As Reardon (2011) argues, </w:t>
      </w:r>
      <w:r w:rsidRPr="0015703E">
        <w:rPr>
          <w:rStyle w:val="StyleUnderline"/>
        </w:rPr>
        <w:t>increasing inequality in incomes over the past three decades seemed to be a major driver of the widening achievement gap between pupils from the highest 10 percent-income families and everyone els</w:t>
      </w:r>
      <w:r w:rsidRPr="0015703E">
        <w:rPr>
          <w:sz w:val="10"/>
        </w:rPr>
        <w:t xml:space="preserve">e (note that very recent research by Reardon, Waldfogel, and Bassok (2016) indicates </w:t>
      </w:r>
      <w:r w:rsidRPr="0015703E">
        <w:rPr>
          <w:rStyle w:val="StyleUnderline"/>
        </w:rPr>
        <w:t>that this trend may have been reversed in the last decade</w:t>
      </w:r>
      <w:r w:rsidRPr="0015703E">
        <w:rPr>
          <w:sz w:val="10"/>
        </w:rPr>
        <w:t xml:space="preserve">). </w:t>
      </w:r>
    </w:p>
    <w:p w:rsidR="00A36A2E" w:rsidRPr="0015703E" w:rsidRDefault="00A36A2E" w:rsidP="00A36A2E">
      <w:pPr>
        <w:rPr>
          <w:sz w:val="10"/>
        </w:rPr>
      </w:pPr>
    </w:p>
    <w:p w:rsidR="00A36A2E" w:rsidRDefault="00A36A2E" w:rsidP="00A36A2E">
      <w:pPr>
        <w:pStyle w:val="Heading4"/>
      </w:pPr>
      <w:r>
        <w:t>Racial and economic educational inequality gaps are lowering – preschool availability and technology help solve</w:t>
      </w:r>
    </w:p>
    <w:p w:rsidR="00A36A2E" w:rsidRPr="007D6594" w:rsidRDefault="00A36A2E" w:rsidP="00A36A2E">
      <w:r>
        <w:rPr>
          <w:rStyle w:val="Style13ptBold"/>
        </w:rPr>
        <w:t xml:space="preserve">Reardon et al. 16 </w:t>
      </w:r>
      <w:r w:rsidRPr="007D6594">
        <w:t>(Sean F. Reardon, Jane Waldfogel, Daphina Bassok, NYT, “The Good News About Educational Inequality, 8/28/16, https://www.nytimes.com/2016/08/28/opinion/sunday/the-good-news-about-educational-inequality.html) GG</w:t>
      </w:r>
    </w:p>
    <w:p w:rsidR="00A36A2E" w:rsidRPr="007D6594" w:rsidRDefault="00A36A2E" w:rsidP="00A36A2E">
      <w:pPr>
        <w:rPr>
          <w:sz w:val="14"/>
        </w:rPr>
      </w:pPr>
      <w:r w:rsidRPr="007D6594">
        <w:rPr>
          <w:sz w:val="14"/>
        </w:rPr>
        <w:t xml:space="preserve">When inequality is the topic, it can seem as if all the news is bad. Income inequality continues to rise. Economic segregation is growing. Racial gaps in education, employment and health endure. Our society is not particularly fair. But </w:t>
      </w:r>
      <w:r w:rsidRPr="007D6594">
        <w:rPr>
          <w:rStyle w:val="StyleUnderline"/>
        </w:rPr>
        <w:t xml:space="preserve">here is some good news about educational inequality: </w:t>
      </w:r>
      <w:r w:rsidRPr="007D6594">
        <w:rPr>
          <w:rStyle w:val="Emphasis"/>
        </w:rPr>
        <w:t>The enormous gap in academic performance between high- and low-income children has begun to narrow.</w:t>
      </w:r>
      <w:r w:rsidRPr="007D6594">
        <w:rPr>
          <w:sz w:val="14"/>
        </w:rPr>
        <w:t xml:space="preserve"> </w:t>
      </w:r>
      <w:r w:rsidRPr="007D6594">
        <w:rPr>
          <w:rStyle w:val="StyleUnderline"/>
        </w:rPr>
        <w:t>Children entering kindergarten today are more equally prepared than they were in the late 1990s.</w:t>
      </w:r>
      <w:r w:rsidRPr="007D6594">
        <w:rPr>
          <w:sz w:val="14"/>
        </w:rPr>
        <w:t xml:space="preserve"> </w:t>
      </w:r>
      <w:r w:rsidRPr="007D6594">
        <w:rPr>
          <w:rStyle w:val="StyleUnderline"/>
        </w:rPr>
        <w:t>We know this</w:t>
      </w:r>
      <w:r w:rsidRPr="007D6594">
        <w:rPr>
          <w:sz w:val="14"/>
        </w:rPr>
        <w:t xml:space="preserve"> </w:t>
      </w:r>
      <w:r w:rsidRPr="007D6594">
        <w:rPr>
          <w:rStyle w:val="StyleUnderline"/>
        </w:rPr>
        <w:t>from</w:t>
      </w:r>
      <w:r w:rsidRPr="007D6594">
        <w:rPr>
          <w:sz w:val="14"/>
        </w:rPr>
        <w:t xml:space="preserve"> </w:t>
      </w:r>
      <w:r w:rsidRPr="007D6594">
        <w:rPr>
          <w:rStyle w:val="StyleUnderline"/>
        </w:rPr>
        <w:t>information collected over</w:t>
      </w:r>
      <w:r w:rsidRPr="007D6594">
        <w:rPr>
          <w:sz w:val="14"/>
        </w:rPr>
        <w:t xml:space="preserve"> the last </w:t>
      </w:r>
      <w:r w:rsidRPr="007D6594">
        <w:rPr>
          <w:rStyle w:val="StyleUnderline"/>
        </w:rPr>
        <w:t>two decades by the</w:t>
      </w:r>
      <w:r w:rsidRPr="007D6594">
        <w:rPr>
          <w:sz w:val="14"/>
        </w:rPr>
        <w:t xml:space="preserve"> </w:t>
      </w:r>
      <w:r w:rsidRPr="007D6594">
        <w:rPr>
          <w:rStyle w:val="StyleUnderline"/>
        </w:rPr>
        <w:t>N</w:t>
      </w:r>
      <w:r w:rsidRPr="007D6594">
        <w:rPr>
          <w:sz w:val="14"/>
        </w:rPr>
        <w:t xml:space="preserve">ational </w:t>
      </w:r>
      <w:r w:rsidRPr="007D6594">
        <w:rPr>
          <w:rStyle w:val="StyleUnderline"/>
        </w:rPr>
        <w:t>C</w:t>
      </w:r>
      <w:r w:rsidRPr="007D6594">
        <w:rPr>
          <w:sz w:val="14"/>
        </w:rPr>
        <w:t xml:space="preserve">enter for </w:t>
      </w:r>
      <w:r w:rsidRPr="007D6594">
        <w:rPr>
          <w:rStyle w:val="StyleUnderline"/>
        </w:rPr>
        <w:t>E</w:t>
      </w:r>
      <w:r w:rsidRPr="007D6594">
        <w:rPr>
          <w:sz w:val="14"/>
        </w:rPr>
        <w:t xml:space="preserve">ducation </w:t>
      </w:r>
      <w:r w:rsidRPr="007D6594">
        <w:rPr>
          <w:rStyle w:val="StyleUnderline"/>
        </w:rPr>
        <w:t>S</w:t>
      </w:r>
      <w:r w:rsidRPr="007D6594">
        <w:rPr>
          <w:sz w:val="14"/>
        </w:rPr>
        <w:t xml:space="preserve">tatistics. In the fall of 1998 and again in 2010. the N.C.E.S. sent early childhood assessors to roughly 1.000 public and private kindergartens across the United States. They sat down one-on- one with 15 to 25 children in each school to measure their reading and math skills. They asked children to identify shapes and colors, to count, to identify letters and to sound out words. They also surveyed parents to learn about the children's experiences before entering kindergarten. Working with the social scientist Ximena Portilla, </w:t>
      </w:r>
      <w:r w:rsidRPr="007D6594">
        <w:rPr>
          <w:rStyle w:val="StyleUnderline"/>
        </w:rPr>
        <w:t>we used this data to track changes over time in "school readiness gaps</w:t>
      </w:r>
      <w:r w:rsidRPr="007D6594">
        <w:rPr>
          <w:sz w:val="14"/>
        </w:rPr>
        <w:t xml:space="preserve">" — the differences in academic skills between low-income and high-income children entering kindergarten. </w:t>
      </w:r>
      <w:r w:rsidRPr="007D6594">
        <w:rPr>
          <w:rStyle w:val="StyleUnderline"/>
        </w:rPr>
        <w:t>What we found is surprising. From 1998 to 2010, the school readiness gap narrowed by 10 percent in math and 16 percent in reading.</w:t>
      </w:r>
      <w:r w:rsidRPr="007D6594">
        <w:rPr>
          <w:sz w:val="14"/>
        </w:rPr>
        <w:t xml:space="preserve"> </w:t>
      </w:r>
      <w:r w:rsidRPr="007D6594">
        <w:rPr>
          <w:rStyle w:val="StyleUnderline"/>
        </w:rPr>
        <w:t>The gaps that remain are still vast. But even this modest improvement represents a sharp reversal of the trend over the preceding decades</w:t>
      </w:r>
      <w:r w:rsidRPr="007D6594">
        <w:rPr>
          <w:sz w:val="14"/>
        </w:rPr>
        <w:t xml:space="preserve">. It’s worth noting that </w:t>
      </w:r>
      <w:r w:rsidRPr="007D6594">
        <w:rPr>
          <w:rStyle w:val="StyleUnderline"/>
        </w:rPr>
        <w:t>the gap in school readiness narrowed because of relatively rapid improvements in</w:t>
      </w:r>
      <w:r w:rsidRPr="007D6594">
        <w:rPr>
          <w:sz w:val="14"/>
        </w:rPr>
        <w:t xml:space="preserve"> the </w:t>
      </w:r>
      <w:r w:rsidRPr="007D6594">
        <w:rPr>
          <w:rStyle w:val="StyleUnderline"/>
        </w:rPr>
        <w:t>skills of low-income children, not because the skills of children from high-income</w:t>
      </w:r>
      <w:r w:rsidRPr="007D6594">
        <w:rPr>
          <w:sz w:val="14"/>
        </w:rPr>
        <w:t xml:space="preserve"> families </w:t>
      </w:r>
      <w:r w:rsidRPr="007D6594">
        <w:rPr>
          <w:rStyle w:val="StyleUnderline"/>
        </w:rPr>
        <w:t>declined</w:t>
      </w:r>
      <w:r w:rsidRPr="007D6594">
        <w:rPr>
          <w:sz w:val="14"/>
        </w:rPr>
        <w:t xml:space="preserve">. Research one of us did with Scott Latham at the University of Virginia showed that both poor and affluent children entered kindergarten in </w:t>
      </w:r>
      <w:r w:rsidRPr="007D6594">
        <w:rPr>
          <w:sz w:val="14"/>
        </w:rPr>
        <w:lastRenderedPageBreak/>
        <w:t xml:space="preserve">2010 with stronger reading and math skills than they did in the late 1990s. </w:t>
      </w:r>
      <w:r w:rsidRPr="007D6594">
        <w:rPr>
          <w:rStyle w:val="Emphasis"/>
        </w:rPr>
        <w:t>School readiness gaps between racial groups have also improved</w:t>
      </w:r>
      <w:r w:rsidRPr="007D6594">
        <w:rPr>
          <w:rStyle w:val="StyleUnderline"/>
        </w:rPr>
        <w:t>:</w:t>
      </w:r>
      <w:r w:rsidRPr="007D6594">
        <w:rPr>
          <w:sz w:val="14"/>
        </w:rPr>
        <w:t xml:space="preserve"> </w:t>
      </w:r>
      <w:r w:rsidRPr="007D6594">
        <w:rPr>
          <w:rStyle w:val="StyleUnderline"/>
        </w:rPr>
        <w:t>Both the white-black and white-Hispanic gaps narrowed by roughly 15 percent</w:t>
      </w:r>
      <w:r w:rsidRPr="007D6594">
        <w:rPr>
          <w:sz w:val="14"/>
        </w:rPr>
        <w:t xml:space="preserve"> from 1998 to 2010. These improvements appear to persist at least into fourth grade. Data from the National Assessment of Educational Progress show that by 2015, when those kindergartners were in fourth grade; their math and reading skills were roughly two-thirds of a grade level higher than those of their counterparts 12 years earlier. This was true for children of all racial and ethnic groups and for poor and nonpoor children alike</w:t>
      </w:r>
      <w:r w:rsidRPr="007D6594">
        <w:rPr>
          <w:rStyle w:val="StyleUnderline"/>
        </w:rPr>
        <w:t>. What’s behind these surprising developments? One possibility is that school readiness gaps have narrowed because it is easier now for poor families to find high-quality, publicly funded preschool programs for their children</w:t>
      </w:r>
      <w:r w:rsidRPr="007D6594">
        <w:rPr>
          <w:sz w:val="14"/>
        </w:rPr>
        <w:t xml:space="preserve">. Today </w:t>
      </w:r>
      <w:r w:rsidRPr="007D6594">
        <w:rPr>
          <w:rStyle w:val="StyleUnderline"/>
        </w:rPr>
        <w:t>20 percent of 4-year-olds are enrolled in state-funded preschools</w:t>
      </w:r>
      <w:r w:rsidRPr="007D6594">
        <w:rPr>
          <w:sz w:val="14"/>
        </w:rPr>
        <w:t xml:space="preserve">, </w:t>
      </w:r>
      <w:r w:rsidRPr="007D6594">
        <w:rPr>
          <w:rStyle w:val="StyleUnderline"/>
        </w:rPr>
        <w:t>up from 14 percent</w:t>
      </w:r>
      <w:r w:rsidRPr="007D6594">
        <w:rPr>
          <w:sz w:val="14"/>
        </w:rPr>
        <w:t xml:space="preserve"> in 2002. </w:t>
      </w:r>
      <w:r w:rsidRPr="007D6594">
        <w:rPr>
          <w:rStyle w:val="Emphasis"/>
        </w:rPr>
        <w:t>Greater availability</w:t>
      </w:r>
      <w:r w:rsidRPr="007D6594">
        <w:rPr>
          <w:sz w:val="14"/>
        </w:rPr>
        <w:t xml:space="preserve"> of affordable preschool programs — particularly if they are high quality — </w:t>
      </w:r>
      <w:r w:rsidRPr="007D6594">
        <w:rPr>
          <w:rStyle w:val="Emphasis"/>
        </w:rPr>
        <w:t>may be part of the reason poor children are starting to catch up to their affluent peers.</w:t>
      </w:r>
      <w:r w:rsidRPr="007D6594">
        <w:rPr>
          <w:sz w:val="14"/>
        </w:rPr>
        <w:t xml:space="preserve"> </w:t>
      </w:r>
      <w:r w:rsidRPr="007D6594">
        <w:rPr>
          <w:rStyle w:val="StyleUnderline"/>
        </w:rPr>
        <w:t>It is unlikely, however,, that preschool enrollment is the primary explanation</w:t>
      </w:r>
      <w:r w:rsidRPr="007D6594">
        <w:rPr>
          <w:sz w:val="14"/>
        </w:rPr>
        <w:t>. Although more poor children today attend preschool than in the 1990s,, enrollment rates dipped in 2010, perhaps because of rising unemployment after the Great Recession. And while the quality of the typical preschool program may have improved, as recently as 2004 most poor children attended public preschools that were far inferior to those available in affluent communities. It may be changes in children's homes that have mattered most. Tracking the experiences of young children over time</w:t>
      </w:r>
      <w:r w:rsidRPr="007D6594">
        <w:rPr>
          <w:rStyle w:val="StyleUnderline"/>
        </w:rPr>
        <w:t>, we found that both rich and poor children today have more books and read with their parents more often than they did in the '90s</w:t>
      </w:r>
      <w:r w:rsidRPr="007D6594">
        <w:rPr>
          <w:sz w:val="14"/>
        </w:rPr>
        <w:t xml:space="preserve">. </w:t>
      </w:r>
      <w:r w:rsidRPr="007D6594">
        <w:rPr>
          <w:rStyle w:val="StyleUnderline"/>
        </w:rPr>
        <w:t>They are for more likely to have computers, internet</w:t>
      </w:r>
      <w:r w:rsidRPr="007D6594">
        <w:rPr>
          <w:sz w:val="14"/>
        </w:rPr>
        <w:t xml:space="preserve"> access </w:t>
      </w:r>
      <w:r w:rsidRPr="007D6594">
        <w:rPr>
          <w:rStyle w:val="StyleUnderline"/>
        </w:rPr>
        <w:t>and computer games</w:t>
      </w:r>
      <w:r w:rsidRPr="007D6594">
        <w:rPr>
          <w:sz w:val="14"/>
        </w:rPr>
        <w:t xml:space="preserve"> </w:t>
      </w:r>
      <w:r w:rsidRPr="007D6594">
        <w:rPr>
          <w:rStyle w:val="StyleUnderline"/>
        </w:rPr>
        <w:t>focused</w:t>
      </w:r>
      <w:r w:rsidRPr="007D6594">
        <w:rPr>
          <w:sz w:val="14"/>
        </w:rPr>
        <w:t xml:space="preserve"> </w:t>
      </w:r>
      <w:r w:rsidRPr="007D6594">
        <w:rPr>
          <w:rStyle w:val="StyleUnderline"/>
        </w:rPr>
        <w:t>on reading and math skills</w:t>
      </w:r>
      <w:r w:rsidRPr="007D6594">
        <w:rPr>
          <w:sz w:val="14"/>
        </w:rPr>
        <w:t xml:space="preserve">. Their parents are more likely to spend time with them, taking them to the library or doing activities at home. </w:t>
      </w:r>
      <w:r w:rsidRPr="007D6594">
        <w:rPr>
          <w:rStyle w:val="StyleUnderline"/>
        </w:rPr>
        <w:t>The children of the rich have always had more of these opportunities than poor children. What has changed is that low-income children are now- getting more of what the political scientist Robert Putnam calls " 'Goodnight Moon' time" than they did in the 1990s. That’s excellent news</w:t>
      </w:r>
      <w:r w:rsidRPr="007D6594">
        <w:rPr>
          <w:sz w:val="14"/>
        </w:rPr>
        <w:t>.</w:t>
      </w:r>
    </w:p>
    <w:p w:rsidR="00A36A2E" w:rsidRDefault="00A36A2E" w:rsidP="00A36A2E">
      <w:pPr>
        <w:pStyle w:val="Heading4"/>
      </w:pPr>
      <w:r>
        <w:t>It’s declining now – it will take time for progress but test scores and gaps are narrowing</w:t>
      </w:r>
    </w:p>
    <w:p w:rsidR="00A36A2E" w:rsidRPr="007D6594" w:rsidRDefault="00A36A2E" w:rsidP="00A36A2E">
      <w:r>
        <w:rPr>
          <w:rStyle w:val="Style13ptBold"/>
        </w:rPr>
        <w:t xml:space="preserve">Reardon et al. 16 </w:t>
      </w:r>
      <w:r w:rsidRPr="007D6594">
        <w:t>(Sean F. Reardon, Jane Waldfogel, Daphina Bassok, NYT, “The Good News About Educational Inequality, 8/28/16, https://www.nytimes.com/2016/08/28/opinion/sunday/the-good-news-about-educational-inequality.html) GG</w:t>
      </w:r>
    </w:p>
    <w:p w:rsidR="00A36A2E" w:rsidRPr="0015703E" w:rsidRDefault="00A36A2E" w:rsidP="00A36A2E">
      <w:pPr>
        <w:rPr>
          <w:sz w:val="14"/>
        </w:rPr>
      </w:pPr>
      <w:r w:rsidRPr="0015703E">
        <w:rPr>
          <w:sz w:val="14"/>
        </w:rPr>
        <w:t xml:space="preserve">However, continued large disparities in academic achievement provide clear evidence that black and Hispanic children grow up with more limited educational opportunities than </w:t>
      </w:r>
      <w:r w:rsidRPr="0015703E">
        <w:rPr>
          <w:rStyle w:val="StyleUnderline"/>
        </w:rPr>
        <w:t>The United States has made some progress toward closing racial and ethnic gaps in educational outcomes</w:t>
      </w:r>
      <w:r w:rsidRPr="0015703E">
        <w:rPr>
          <w:sz w:val="14"/>
        </w:rPr>
        <w:t xml:space="preserve"> white children. </w:t>
      </w:r>
      <w:r w:rsidRPr="0015703E">
        <w:rPr>
          <w:rStyle w:val="StyleUnderline"/>
        </w:rPr>
        <w:t>The</w:t>
      </w:r>
      <w:r w:rsidRPr="0015703E">
        <w:rPr>
          <w:sz w:val="14"/>
        </w:rPr>
        <w:t xml:space="preserve"> National Assessment of Educational Progress (</w:t>
      </w:r>
      <w:r w:rsidRPr="0015703E">
        <w:rPr>
          <w:rStyle w:val="StyleUnderline"/>
        </w:rPr>
        <w:t>NAEP</w:t>
      </w:r>
      <w:r w:rsidRPr="0015703E">
        <w:rPr>
          <w:sz w:val="14"/>
        </w:rPr>
        <w:t xml:space="preserve">) </w:t>
      </w:r>
      <w:r w:rsidRPr="0015703E">
        <w:rPr>
          <w:rStyle w:val="StyleUnderline"/>
        </w:rPr>
        <w:t>provides the best evidence of historical trends in racial and ethnic academic achievement gaps</w:t>
      </w:r>
      <w:r w:rsidRPr="0015703E">
        <w:rPr>
          <w:sz w:val="14"/>
        </w:rPr>
        <w:t xml:space="preserve">. The U.S. Department of Education administers NAEP tests in math and reading to nationally representative samples of students. We use data from the main NAEP assessments, which were first administered in the early 1990s, to measure trends in white-black and white-Hispanic achievement gaps in the United States from 1990 to 2015 (shown in Figure 1). </w:t>
      </w:r>
      <w:r w:rsidRPr="0015703E">
        <w:rPr>
          <w:rStyle w:val="StyleUnderline"/>
        </w:rPr>
        <w:t>The gaps are measured in standard deviations of student achievement</w:t>
      </w:r>
      <w:r w:rsidRPr="0015703E">
        <w:rPr>
          <w:sz w:val="14"/>
        </w:rPr>
        <w:t xml:space="preserve">. In interpreting these gaps, it should be noted that one standard deviation is roughly equivalent to a three-grade-level difference in academic skills. </w:t>
      </w:r>
      <w:r w:rsidRPr="0015703E">
        <w:rPr>
          <w:rStyle w:val="StyleUnderline"/>
        </w:rPr>
        <w:t>Over this 25-year period, the achievement gaps in math and reading in fourth and eighth grade have declined 15 to 25 percent</w:t>
      </w:r>
      <w:r w:rsidRPr="0015703E">
        <w:rPr>
          <w:sz w:val="14"/>
        </w:rPr>
        <w:t xml:space="preserve">, depending on the grade, subject, or group.1 </w:t>
      </w:r>
      <w:r w:rsidRPr="0015703E">
        <w:rPr>
          <w:rStyle w:val="StyleUnderline"/>
        </w:rPr>
        <w:t>These gaps have not closed because white performance has declined: To the contrary, average academic performance improved for all racial and ethnic groups</w:t>
      </w:r>
      <w:r w:rsidRPr="0015703E">
        <w:rPr>
          <w:sz w:val="14"/>
        </w:rPr>
        <w:t xml:space="preserve">, </w:t>
      </w:r>
      <w:r w:rsidRPr="0015703E">
        <w:rPr>
          <w:rStyle w:val="StyleUnderline"/>
        </w:rPr>
        <w:t>although it grew fastest among black and Hispanic students</w:t>
      </w:r>
      <w:r w:rsidRPr="0015703E">
        <w:rPr>
          <w:sz w:val="14"/>
        </w:rPr>
        <w:t xml:space="preserve">.2 In particular, </w:t>
      </w:r>
      <w:r w:rsidRPr="0015703E">
        <w:rPr>
          <w:rStyle w:val="StyleUnderline"/>
        </w:rPr>
        <w:t>the average test scores among black and Hispanic students improved by one-third of a standard deviation in reading and two-thirds of a standard deviation in math since 1990.</w:t>
      </w:r>
      <w:r w:rsidRPr="0015703E">
        <w:rPr>
          <w:sz w:val="14"/>
        </w:rPr>
        <w:t xml:space="preserve"> As shown in Figure 1, </w:t>
      </w:r>
      <w:r w:rsidRPr="0015703E">
        <w:rPr>
          <w:rStyle w:val="StyleUnderline"/>
        </w:rPr>
        <w:t>these greater improvements among black and Hispanic children led to narrowing achievement gaps, particularly during the last 15 to 20 years</w:t>
      </w:r>
      <w:r w:rsidRPr="0015703E">
        <w:rPr>
          <w:sz w:val="14"/>
        </w:rPr>
        <w:t xml:space="preserve">. </w:t>
      </w:r>
      <w:r w:rsidRPr="0015703E">
        <w:rPr>
          <w:rStyle w:val="StyleUnderline"/>
        </w:rPr>
        <w:t>Similar trends are evident in high school graduation rates</w:t>
      </w:r>
      <w:r w:rsidRPr="0015703E">
        <w:rPr>
          <w:sz w:val="14"/>
        </w:rPr>
        <w:t xml:space="preserve">: </w:t>
      </w:r>
      <w:r w:rsidRPr="0015703E">
        <w:rPr>
          <w:rStyle w:val="StyleUnderline"/>
        </w:rPr>
        <w:t>white-black and white-Hispanic graduation rate gaps have narrowed sharply</w:t>
      </w:r>
      <w:r w:rsidRPr="0015703E">
        <w:rPr>
          <w:sz w:val="14"/>
        </w:rPr>
        <w:t xml:space="preserve"> </w:t>
      </w:r>
      <w:r w:rsidRPr="0015703E">
        <w:rPr>
          <w:rStyle w:val="StyleUnderline"/>
        </w:rPr>
        <w:t>over the last two decades</w:t>
      </w:r>
      <w:r w:rsidRPr="0015703E">
        <w:rPr>
          <w:sz w:val="14"/>
        </w:rPr>
        <w:t xml:space="preserve">.3 The narrowing of white-black and white-Hispanic achievement and graduation rate gaps constitutes notable progress. However, Figure 1 provides little evidence that this narrowing can be attributed to changes in K–12 schooling. Racial and ethnic achievement gaps are roughly the same size in fourth and eighth grade.4 This suggests that the narrowing of achievement gaps in recent years is, instead, the result of equalizing educational opportunity during early childhood or early elementary school.5 Moreover, </w:t>
      </w:r>
      <w:r w:rsidRPr="0015703E">
        <w:rPr>
          <w:rStyle w:val="StyleUnderline"/>
        </w:rPr>
        <w:t>the achievement gaps are still very large</w:t>
      </w:r>
      <w:r w:rsidRPr="0015703E">
        <w:rPr>
          <w:sz w:val="14"/>
        </w:rPr>
        <w:t xml:space="preserve">: The white Hispanic gaps are three-fifths of a </w:t>
      </w:r>
      <w:r w:rsidRPr="0015703E">
        <w:rPr>
          <w:sz w:val="14"/>
        </w:rPr>
        <w:lastRenderedPageBreak/>
        <w:t>standard deviation (almost two grade levels), and the white-black gaps are even larger (0.70 to 0.85 standard deviations, roughly two to two-anda-half grade levels). Even if these gaps continue to narrow at the same rate as they have for the last two decades, it will be more than 50 years before they are eliminated.</w:t>
      </w:r>
    </w:p>
    <w:p w:rsidR="00A36A2E" w:rsidRDefault="00A36A2E" w:rsidP="00A36A2E">
      <w:pPr>
        <w:pStyle w:val="Heading3"/>
      </w:pPr>
      <w:r>
        <w:lastRenderedPageBreak/>
        <w:t xml:space="preserve">AT Wealth Gap </w:t>
      </w:r>
    </w:p>
    <w:p w:rsidR="00A36A2E" w:rsidRDefault="00A36A2E" w:rsidP="00A36A2E">
      <w:pPr>
        <w:pStyle w:val="Heading4"/>
      </w:pPr>
      <w:r>
        <w:t>Their studies are wrong on the magnitude of income inequality – government transfers and tax compensations significantly reduce the gap</w:t>
      </w:r>
    </w:p>
    <w:p w:rsidR="00A36A2E" w:rsidRPr="00D61B07" w:rsidRDefault="00A36A2E" w:rsidP="00A36A2E">
      <w:pPr>
        <w:rPr>
          <w:rStyle w:val="Style13ptBold"/>
        </w:rPr>
      </w:pPr>
      <w:r>
        <w:rPr>
          <w:rStyle w:val="Style13ptBold"/>
        </w:rPr>
        <w:t xml:space="preserve">Tanner 16 </w:t>
      </w:r>
      <w:r w:rsidRPr="00D61B07">
        <w:t>(Michael D. Tanner, Cato Institute senior fellow, “Five Myths about Economic Inequality in America” 9/7/16 https://www.cato.org/publications/policy-analysis/five-myths-about-economic-inequality-america) GG</w:t>
      </w:r>
    </w:p>
    <w:p w:rsidR="00A36A2E" w:rsidRPr="00D61B07" w:rsidRDefault="00A36A2E" w:rsidP="00A36A2E">
      <w:pPr>
        <w:rPr>
          <w:sz w:val="14"/>
        </w:rPr>
      </w:pPr>
      <w:r w:rsidRPr="00D61B07">
        <w:rPr>
          <w:sz w:val="14"/>
        </w:rPr>
        <w:t xml:space="preserve">Most </w:t>
      </w:r>
      <w:r w:rsidRPr="00D61B07">
        <w:rPr>
          <w:rStyle w:val="Emphasis"/>
        </w:rPr>
        <w:t>claims that income inequality is at a record high in the United States</w:t>
      </w:r>
      <w:r w:rsidRPr="00D61B07">
        <w:rPr>
          <w:sz w:val="14"/>
        </w:rPr>
        <w:t xml:space="preserve">, including Piketty’s, </w:t>
      </w:r>
      <w:r w:rsidRPr="00D61B07">
        <w:rPr>
          <w:rStyle w:val="Emphasis"/>
        </w:rPr>
        <w:t>are</w:t>
      </w:r>
      <w:r w:rsidRPr="008C4E84">
        <w:rPr>
          <w:rStyle w:val="StyleUnderline"/>
        </w:rPr>
        <w:t xml:space="preserve"> </w:t>
      </w:r>
      <w:r w:rsidRPr="00D61B07">
        <w:rPr>
          <w:rStyle w:val="Emphasis"/>
        </w:rPr>
        <w:t>based on a measure of “market income,” which does not take into account taxes or transfer payments</w:t>
      </w:r>
      <w:r w:rsidRPr="00D61B07">
        <w:rPr>
          <w:sz w:val="14"/>
        </w:rPr>
        <w:t xml:space="preserve"> (or changes in household size or composition). </w:t>
      </w:r>
      <w:r w:rsidRPr="008C4E84">
        <w:rPr>
          <w:rStyle w:val="StyleUnderline"/>
        </w:rPr>
        <w:t xml:space="preserve">The failure to consider those factors considerably </w:t>
      </w:r>
      <w:r w:rsidRPr="00D61B07">
        <w:rPr>
          <w:rStyle w:val="Emphasis"/>
        </w:rPr>
        <w:t>overstates effective levels of inequality</w:t>
      </w:r>
      <w:r w:rsidRPr="00D61B07">
        <w:rPr>
          <w:sz w:val="14"/>
        </w:rPr>
        <w:t xml:space="preserve">.23 What the pundits, politicians, and others fail to understand is that </w:t>
      </w:r>
      <w:r w:rsidRPr="008C4E84">
        <w:rPr>
          <w:rStyle w:val="StyleUnderline"/>
        </w:rPr>
        <w:t>the U.S. tax and transfer system is already highly redistributive</w:t>
      </w:r>
      <w:r w:rsidRPr="00D61B07">
        <w:rPr>
          <w:sz w:val="14"/>
        </w:rPr>
        <w:t xml:space="preserve">. </w:t>
      </w:r>
      <w:r w:rsidRPr="008C4E84">
        <w:rPr>
          <w:rStyle w:val="StyleUnderline"/>
        </w:rPr>
        <w:t>Taxes are progressive</w:t>
      </w:r>
      <w:r w:rsidRPr="00D61B07">
        <w:rPr>
          <w:sz w:val="14"/>
        </w:rPr>
        <w:t xml:space="preserve">, significantly so. </w:t>
      </w:r>
      <w:r w:rsidRPr="008C4E84">
        <w:rPr>
          <w:rStyle w:val="StyleUnderline"/>
        </w:rPr>
        <w:t>The top 1 percent of tax filers earn 19 percent of U.S. income, but in 2013 they paid 37.8 percent of federal income taxes</w:t>
      </w:r>
      <w:r w:rsidRPr="00D61B07">
        <w:rPr>
          <w:sz w:val="14"/>
        </w:rPr>
        <w:t xml:space="preserve">.24 The inclusion of other taxes (payroll, sales, property, and so on) reduces this disparity, but does not eliminate it: a report from the Congressional Budget Office estimates that the top 1 percent paid 25.4 percent of all federal taxes in 2013, compared to 15 percent of pre-tax income.25 The wealthy pay a disproportionate amount of taxes. At the same time, </w:t>
      </w:r>
      <w:r w:rsidRPr="008C4E84">
        <w:rPr>
          <w:rStyle w:val="StyleUnderline"/>
        </w:rPr>
        <w:t>lower-income earners benefit disproportionately from a variety of wealth transfer programs</w:t>
      </w:r>
      <w:r w:rsidRPr="00D61B07">
        <w:rPr>
          <w:sz w:val="14"/>
        </w:rPr>
        <w:t xml:space="preserve">. </w:t>
      </w:r>
      <w:r w:rsidRPr="008C4E84">
        <w:rPr>
          <w:rStyle w:val="StyleUnderline"/>
        </w:rPr>
        <w:t>The federal government alone</w:t>
      </w:r>
      <w:r w:rsidRPr="00D61B07">
        <w:rPr>
          <w:sz w:val="14"/>
        </w:rPr>
        <w:t xml:space="preserve">, for example, </w:t>
      </w:r>
      <w:r w:rsidRPr="008C4E84">
        <w:rPr>
          <w:rStyle w:val="StyleUnderline"/>
        </w:rPr>
        <w:t>currently funds more than 100 anti-poverty programs, dozens of which provide either cash or in-kind benefits directly to individuals</w:t>
      </w:r>
      <w:r w:rsidRPr="00D61B07">
        <w:rPr>
          <w:sz w:val="14"/>
        </w:rPr>
        <w:t xml:space="preserve">. </w:t>
      </w:r>
      <w:r w:rsidRPr="008C4E84">
        <w:rPr>
          <w:rStyle w:val="StyleUnderline"/>
        </w:rPr>
        <w:t>Federal spending on those programs approached $700 billion</w:t>
      </w:r>
      <w:r w:rsidRPr="00D61B07">
        <w:rPr>
          <w:sz w:val="14"/>
        </w:rPr>
        <w:t xml:space="preserve"> in 2015, and state and local governments added another $300 billion.26 Figure 2 shows the amount of redistribution taking place within the current tax and transfer system. In 2012, individuals in the bottom quintile (that is, the bottom 20 percent) of incomes (families with less than $17,104 in market income) received $27,171 on average in net benefits through all levels of government, while on average those in the top quintile (families with market incomes above $119,695) pay $87,076 more than they receive. The top 1 percent paid some $812,000 more. </w:t>
      </w:r>
      <w:r w:rsidRPr="00D61B07">
        <w:rPr>
          <w:rStyle w:val="Emphasis"/>
        </w:rPr>
        <w:t>Taking this existing redistribution into account significantly reduces inequality</w:t>
      </w:r>
      <w:r w:rsidRPr="00D61B07">
        <w:rPr>
          <w:sz w:val="14"/>
        </w:rPr>
        <w:t xml:space="preserve">. According to the CBO, accounting for taxes reduces the amount of inequality in the United States by more than 8 percent, while including transfer payments reduces inequality by slightly more than 18 percent. </w:t>
      </w:r>
      <w:r w:rsidRPr="008C4E84">
        <w:rPr>
          <w:rStyle w:val="StyleUnderline"/>
        </w:rPr>
        <w:t>By fully accounting for redistribution from taxes and transfers</w:t>
      </w:r>
      <w:r w:rsidRPr="00D61B07">
        <w:rPr>
          <w:sz w:val="14"/>
        </w:rPr>
        <w:t xml:space="preserve">, </w:t>
      </w:r>
      <w:r w:rsidRPr="008C4E84">
        <w:rPr>
          <w:rStyle w:val="StyleUnderline"/>
        </w:rPr>
        <w:t>true inequality is almost 26 percent less than it initially appear</w:t>
      </w:r>
      <w:r w:rsidRPr="00D61B07">
        <w:rPr>
          <w:sz w:val="14"/>
        </w:rPr>
        <w:t xml:space="preserve">s. (Figure 3.) A new study from the Brookings Institution reaches similar conclusions. The study, by Jesse Bricker, Alice Henriques, and John Sabelhaus of the Federal Reserve Board and Jacob Krimmel of the University of Pennsylvania, found that </w:t>
      </w:r>
      <w:r w:rsidRPr="008C4E84">
        <w:rPr>
          <w:rStyle w:val="StyleUnderline"/>
        </w:rPr>
        <w:t>while the concentration of wealth and income of the top 1 percent has indeed increased</w:t>
      </w:r>
      <w:r w:rsidRPr="00D61B07">
        <w:rPr>
          <w:sz w:val="14"/>
        </w:rPr>
        <w:t xml:space="preserve"> since 1992</w:t>
      </w:r>
      <w:r w:rsidRPr="008C4E84">
        <w:rPr>
          <w:rStyle w:val="StyleUnderline"/>
        </w:rPr>
        <w:t>, it increased far less than prior research</w:t>
      </w:r>
      <w:r w:rsidRPr="00D61B07">
        <w:rPr>
          <w:sz w:val="14"/>
        </w:rPr>
        <w:t xml:space="preserve">, including Piketty’s, has </w:t>
      </w:r>
      <w:r w:rsidRPr="008C4E84">
        <w:rPr>
          <w:rStyle w:val="StyleUnderline"/>
        </w:rPr>
        <w:t>claimed</w:t>
      </w:r>
      <w:r w:rsidRPr="00D61B07">
        <w:rPr>
          <w:sz w:val="14"/>
        </w:rPr>
        <w:t xml:space="preserve">. </w:t>
      </w:r>
      <w:r w:rsidRPr="008C4E84">
        <w:rPr>
          <w:rStyle w:val="StyleUnderline"/>
        </w:rPr>
        <w:t>By including government transfers and in-kind compensation</w:t>
      </w:r>
      <w:r w:rsidRPr="00D61B07">
        <w:rPr>
          <w:sz w:val="14"/>
        </w:rPr>
        <w:t xml:space="preserve"> in their calculations, </w:t>
      </w:r>
      <w:r w:rsidRPr="008C4E84">
        <w:rPr>
          <w:rStyle w:val="StyleUnderline"/>
        </w:rPr>
        <w:t>the study’s authors found that the share of income earned by the top 1 percent rose from 11 percent in 1991 to 18 percent in 2012, substantially less than, for instance, the 23 percent estimated</w:t>
      </w:r>
      <w:r w:rsidRPr="00D61B07">
        <w:rPr>
          <w:sz w:val="14"/>
        </w:rPr>
        <w:t xml:space="preserve"> by Piketty and his colleague Emmanuel Saez in their updated work on the issue.27 In another study in the American Economic Review, Philip Armour, Richard Burkhauser, and Jeff Larrimore controlled for changes in household composition (that is, adjusting for size and dependency) and transfers (both cash and in-kind), and found that there were significant gains across the income spectrum from 1979 to 2007 and for the period 1989-2007. However, gains at the top were smaller than gains at the bottom, meaning by this measure, inequality actually decreased from 1989 to the Great Recession.28 </w:t>
      </w:r>
      <w:r w:rsidRPr="008C4E84">
        <w:rPr>
          <w:rStyle w:val="StyleUnderline"/>
        </w:rPr>
        <w:t>Given these problems, a better way to measure inequality might be to look at differences in consumption</w:t>
      </w:r>
      <w:r w:rsidRPr="00D61B07">
        <w:rPr>
          <w:sz w:val="14"/>
        </w:rPr>
        <w:t xml:space="preserve"> between income groups. A study by Hassett and Aparna Mathur, also of the American Enterprise Institute, found that the “consumption gap across income groups has remained remarkably stable over time. If you sort households according to their pretax income, in 2010 the bottom fifth accounted for 8.7% of overall consumption, the middle fifth for 17.1%, and the top fifth for about 38.6%. Go back 10 years to 2000—before two recessions, the Bush tax cuts, and continuing expansions of globalization and computerization—and the numbers are similar. The bottom fifth accounted for 8.9% of consumption, the middle fifth for 17.3%, and the top fifth for 37.3%” (Figure 4).29 Although Hassett and Mathur did not specifically look at the top 1 percent of incomes, their study does demonstrate that, </w:t>
      </w:r>
      <w:r w:rsidRPr="008C4E84">
        <w:rPr>
          <w:rStyle w:val="StyleUnderline"/>
        </w:rPr>
        <w:t>even if there have been gains at the top, it has not resulted in adverse consumption effects for those further down the income ladder.</w:t>
      </w:r>
      <w:r>
        <w:rPr>
          <w:rStyle w:val="StyleUnderline"/>
        </w:rPr>
        <w:t xml:space="preserve"> </w:t>
      </w:r>
      <w:r w:rsidRPr="00D61B07">
        <w:rPr>
          <w:sz w:val="14"/>
        </w:rPr>
        <w:t xml:space="preserve">Of course, these different conclusions depend in part on different measures of economic inequality. Piketty and others are more concerned about the disparity in accumulated wealth, the residue of year after year of income. The highest quintile, after all, may be saving their increased wealth rather than spending it. Over time, this can lead to increasing disparity. But even here, </w:t>
      </w:r>
      <w:r w:rsidRPr="008C4E84">
        <w:rPr>
          <w:rStyle w:val="StyleUnderline"/>
        </w:rPr>
        <w:t>the evidence shows that the disparity in wealth distribution has not increased nearly as fast as Piketty and his supporters believe</w:t>
      </w:r>
      <w:r w:rsidRPr="00D61B07">
        <w:rPr>
          <w:sz w:val="14"/>
        </w:rPr>
        <w:t xml:space="preserve">. For example, Bricker and his colleagues also found that the share of total wealth held by the top 1 percent increased from roughly 27 percent to 33 percent over that period, compared to the 42 percent share estimated by Saez and Gabriel Zucman in updated work related to Piketty’s.30 Bricker’s study actually shows a larger increase in wealth disparity than some others. For example, according to research using the Federal Reserve’s Survey of Consumer Finances, the wealthiest 1 percent of Americans held 34.4 percent of the country’s wealth in 1969. By 2013, the last year for which data are available, that proportion had barely risen, to roughly 36 percent.31 Moreover, the recent recession hit the wealthy especially hard. Indeed, the Tax </w:t>
      </w:r>
      <w:r w:rsidRPr="00D61B07">
        <w:rPr>
          <w:sz w:val="14"/>
        </w:rPr>
        <w:lastRenderedPageBreak/>
        <w:t>Foundation has found that from 2007 to 2009 there was a 40 percent decline in the number of tax returns with at least $1 million in earnings. Among the “super-rich</w:t>
      </w:r>
      <w:r w:rsidRPr="008C4E84">
        <w:rPr>
          <w:rStyle w:val="StyleUnderline"/>
        </w:rPr>
        <w:t>,” the decline was even sharper: the number of tax returns reporting more than $10 million in earnings fell by 54 percen</w:t>
      </w:r>
      <w:r w:rsidRPr="00D61B07">
        <w:rPr>
          <w:sz w:val="14"/>
        </w:rPr>
        <w:t xml:space="preserve">t.32 In fact, while in 2006 the top 1 percent earned almost 20 percent of all income in America, that figure declined to just over 15 percent in 2009.33 </w:t>
      </w:r>
      <w:r w:rsidRPr="008C4E84">
        <w:rPr>
          <w:rStyle w:val="StyleUnderline"/>
        </w:rPr>
        <w:t xml:space="preserve">Such volatility reflects the greater exposure that the wealthy face to risks associated with investment income. The stock market, for example, declined sharply </w:t>
      </w:r>
      <w:r w:rsidRPr="00D61B07">
        <w:rPr>
          <w:sz w:val="14"/>
        </w:rPr>
        <w:t>during the recession,</w:t>
      </w:r>
      <w:r w:rsidRPr="008C4E84">
        <w:rPr>
          <w:rStyle w:val="StyleUnderline"/>
        </w:rPr>
        <w:t xml:space="preserve"> as did, obviously</w:t>
      </w:r>
      <w:r w:rsidRPr="00D61B07">
        <w:rPr>
          <w:sz w:val="14"/>
        </w:rPr>
        <w:t>, the value of</w:t>
      </w:r>
      <w:r w:rsidRPr="008C4E84">
        <w:rPr>
          <w:rStyle w:val="StyleUnderline"/>
        </w:rPr>
        <w:t xml:space="preserve"> real estate</w:t>
      </w:r>
      <w:r w:rsidRPr="00D61B07">
        <w:rPr>
          <w:sz w:val="14"/>
        </w:rPr>
        <w:t>.</w:t>
      </w:r>
      <w:r w:rsidRPr="008C4E84">
        <w:rPr>
          <w:rStyle w:val="StyleUnderline"/>
        </w:rPr>
        <w:t xml:space="preserve"> If inequality is your big concern, you should have been delighted by the recession. Inequality declined.</w:t>
      </w:r>
      <w:r w:rsidRPr="00D61B07">
        <w:rPr>
          <w:sz w:val="14"/>
        </w:rPr>
        <w:t xml:space="preserve"> </w:t>
      </w:r>
      <w:r w:rsidRPr="008C4E84">
        <w:rPr>
          <w:rStyle w:val="Emphasis"/>
        </w:rPr>
        <w:t>It appears, then, that inequality may not be as big a problem as commonly portrayed. After considering taxes, transfers, and other factors, the gap between rich and poor is neither as large nor growing as rapidly as</w:t>
      </w:r>
      <w:r w:rsidRPr="00D61B07">
        <w:rPr>
          <w:sz w:val="14"/>
        </w:rPr>
        <w:t xml:space="preserve"> Piketty and </w:t>
      </w:r>
      <w:r w:rsidRPr="008C4E84">
        <w:rPr>
          <w:rStyle w:val="Emphasis"/>
        </w:rPr>
        <w:t>others have alleged</w:t>
      </w:r>
      <w:r w:rsidRPr="00D61B07">
        <w:rPr>
          <w:sz w:val="14"/>
        </w:rPr>
        <w:t>. But even if it were, the question arises as to why that should be condemned. Why is inequality ipso facto bad?</w:t>
      </w:r>
    </w:p>
    <w:p w:rsidR="00A36A2E" w:rsidRDefault="00A36A2E" w:rsidP="00A36A2E"/>
    <w:p w:rsidR="00A36A2E" w:rsidRDefault="00A36A2E" w:rsidP="00A36A2E">
      <w:pPr>
        <w:pStyle w:val="Heading4"/>
      </w:pPr>
      <w:r>
        <w:t>Even if there’s inequality, it doesn’t correlate with poverty or lower living conditions</w:t>
      </w:r>
    </w:p>
    <w:p w:rsidR="00A36A2E" w:rsidRPr="00D61B07" w:rsidRDefault="00A36A2E" w:rsidP="00A36A2E">
      <w:pPr>
        <w:rPr>
          <w:b/>
          <w:bCs/>
          <w:sz w:val="26"/>
        </w:rPr>
      </w:pPr>
      <w:r>
        <w:rPr>
          <w:rStyle w:val="Style13ptBold"/>
        </w:rPr>
        <w:t xml:space="preserve">Tanner 16 </w:t>
      </w:r>
      <w:r w:rsidRPr="00D61B07">
        <w:t>(Michael D. Tanner, Cato Institute senior fellow, “Five Myths about Economic Inequality in America” 9/7/16 https://www.cato.org/publications/policy-analysis/five-myths-about-economic-inequality-america) GG</w:t>
      </w:r>
    </w:p>
    <w:p w:rsidR="00A36A2E" w:rsidRPr="00AC56B8" w:rsidRDefault="00A36A2E" w:rsidP="00A36A2E">
      <w:pPr>
        <w:rPr>
          <w:sz w:val="14"/>
        </w:rPr>
      </w:pPr>
      <w:r w:rsidRPr="00D61B07">
        <w:rPr>
          <w:rStyle w:val="StyleUnderline"/>
        </w:rPr>
        <w:t>Perhaps the reason that there is so much concern over economic inequality is that we instinctively associate it with poverty</w:t>
      </w:r>
      <w:r w:rsidRPr="00AC56B8">
        <w:rPr>
          <w:sz w:val="14"/>
        </w:rPr>
        <w:t xml:space="preserve">. After all, poverty is the flip side of wealth. And, despite across-the-board gains in standards of living, too many Americans remain poor (at least by conventional measures). Slightly less than 15 percent of Americans lived in poverty in 2014, including 16 percent of women, 26.2 percent of African-Americans, and 21.1 percent of children.61 </w:t>
      </w:r>
      <w:r w:rsidRPr="00D61B07">
        <w:rPr>
          <w:rStyle w:val="StyleUnderline"/>
        </w:rPr>
        <w:t>But, it is important to note that poverty and inequality are not the same thing.</w:t>
      </w:r>
      <w:r w:rsidRPr="00AC56B8">
        <w:rPr>
          <w:sz w:val="14"/>
        </w:rPr>
        <w:t xml:space="preserve"> Indeed, if we were to double everyone’s income tomorrow, we would do much to reduce poverty, but the gap between rich and poor would grow larger. Would this be a bad thing? </w:t>
      </w:r>
      <w:r w:rsidRPr="00D61B07">
        <w:rPr>
          <w:rStyle w:val="StyleUnderline"/>
        </w:rPr>
        <w:t>There is little demonstrable relationship between inequality and poverty. Poverty rates have sometimes risen during periods of relatively stable levels of inequality and declined during times of rising inequality.</w:t>
      </w:r>
      <w:r w:rsidRPr="00AC56B8">
        <w:rPr>
          <w:sz w:val="14"/>
        </w:rPr>
        <w:t xml:space="preserve"> The idea that gains by one person necessarily mean losses by another reflects a zero-sum view of the economy that is simply untethered to history or economics. </w:t>
      </w:r>
      <w:r w:rsidRPr="00D61B07">
        <w:rPr>
          <w:rStyle w:val="StyleUnderline"/>
        </w:rPr>
        <w:t>The economy is not fixed in size, with the only question being one of distribution. Rather, the entire pie can grow, with more resources available to all.</w:t>
      </w:r>
      <w:r>
        <w:rPr>
          <w:rStyle w:val="StyleUnderline"/>
        </w:rPr>
        <w:t xml:space="preserve"> </w:t>
      </w:r>
      <w:r w:rsidRPr="00D61B07">
        <w:rPr>
          <w:rStyle w:val="StyleUnderline"/>
        </w:rPr>
        <w:t>Comparing the Gini coefficient</w:t>
      </w:r>
      <w:r w:rsidRPr="00AC56B8">
        <w:rPr>
          <w:sz w:val="14"/>
        </w:rPr>
        <w:t xml:space="preserve">, the official poverty measure, </w:t>
      </w:r>
      <w:r w:rsidRPr="00D61B07">
        <w:rPr>
          <w:rStyle w:val="StyleUnderline"/>
        </w:rPr>
        <w:t>and two additional poverty measures</w:t>
      </w:r>
      <w:r w:rsidRPr="00AC56B8">
        <w:rPr>
          <w:sz w:val="14"/>
        </w:rPr>
        <w:t xml:space="preserve"> (one based on income and accounting for taxes and transfers, and one based on consumption) developed by economists Bruce D. Meyer of the University of Chicago and James X. Sullivan of Notre Dame </w:t>
      </w:r>
      <w:r w:rsidRPr="00D61B07">
        <w:rPr>
          <w:rStyle w:val="StyleUnderline"/>
        </w:rPr>
        <w:t>reveals no clear relationship between poverty and inequality</w:t>
      </w:r>
      <w:r w:rsidRPr="00AC56B8">
        <w:rPr>
          <w:sz w:val="14"/>
        </w:rPr>
        <w:t xml:space="preserve"> (Figure 9).62 </w:t>
      </w:r>
      <w:r w:rsidRPr="00D61B07">
        <w:rPr>
          <w:rStyle w:val="StyleUnderline"/>
        </w:rPr>
        <w:t>While the Gini coefficient has increased</w:t>
      </w:r>
      <w:r w:rsidRPr="00AC56B8">
        <w:rPr>
          <w:sz w:val="14"/>
        </w:rPr>
        <w:t xml:space="preserve"> almost without interruption, </w:t>
      </w:r>
      <w:r w:rsidRPr="00D61B07">
        <w:rPr>
          <w:rStyle w:val="StyleUnderline"/>
        </w:rPr>
        <w:t>the official poverty rate has fluctuated</w:t>
      </w:r>
      <w:r w:rsidRPr="00AC56B8">
        <w:rPr>
          <w:sz w:val="14"/>
        </w:rPr>
        <w:t xml:space="preserve"> mostly in the 13-15 percent range and the two measures from Meyer and Sullivan have both decreased markedly since 1980.63 Again, the mid-1990s was an interesting period because the inequality was markedly higher than previously, but both the supplemental poverty measure (SPM) and the official rate saw significant decreases. </w:t>
      </w:r>
      <w:r w:rsidRPr="00D61B07">
        <w:rPr>
          <w:rStyle w:val="StyleUnderline"/>
        </w:rPr>
        <w:t>Comparison with the consumption-based poverty measure is especially interesting, with poverty showing a substantial decline despite rising inequality</w:t>
      </w:r>
      <w:r w:rsidRPr="00AC56B8">
        <w:rPr>
          <w:sz w:val="14"/>
        </w:rPr>
        <w:t xml:space="preserve">. Since many </w:t>
      </w:r>
      <w:r w:rsidRPr="00D61B07">
        <w:rPr>
          <w:rStyle w:val="StyleUnderline"/>
        </w:rPr>
        <w:t>observers believe</w:t>
      </w:r>
      <w:r w:rsidRPr="00AC56B8">
        <w:rPr>
          <w:sz w:val="14"/>
        </w:rPr>
        <w:t xml:space="preserve"> that </w:t>
      </w:r>
      <w:r w:rsidRPr="00D61B07">
        <w:rPr>
          <w:rStyle w:val="StyleUnderline"/>
        </w:rPr>
        <w:t>consumption is the best measure of the poor’s actual standard of living</w:t>
      </w:r>
      <w:r w:rsidRPr="00AC56B8">
        <w:rPr>
          <w:sz w:val="14"/>
        </w:rPr>
        <w:t xml:space="preserve">, </w:t>
      </w:r>
      <w:r w:rsidRPr="00D61B07">
        <w:rPr>
          <w:rStyle w:val="StyleUnderline"/>
        </w:rPr>
        <w:t>this suggests</w:t>
      </w:r>
      <w:r w:rsidRPr="00AC56B8">
        <w:rPr>
          <w:sz w:val="14"/>
        </w:rPr>
        <w:t xml:space="preserve"> that </w:t>
      </w:r>
      <w:r w:rsidRPr="00D61B07">
        <w:rPr>
          <w:rStyle w:val="StyleUnderline"/>
        </w:rPr>
        <w:t xml:space="preserve">not only does rising inequality not correlate with greater poverty, but a rising tide may truly lift all boats. </w:t>
      </w:r>
      <w:r w:rsidRPr="00AC56B8">
        <w:rPr>
          <w:sz w:val="14"/>
        </w:rPr>
        <w:t xml:space="preserve">That is, those same economic factors that make it possible for the rich to become rich may make life better for the poor as well. One can see similar results from comparing the poverty rate to the share of after-tax income earned by the wealthiest 1 percent. There is no discernable correlation (Figure 10).64 The relationship between poverty and inequality remains unclear, in part because the number of confounding variables and broader societal changes make any kind of determination difficult. But what research there is generally finds that poverty cannot be tied to inequality. For instance, a recent paper by Dierdre Bloome of Harvard finds “little evidence of a relationship between individuals’ economic mobility and the income inequality they experienced when growing up… . Over a twenty year period in which income inequality rose continuously, the intergenerational income elasticity showed no consistent trend.” While most studies examine these trends at the national level, she delves into state-level variation in inequality and social mobility. Again, she finds no evidence of a relationship, as “the inequality to which children were exposed in their state when growing up provides no information about the mobility they experienced as adults.”65 </w:t>
      </w:r>
      <w:r w:rsidRPr="00D61B07">
        <w:rPr>
          <w:rStyle w:val="StyleUnderline"/>
        </w:rPr>
        <w:t>We should also note that international experience parallels the United States. Using World Bank data</w:t>
      </w:r>
      <w:r w:rsidRPr="00AC56B8">
        <w:rPr>
          <w:sz w:val="14"/>
        </w:rPr>
        <w:t xml:space="preserve">, which puts the Gini coefficient on a scale of 100, </w:t>
      </w:r>
      <w:r w:rsidRPr="00D61B07">
        <w:rPr>
          <w:rStyle w:val="StyleUnderline"/>
        </w:rPr>
        <w:t>we can see that there are multiple countries where this has been the case recently</w:t>
      </w:r>
      <w:r w:rsidRPr="00AC56B8">
        <w:rPr>
          <w:sz w:val="14"/>
        </w:rPr>
        <w:t xml:space="preserve">.66 For example, </w:t>
      </w:r>
      <w:r w:rsidRPr="00D61B07">
        <w:rPr>
          <w:rStyle w:val="StyleUnderline"/>
        </w:rPr>
        <w:t>China had a Gini coefficient of 32.43</w:t>
      </w:r>
      <w:r w:rsidRPr="00AC56B8">
        <w:rPr>
          <w:sz w:val="14"/>
        </w:rPr>
        <w:t xml:space="preserve"> in 1990 </w:t>
      </w:r>
      <w:r w:rsidRPr="00D61B07">
        <w:rPr>
          <w:rStyle w:val="StyleUnderline"/>
        </w:rPr>
        <w:t>and it rose</w:t>
      </w:r>
      <w:r w:rsidRPr="00AC56B8">
        <w:rPr>
          <w:sz w:val="14"/>
        </w:rPr>
        <w:t xml:space="preserve"> to 42.06 in 2009, mean</w:t>
      </w:r>
      <w:r w:rsidRPr="00D61B07">
        <w:rPr>
          <w:rStyle w:val="StyleUnderline"/>
        </w:rPr>
        <w:t xml:space="preserve">ing China became much more unequal. At the same time, the proportion of the population living below $1.25 a day </w:t>
      </w:r>
      <w:r w:rsidRPr="00AC56B8">
        <w:rPr>
          <w:sz w:val="14"/>
        </w:rPr>
        <w:lastRenderedPageBreak/>
        <w:t>(</w:t>
      </w:r>
      <w:r w:rsidRPr="00D61B07">
        <w:rPr>
          <w:rStyle w:val="StyleUnderline"/>
        </w:rPr>
        <w:t>adjusted for</w:t>
      </w:r>
      <w:r w:rsidRPr="00AC56B8">
        <w:rPr>
          <w:sz w:val="14"/>
        </w:rPr>
        <w:t xml:space="preserve"> </w:t>
      </w:r>
      <w:r w:rsidRPr="00D61B07">
        <w:rPr>
          <w:rStyle w:val="StyleUnderline"/>
        </w:rPr>
        <w:t>p</w:t>
      </w:r>
      <w:r w:rsidRPr="00AC56B8">
        <w:rPr>
          <w:sz w:val="14"/>
        </w:rPr>
        <w:t xml:space="preserve">urchasing </w:t>
      </w:r>
      <w:r w:rsidRPr="00D61B07">
        <w:rPr>
          <w:rStyle w:val="StyleUnderline"/>
        </w:rPr>
        <w:t>p</w:t>
      </w:r>
      <w:r w:rsidRPr="00AC56B8">
        <w:rPr>
          <w:sz w:val="14"/>
        </w:rPr>
        <w:t xml:space="preserve">ower </w:t>
      </w:r>
      <w:r w:rsidRPr="00D61B07">
        <w:rPr>
          <w:rStyle w:val="StyleUnderline"/>
        </w:rPr>
        <w:t>p</w:t>
      </w:r>
      <w:r w:rsidRPr="00AC56B8">
        <w:rPr>
          <w:sz w:val="14"/>
        </w:rPr>
        <w:t xml:space="preserve">arity), the measure usually used for international poverty lines, </w:t>
      </w:r>
      <w:r w:rsidRPr="00D61B07">
        <w:rPr>
          <w:rStyle w:val="StyleUnderline"/>
        </w:rPr>
        <w:t>fell</w:t>
      </w:r>
      <w:r w:rsidRPr="00AC56B8">
        <w:rPr>
          <w:sz w:val="14"/>
        </w:rPr>
        <w:t xml:space="preserve"> from 60.18 percent in 1990 to only 11.8 percent in 2009. Moreover, in discussing poverty and inequality, we should keep in mind that </w:t>
      </w:r>
      <w:r w:rsidRPr="00D61B07">
        <w:rPr>
          <w:rStyle w:val="StyleUnderline"/>
        </w:rPr>
        <w:t>while the official poverty rate in the United States has been relatively stable</w:t>
      </w:r>
      <w:r w:rsidRPr="00AC56B8">
        <w:rPr>
          <w:sz w:val="14"/>
        </w:rPr>
        <w:t xml:space="preserve"> since the mid-1970s, </w:t>
      </w:r>
      <w:r w:rsidRPr="00D61B07">
        <w:rPr>
          <w:rStyle w:val="StyleUnderline"/>
        </w:rPr>
        <w:t>the sort of deep poverty that was once common among poor Americans has been largely eliminated despite whatever increase in inequality has occurred</w:t>
      </w:r>
      <w:r w:rsidRPr="00AC56B8">
        <w:rPr>
          <w:sz w:val="14"/>
        </w:rPr>
        <w:t xml:space="preserve"> over the last 50 years. Take hunger, for example. In the 1960s, as much as a fifth of the U.S. population and more than a third of poor people had diets that did not meet the Recommended Dietary Allowance for key nutrients. Conditions in 266 U.S. counties were so bad that they were officially designated as “hunger areas.”67 Today, malnutrition has been significantly reduced. According to the U.S. Department of Agriculture, just 5.6 percent of U.S. households had “very low food security” in 2013, a category roughly comparable to the 1960s measurements.68 Even among people below the poverty level, only 18.5 percent report very low food security.69 </w:t>
      </w:r>
      <w:r w:rsidRPr="00D61B07">
        <w:rPr>
          <w:rStyle w:val="StyleUnderline"/>
        </w:rPr>
        <w:t>Housing provides another example. As recently</w:t>
      </w:r>
      <w:r w:rsidRPr="00AC56B8">
        <w:rPr>
          <w:sz w:val="14"/>
        </w:rPr>
        <w:t xml:space="preserve"> as 1975, </w:t>
      </w:r>
      <w:r w:rsidRPr="00D61B07">
        <w:rPr>
          <w:rStyle w:val="StyleUnderline"/>
        </w:rPr>
        <w:t>more than 2.8 million renter households</w:t>
      </w:r>
      <w:r w:rsidRPr="00AC56B8">
        <w:rPr>
          <w:sz w:val="14"/>
        </w:rPr>
        <w:t xml:space="preserve"> (roughly 11 percent of renter households and 4 percent of all households) </w:t>
      </w:r>
      <w:r w:rsidRPr="00D61B07">
        <w:rPr>
          <w:rStyle w:val="StyleUnderline"/>
        </w:rPr>
        <w:t>lived in what was considered “severely inadequate” housing</w:t>
      </w:r>
      <w:r w:rsidRPr="00AC56B8">
        <w:rPr>
          <w:sz w:val="14"/>
        </w:rPr>
        <w:t xml:space="preserve">, defined as “units with physical defects or faulty plumbing, electricity, or heating.” Today that number is down to roughly 1.2 million renter households (1 percent of all households).70 </w:t>
      </w:r>
      <w:r w:rsidRPr="00D61B07">
        <w:rPr>
          <w:rStyle w:val="StyleUnderline"/>
        </w:rPr>
        <w:t>In 1970, fully 17.5 percent of households did not have fully functioning plumbing; today, just 2 percent do not.71</w:t>
      </w:r>
      <w:r>
        <w:rPr>
          <w:rStyle w:val="StyleUnderline"/>
        </w:rPr>
        <w:t xml:space="preserve"> </w:t>
      </w:r>
      <w:r w:rsidRPr="00AC56B8">
        <w:rPr>
          <w:sz w:val="14"/>
        </w:rPr>
        <w:t xml:space="preserve">And </w:t>
      </w:r>
      <w:r w:rsidRPr="00D61B07">
        <w:rPr>
          <w:rStyle w:val="StyleUnderline"/>
        </w:rPr>
        <w:t>if you look at material goods, the case is even starker</w:t>
      </w:r>
      <w:r w:rsidRPr="00AC56B8">
        <w:rPr>
          <w:sz w:val="14"/>
        </w:rPr>
        <w:t xml:space="preserve">. In the 1960s, for instance, </w:t>
      </w:r>
      <w:r w:rsidRPr="00D61B07">
        <w:rPr>
          <w:rStyle w:val="StyleUnderline"/>
        </w:rPr>
        <w:t>nearly a third of poor households had no telephone. Today, not only are telephones nearly universal, but roughly half of poor households own a computer</w:t>
      </w:r>
      <w:r w:rsidRPr="00AC56B8">
        <w:rPr>
          <w:sz w:val="14"/>
        </w:rPr>
        <w:t xml:space="preserve">. More than 98 percent have a television, and two-thirds have two or more TVs. In 1970, less than half of all poor people had a car; today, two-thirds do.72 </w:t>
      </w:r>
      <w:r w:rsidRPr="00D61B07">
        <w:rPr>
          <w:rStyle w:val="StyleUnderline"/>
        </w:rPr>
        <w:t>Clearly, the material circumstances of poor families have improved significantly despite any possible increase in inequality.</w:t>
      </w:r>
      <w:r>
        <w:rPr>
          <w:rStyle w:val="StyleUnderline"/>
        </w:rPr>
        <w:t xml:space="preserve"> </w:t>
      </w:r>
      <w:r w:rsidRPr="00AC56B8">
        <w:rPr>
          <w:sz w:val="14"/>
        </w:rPr>
        <w:t xml:space="preserve">Not only do more people across the income distribution have access to more of these things, but </w:t>
      </w:r>
      <w:r w:rsidRPr="00D61B07">
        <w:rPr>
          <w:rStyle w:val="StyleUnderline"/>
        </w:rPr>
        <w:t>adoption of new technologies and products is speeding up</w:t>
      </w:r>
      <w:r w:rsidRPr="00AC56B8">
        <w:rPr>
          <w:sz w:val="14"/>
        </w:rPr>
        <w:t xml:space="preserve">. Whereas it took decades for the telephone and electricity to make their way into the majority of American homes, new products, such as the cellphone and Internet, have a much faster adoption rate, as indicated in </w:t>
      </w:r>
      <w:r w:rsidRPr="00D61B07">
        <w:rPr>
          <w:rStyle w:val="StyleUnderline"/>
        </w:rPr>
        <w:t>Thus, even as inequality,</w:t>
      </w:r>
      <w:r w:rsidRPr="00AC56B8">
        <w:rPr>
          <w:sz w:val="14"/>
        </w:rPr>
        <w:t xml:space="preserve"> as measured by Piketty and others, </w:t>
      </w:r>
      <w:r w:rsidRPr="00D61B07">
        <w:rPr>
          <w:rStyle w:val="StyleUnderline"/>
        </w:rPr>
        <w:t>has risen</w:t>
      </w:r>
      <w:r w:rsidRPr="00AC56B8">
        <w:rPr>
          <w:sz w:val="14"/>
        </w:rPr>
        <w:t xml:space="preserve">, </w:t>
      </w:r>
      <w:r w:rsidRPr="00D61B07">
        <w:rPr>
          <w:rStyle w:val="StyleUnderline"/>
        </w:rPr>
        <w:t>people at the bottom of the income scale have better standards of living</w:t>
      </w:r>
      <w:r w:rsidRPr="00AC56B8">
        <w:rPr>
          <w:sz w:val="14"/>
        </w:rPr>
        <w:t xml:space="preserve">. </w:t>
      </w:r>
      <w:r w:rsidRPr="00D61B07">
        <w:rPr>
          <w:rStyle w:val="StyleUnderline"/>
        </w:rPr>
        <w:t>It becomes an open question</w:t>
      </w:r>
      <w:r w:rsidRPr="00AC56B8">
        <w:rPr>
          <w:sz w:val="14"/>
        </w:rPr>
        <w:t xml:space="preserve">, therefore, </w:t>
      </w:r>
      <w:r w:rsidRPr="00D61B07">
        <w:rPr>
          <w:rStyle w:val="StyleUnderline"/>
        </w:rPr>
        <w:t>whether inequality matters as long as everyone is becoming better off</w:t>
      </w:r>
      <w:r w:rsidRPr="00AC56B8">
        <w:rPr>
          <w:sz w:val="14"/>
        </w:rPr>
        <w:t>. In other words, if the poor are richer, do we care if the rich are even richer?</w:t>
      </w:r>
    </w:p>
    <w:p w:rsidR="00A36A2E" w:rsidRDefault="00A36A2E" w:rsidP="00A36A2E"/>
    <w:p w:rsidR="00A36A2E" w:rsidRPr="00D61B07" w:rsidRDefault="00A36A2E" w:rsidP="00A36A2E"/>
    <w:p w:rsidR="00A36A2E" w:rsidRDefault="00A36A2E" w:rsidP="00A36A2E">
      <w:pPr>
        <w:pStyle w:val="Heading3"/>
      </w:pPr>
      <w:r>
        <w:lastRenderedPageBreak/>
        <w:t>Education Fails</w:t>
      </w:r>
    </w:p>
    <w:p w:rsidR="00A36A2E" w:rsidRDefault="00A36A2E" w:rsidP="00A36A2E">
      <w:pPr>
        <w:pStyle w:val="Heading4"/>
      </w:pPr>
      <w:r>
        <w:t xml:space="preserve">Education can’t solve economic inequality </w:t>
      </w:r>
    </w:p>
    <w:p w:rsidR="00A36A2E" w:rsidRPr="007D6594" w:rsidRDefault="00A36A2E" w:rsidP="00A36A2E">
      <w:pPr>
        <w:rPr>
          <w:rStyle w:val="Style13ptBold"/>
        </w:rPr>
      </w:pPr>
      <w:r>
        <w:rPr>
          <w:rStyle w:val="Style13ptBold"/>
        </w:rPr>
        <w:t xml:space="preserve">Irwin 15 </w:t>
      </w:r>
      <w:r w:rsidRPr="007D6594">
        <w:t>(Neil Irwin, New York Times, “Why More Education Won’t Fix Economic Equality” 3/31/15, Neil Irwin is a senior economics correspondent for The New York Times, https://www.nytimes.com/2015/04/01/upshot/why-more-education-wont-fix-economic-inequality.html) GG</w:t>
      </w:r>
    </w:p>
    <w:p w:rsidR="00A36A2E" w:rsidRDefault="00A36A2E" w:rsidP="00A36A2E">
      <w:pPr>
        <w:rPr>
          <w:rStyle w:val="StyleUnderline"/>
        </w:rPr>
      </w:pPr>
      <w:r w:rsidRPr="007D6594">
        <w:rPr>
          <w:rStyle w:val="StyleUnderline"/>
        </w:rPr>
        <w:t>Suppose you accept the persuasive data that inequality has been rising in the United States</w:t>
      </w:r>
      <w:r w:rsidRPr="007D6594">
        <w:rPr>
          <w:sz w:val="14"/>
        </w:rPr>
        <w:t xml:space="preserve"> and most advanced nations in recent decades. But suppose you don't want to fight inequality through politically polarizing steps like higher taxes on the wealthy or a more generous social welfare system. </w:t>
      </w:r>
      <w:r w:rsidRPr="007D6594">
        <w:rPr>
          <w:rStyle w:val="StyleUnderline"/>
        </w:rPr>
        <w:t>There remains a plausible solution</w:t>
      </w:r>
      <w:r w:rsidRPr="007D6594">
        <w:rPr>
          <w:sz w:val="14"/>
        </w:rPr>
        <w:t xml:space="preserve"> to rising inequality that avoids those polarizing ideas: </w:t>
      </w:r>
      <w:r w:rsidRPr="007D6594">
        <w:rPr>
          <w:rStyle w:val="StyleUnderline"/>
        </w:rPr>
        <w:t>strengthening education</w:t>
      </w:r>
      <w:r w:rsidRPr="007D6594">
        <w:rPr>
          <w:sz w:val="14"/>
        </w:rPr>
        <w:t xml:space="preserve"> so that more Americans can benefit from the advances of the 21st-century economy. This is a solution that conservatives, centrists and liberals alike can comfortably get behind. After all, who doesn't favor a stronger educational system? </w:t>
      </w:r>
      <w:r w:rsidRPr="007D6594">
        <w:rPr>
          <w:rStyle w:val="StyleUnderline"/>
        </w:rPr>
        <w:t>But</w:t>
      </w:r>
      <w:r w:rsidRPr="007D6594">
        <w:rPr>
          <w:sz w:val="14"/>
        </w:rPr>
        <w:t xml:space="preserve"> a new paper shows why </w:t>
      </w:r>
      <w:r w:rsidRPr="007D6594">
        <w:rPr>
          <w:rStyle w:val="Emphasis"/>
        </w:rPr>
        <w:t>the math just doesn't add up</w:t>
      </w:r>
      <w:r w:rsidRPr="007D6594">
        <w:rPr>
          <w:sz w:val="14"/>
        </w:rPr>
        <w:t xml:space="preserve">, </w:t>
      </w:r>
      <w:r w:rsidRPr="007D6594">
        <w:rPr>
          <w:rStyle w:val="StyleUnderline"/>
        </w:rPr>
        <w:t>at least if the goal is addressing the gap</w:t>
      </w:r>
      <w:r w:rsidRPr="007D6594">
        <w:rPr>
          <w:sz w:val="14"/>
        </w:rPr>
        <w:t xml:space="preserve"> between the very rich and everyone else. Brad Hershbein. Melissa Kearney and Lawrence Summers offer a simple little simulation that shows the limits of education as an inequality-fighter. In short, </w:t>
      </w:r>
      <w:r w:rsidRPr="007D6594">
        <w:rPr>
          <w:rStyle w:val="StyleUnderline"/>
        </w:rPr>
        <w:t xml:space="preserve">more education would be great news for middle and lower-income Americans, </w:t>
      </w:r>
      <w:r w:rsidRPr="007D6594">
        <w:rPr>
          <w:sz w:val="14"/>
        </w:rPr>
        <w:t>increasing their pay and economic security.</w:t>
      </w:r>
      <w:r w:rsidRPr="007D6594">
        <w:rPr>
          <w:rStyle w:val="StyleUnderline"/>
        </w:rPr>
        <w:t xml:space="preserve"> It just isn't up to the task of meaningfully reducing inequality,</w:t>
      </w:r>
      <w:r w:rsidRPr="007D6594">
        <w:rPr>
          <w:sz w:val="14"/>
        </w:rPr>
        <w:t xml:space="preserve"> </w:t>
      </w:r>
      <w:r w:rsidRPr="007D6594">
        <w:rPr>
          <w:rStyle w:val="StyleUnderline"/>
        </w:rPr>
        <w:t>which is being driven by the sharp upward movement of the very top of the income distribution</w:t>
      </w:r>
      <w:r w:rsidRPr="007D6594">
        <w:rPr>
          <w:sz w:val="14"/>
        </w:rPr>
        <w:t xml:space="preserve">. It is all the more interesting that the research comes from Mr. Summers, a former Treasury secretary who is hardly known as a soak-the-rich class warrior. It is published by the Hamilton Project, a centrist research group operating with Wall Street funding and seeking to find third-way-style solutions to America's problems that can unite left and right. In their simulation, </w:t>
      </w:r>
      <w:r w:rsidRPr="007D6594">
        <w:rPr>
          <w:rStyle w:val="StyleUnderline"/>
        </w:rPr>
        <w:t>they assume that 10 percent of non-college-educated men of prime working age suddenly obtained a college degree or higher,</w:t>
      </w:r>
      <w:r w:rsidRPr="007D6594">
        <w:rPr>
          <w:sz w:val="14"/>
        </w:rPr>
        <w:t xml:space="preserve"> which would be an unprecedented rise in the proportion of the work force with advanced education. </w:t>
      </w:r>
      <w:r w:rsidRPr="007D6594">
        <w:rPr>
          <w:rStyle w:val="StyleUnderline"/>
        </w:rPr>
        <w:t>They assume that these more educated men go from their current pay levels to pay that is in line with current college graduates, minus an adjustment for the fact that more college grads in the work force could depress their wages a bit</w:t>
      </w:r>
      <w:r w:rsidRPr="007D6594">
        <w:rPr>
          <w:sz w:val="14"/>
        </w:rPr>
        <w:t xml:space="preserve">. There is no doubt that in this simulated world with a more educated labor force, middle-income workers earn more — S37.060 in simulated 2013 earnings for a person at the 50th percentile, compared with 834,000 in the real world, a 9 percent improvement. </w:t>
      </w:r>
      <w:r w:rsidRPr="007D6594">
        <w:rPr>
          <w:rStyle w:val="StyleUnderline"/>
        </w:rPr>
        <w:t>But that improvement brings that 50th-percentile worker only back closer to the inflation-adjusted level of income he enjoyed in 1979</w:t>
      </w:r>
      <w:r w:rsidRPr="007D6594">
        <w:rPr>
          <w:sz w:val="14"/>
        </w:rPr>
        <w:t xml:space="preserve">. which was 537.838. Meanwhile, the 9oth-percentile worker in this simulation holds onto (and indeed improves upon) the sharp income gains of the past 34 years. Annual earnings at the 90th percentile climbed from 875,700 in 1979 to more than 1oo.ooo in both the actual 2013 data and the simulation with higher education levels. </w:t>
      </w:r>
      <w:r w:rsidRPr="007D6594">
        <w:rPr>
          <w:rStyle w:val="StyleUnderline"/>
        </w:rPr>
        <w:t xml:space="preserve">Add it all up, and the Gini ratio, a frequently used measure of income </w:t>
      </w:r>
      <w:r w:rsidRPr="007D6594">
        <w:rPr>
          <w:rStyle w:val="Emphasis"/>
        </w:rPr>
        <w:t>inequality, would decrease only to 0.55 from 0.57 in this scenario of drastic educational improvement</w:t>
      </w:r>
      <w:r w:rsidRPr="007D6594">
        <w:rPr>
          <w:sz w:val="14"/>
        </w:rPr>
        <w:t xml:space="preserve">. It would still be far higher than the 0.43 recorded in 1979. None of this is to say that a better educational system isn't desirable. The 9 percent income gain for middle-income men evident in the authors' simulation is a big deal. "Increasing the educational attainment of men without a college degree will increase their average earnings and their likelihood of being employed," the authors write. And even if it doesn't do much to reduce overall inequality, they find it does reduce inequality within the bottom half of the income distribution, by increasing the earnings of those near the 25th percentile of earnings (in 2013, those making S6.100 a year, compared with $8,720 in the simulation with higher education). In other words, it's worth pursuing more and better education for working- class Americans on its own terms, because it will improve their lives and economic potential. </w:t>
      </w:r>
      <w:r w:rsidRPr="007D6594">
        <w:rPr>
          <w:rStyle w:val="StyleUnderline"/>
        </w:rPr>
        <w:t>Inequality</w:t>
      </w:r>
      <w:r w:rsidRPr="007D6594">
        <w:rPr>
          <w:sz w:val="14"/>
        </w:rPr>
        <w:t xml:space="preserve">, meanwhile, </w:t>
      </w:r>
      <w:r w:rsidRPr="007D6594">
        <w:rPr>
          <w:rStyle w:val="StyleUnderline"/>
        </w:rPr>
        <w:t>is a deeper problem, and its potential solutions remain ideologically divisive.</w:t>
      </w:r>
    </w:p>
    <w:p w:rsidR="00A36A2E" w:rsidRPr="007D6594" w:rsidRDefault="00A36A2E" w:rsidP="00A36A2E">
      <w:pPr>
        <w:rPr>
          <w:rStyle w:val="StyleUnderline"/>
        </w:rPr>
      </w:pPr>
    </w:p>
    <w:p w:rsidR="00A36A2E" w:rsidRDefault="00A36A2E" w:rsidP="00A36A2E">
      <w:pPr>
        <w:pStyle w:val="Heading4"/>
      </w:pPr>
      <w:r>
        <w:t>Education alone is insufficient to resolve educational inequality – there’s numerous alternative factors that widen the gap</w:t>
      </w:r>
    </w:p>
    <w:p w:rsidR="00A36A2E" w:rsidRPr="00EC5259" w:rsidRDefault="00A36A2E" w:rsidP="00A36A2E">
      <w:pPr>
        <w:rPr>
          <w:rStyle w:val="Style13ptBold"/>
        </w:rPr>
      </w:pPr>
      <w:r>
        <w:rPr>
          <w:rStyle w:val="Style13ptBold"/>
        </w:rPr>
        <w:t xml:space="preserve">Klundt 15 </w:t>
      </w:r>
      <w:r w:rsidRPr="00EC5259">
        <w:t>(Chris Klundt, Forbes, “Education Alone Will Not Solve Income Inequality” 7/6/15 https://www.forbes.com/sites/chrisklundt/2015/07/06/education-alone-will-not-solve-income-inequality/#770ab41e6c90) GG</w:t>
      </w:r>
    </w:p>
    <w:p w:rsidR="00A36A2E" w:rsidRDefault="00A36A2E" w:rsidP="00A36A2E">
      <w:pPr>
        <w:rPr>
          <w:rStyle w:val="StyleUnderline"/>
        </w:rPr>
      </w:pPr>
      <w:r w:rsidRPr="00EC5259">
        <w:rPr>
          <w:rStyle w:val="StyleUnderline"/>
        </w:rPr>
        <w:t>We</w:t>
      </w:r>
      <w:r>
        <w:t xml:space="preserve"> often </w:t>
      </w:r>
      <w:r w:rsidRPr="00EC5259">
        <w:rPr>
          <w:rStyle w:val="StyleUnderline"/>
        </w:rPr>
        <w:t>reference the “achievement gap” when discussing how certain student groups perform better than others</w:t>
      </w:r>
      <w:r>
        <w:t xml:space="preserve">. For instance, low-income students are graduating at a rate of 15 percentage points behind their more affluent peers, according to a recent GradNation report. Or that the graduation rate for </w:t>
      </w:r>
      <w:r>
        <w:lastRenderedPageBreak/>
        <w:t xml:space="preserve">Hispanic/Latino students in New York is nearly 20 points below the national average among all students. </w:t>
      </w:r>
      <w:r w:rsidRPr="00EC5259">
        <w:rPr>
          <w:rStyle w:val="StyleUnderline"/>
        </w:rPr>
        <w:t>These standardized measurements of achievement</w:t>
      </w:r>
      <w:r>
        <w:t xml:space="preserve">, like graduation rates and test scores, only </w:t>
      </w:r>
      <w:r w:rsidRPr="00EC5259">
        <w:rPr>
          <w:rStyle w:val="StyleUnderline"/>
        </w:rPr>
        <w:t>examine</w:t>
      </w:r>
      <w:r>
        <w:t xml:space="preserve"> student </w:t>
      </w:r>
      <w:r w:rsidRPr="00EC5259">
        <w:rPr>
          <w:rStyle w:val="StyleUnderline"/>
        </w:rPr>
        <w:t>outcomes</w:t>
      </w:r>
      <w:r>
        <w:t xml:space="preserve">. What </w:t>
      </w:r>
      <w:r w:rsidRPr="00EC5259">
        <w:rPr>
          <w:rStyle w:val="StyleUnderline"/>
        </w:rPr>
        <w:t>we need to</w:t>
      </w:r>
      <w:r>
        <w:t xml:space="preserve"> do is </w:t>
      </w:r>
      <w:r w:rsidRPr="00EC5259">
        <w:rPr>
          <w:rStyle w:val="StyleUnderline"/>
        </w:rPr>
        <w:t>explore what’s causing this opportunity gap</w:t>
      </w:r>
      <w:r>
        <w:t xml:space="preserve"> – and low-income students to fall behind – so we can remold our school systems into environments conducive to student success for all. That means reimagining an educational system that best equips students for the workforce of the future and not the assembly lines of the Industrial Revolution, when our current educational system was first formed. Opportunities Out of Reach </w:t>
      </w:r>
      <w:r w:rsidRPr="00EC5259">
        <w:rPr>
          <w:rStyle w:val="StyleUnderline"/>
        </w:rPr>
        <w:t>We first have to understand the challenge of rising out of poverty. Students are often stuck in a vicious cycle</w:t>
      </w:r>
      <w:r>
        <w:t xml:space="preserve">, suggests Harvard professor Robert Putnam, who analyzed decades of research on families from both sides of the economic scale. He found </w:t>
      </w:r>
      <w:r w:rsidRPr="00EC5259">
        <w:rPr>
          <w:rStyle w:val="StyleUnderline"/>
        </w:rPr>
        <w:t>familial situations can determine much in life, with parental characteristics</w:t>
      </w:r>
      <w:r>
        <w:t xml:space="preserve"> – such as level of education – being more influential today than they were several decades ago. Additionally, researchers like University of California-Irvine professor Greg Duncan are seeing more affluent families heavily investing in extra educational opportunities – nearly $10,000 per child per year, compared to lower-income parents' $1,300 per child per year. “</w:t>
      </w:r>
      <w:r w:rsidRPr="00EC5259">
        <w:rPr>
          <w:rStyle w:val="StyleUnderline"/>
        </w:rPr>
        <w:t>It’s no wonder that schools are having a difficult time closing gaps…because of things that are happening at home</w:t>
      </w:r>
      <w:r>
        <w:t xml:space="preserve">,” Greg tells me. Many </w:t>
      </w:r>
      <w:r w:rsidRPr="00EC5259">
        <w:rPr>
          <w:rStyle w:val="Emphasis"/>
        </w:rPr>
        <w:t>families rely on public school and can’t afford to supplement their child’s education</w:t>
      </w:r>
      <w:r>
        <w:t xml:space="preserve">. Earlier this year, a Southern Education Foundation report showed </w:t>
      </w:r>
      <w:r w:rsidRPr="00EC5259">
        <w:rPr>
          <w:rStyle w:val="StyleUnderline"/>
        </w:rPr>
        <w:t>a majority of public school students nationwide come from low-income families</w:t>
      </w:r>
      <w:r>
        <w:t xml:space="preserve">, with high-poverty schools clustered unevenly across the country. </w:t>
      </w:r>
      <w:r w:rsidRPr="00EC5259">
        <w:rPr>
          <w:rStyle w:val="StyleUnderline"/>
        </w:rPr>
        <w:t>These geographic disparities are amplified for children of color</w:t>
      </w:r>
      <w:r>
        <w:t xml:space="preserve">, in areas like the South. </w:t>
      </w:r>
      <w:r w:rsidRPr="00EC5259">
        <w:rPr>
          <w:rStyle w:val="StyleUnderline"/>
        </w:rPr>
        <w:t>Part of this is due to economic and social policies that live outside education,</w:t>
      </w:r>
      <w:r>
        <w:t xml:space="preserve"> explains SEF President Kent McGuire. It’s these instances of geographic disparity and policies that not only reflect the challenges public school students in poverty face, but the overwhelming burden placed on teachers ill-equipped to help them. </w:t>
      </w:r>
      <w:r w:rsidRPr="00EC5259">
        <w:rPr>
          <w:rStyle w:val="Emphasis"/>
        </w:rPr>
        <w:t xml:space="preserve">Living in poverty includes numerous instabilities </w:t>
      </w:r>
      <w:r>
        <w:t xml:space="preserve">– housing, food scarcity, familial connections – </w:t>
      </w:r>
      <w:r w:rsidRPr="00EC5259">
        <w:rPr>
          <w:rStyle w:val="StyleUnderline"/>
        </w:rPr>
        <w:t xml:space="preserve">that </w:t>
      </w:r>
      <w:r w:rsidRPr="00EC5259">
        <w:rPr>
          <w:rStyle w:val="Emphasis"/>
        </w:rPr>
        <w:t>students inevitably bring with them into the classroom</w:t>
      </w:r>
      <w:r w:rsidRPr="00EC5259">
        <w:rPr>
          <w:rStyle w:val="StyleUnderline"/>
        </w:rPr>
        <w:t>.</w:t>
      </w:r>
      <w:r>
        <w:t xml:space="preserve"> These stressful situations are traumatic for students and undermine their ability to learn, Pamela Cantor, child psychiatrist and president of Turnaround for Children, found after her own interactions and research with children. It’s what prompted her to launch Turnaround, an organization aimed at helping schools in high-poverty areas, and its educators, establish an environment conducive to successful learning. </w:t>
      </w:r>
      <w:r w:rsidRPr="00EC5259">
        <w:rPr>
          <w:rStyle w:val="StyleUnderline"/>
        </w:rPr>
        <w:t>To best foster student success</w:t>
      </w:r>
      <w:r>
        <w:t xml:space="preserve">, these </w:t>
      </w:r>
      <w:r w:rsidRPr="00EC5259">
        <w:rPr>
          <w:rStyle w:val="StyleUnderline"/>
        </w:rPr>
        <w:t>learning environments need to be more flexible and function as support systems for teachers</w:t>
      </w:r>
      <w:r>
        <w:t xml:space="preserve">. Thankfully, organizations like Cantor’s and McGuire’s are helping schools construct these foundational environments by promoting personalized learning experiences that stimulate academic growth. Turnaround’s New York City partner schools saw a 39 percent reduction in detentions, along with lower absenteeism and bad behavior. Similarly, comprehensive school reform programs like Expeditionary Learning provide malleable curriculum so teachers can adapt lessons to help all types of learners catch up and get ahead. Building Achievement Bridges </w:t>
      </w:r>
      <w:r w:rsidRPr="00EC5259">
        <w:rPr>
          <w:rStyle w:val="StyleUnderline"/>
        </w:rPr>
        <w:t>Although these efforts are commendable, we have to keep in mind it’s only one piece of the puzzle. On top of curriculum-based efforts, schools need to help provide poverty-stricken students with access to important necessities</w:t>
      </w:r>
      <w:r>
        <w:t xml:space="preserve"> they aren’t getting outside the school day</w:t>
      </w:r>
      <w:r w:rsidRPr="00EC5259">
        <w:rPr>
          <w:rStyle w:val="StyleUnderline"/>
        </w:rPr>
        <w:t>. Opportunities like health and nutrition education</w:t>
      </w:r>
      <w:r>
        <w:t xml:space="preserve">, offering </w:t>
      </w:r>
      <w:r w:rsidRPr="00EC5259">
        <w:rPr>
          <w:rStyle w:val="StyleUnderline"/>
        </w:rPr>
        <w:t>free breakfast options</w:t>
      </w:r>
      <w:r>
        <w:t xml:space="preserve"> </w:t>
      </w:r>
      <w:r w:rsidRPr="00EC5259">
        <w:rPr>
          <w:rStyle w:val="StyleUnderline"/>
        </w:rPr>
        <w:t>or</w:t>
      </w:r>
      <w:r>
        <w:t xml:space="preserve"> providing </w:t>
      </w:r>
      <w:r w:rsidRPr="00EC5259">
        <w:rPr>
          <w:rStyle w:val="StyleUnderline"/>
        </w:rPr>
        <w:t>mental health services</w:t>
      </w:r>
      <w:r>
        <w:t xml:space="preserve"> </w:t>
      </w:r>
      <w:r w:rsidRPr="00EC5259">
        <w:rPr>
          <w:rStyle w:val="StyleUnderline"/>
        </w:rPr>
        <w:t>can serve as achievement bridges</w:t>
      </w:r>
      <w:r>
        <w:t xml:space="preserve"> for students who’d normally fall through the cracks. Because if a student is hungry, tired, or homeless, they’re already at a massive disadvantage for being able to “do well” in school no matter how engaging the curriculum. </w:t>
      </w:r>
      <w:r w:rsidRPr="00EC5259">
        <w:rPr>
          <w:rStyle w:val="StyleUnderline"/>
        </w:rPr>
        <w:t>We need to continue fostering ways to help fulfill these basic needs and ensure school is a safe haven</w:t>
      </w:r>
      <w:r>
        <w:t xml:space="preserve"> for all children to learn and grow. </w:t>
      </w:r>
      <w:r w:rsidRPr="00EC5259">
        <w:rPr>
          <w:rStyle w:val="StyleUnderline"/>
        </w:rPr>
        <w:t xml:space="preserve">Education reform can’t be self-contained. Battling the effects of income inequality in our schools require changes in sectors ranging from economic and employment policies to better health </w:t>
      </w:r>
      <w:r w:rsidRPr="00EC5259">
        <w:rPr>
          <w:rStyle w:val="StyleUnderline"/>
        </w:rPr>
        <w:lastRenderedPageBreak/>
        <w:t xml:space="preserve">initiatives. </w:t>
      </w:r>
      <w:r w:rsidRPr="00EC5259">
        <w:rPr>
          <w:rStyle w:val="Emphasis"/>
        </w:rPr>
        <w:t>The achievement gap will remain unless we attempt to reform the broader environment surrounding education</w:t>
      </w:r>
      <w:r w:rsidRPr="00EC5259">
        <w:rPr>
          <w:rStyle w:val="StyleUnderline"/>
        </w:rPr>
        <w:t>.</w:t>
      </w:r>
      <w:r>
        <w:rPr>
          <w:rStyle w:val="StyleUnderline"/>
        </w:rPr>
        <w:t xml:space="preserve"> </w:t>
      </w:r>
    </w:p>
    <w:p w:rsidR="00A36A2E" w:rsidRDefault="00A36A2E" w:rsidP="00A36A2E"/>
    <w:p w:rsidR="00A36A2E" w:rsidRDefault="00A36A2E" w:rsidP="00A36A2E">
      <w:pPr>
        <w:pStyle w:val="Heading4"/>
      </w:pPr>
      <w:r>
        <w:t>No solvency – their scholarship conflates earnings inequality from overall inequality</w:t>
      </w:r>
    </w:p>
    <w:p w:rsidR="00A36A2E" w:rsidRPr="00F6385B" w:rsidRDefault="00A36A2E" w:rsidP="00A36A2E">
      <w:pPr>
        <w:rPr>
          <w:rStyle w:val="Style13ptBold"/>
        </w:rPr>
      </w:pPr>
      <w:r>
        <w:rPr>
          <w:rStyle w:val="Style13ptBold"/>
        </w:rPr>
        <w:t xml:space="preserve">Pathe 15 </w:t>
      </w:r>
      <w:r w:rsidRPr="00F6385B">
        <w:t>(Simone Pathe, PBS, “Why education won’t solve America’s inequality crisis” 4/2/15, http://www.pbs.org/newshour/making-sense/why-education-wont-solve-americas-inequality-crisis/) GG</w:t>
      </w:r>
    </w:p>
    <w:p w:rsidR="00A36A2E" w:rsidRPr="00F6385B" w:rsidRDefault="00A36A2E" w:rsidP="00A36A2E">
      <w:pPr>
        <w:rPr>
          <w:sz w:val="14"/>
        </w:rPr>
      </w:pPr>
      <w:r w:rsidRPr="00EC5259">
        <w:rPr>
          <w:rStyle w:val="StyleUnderline"/>
        </w:rPr>
        <w:t>Earnings inequality</w:t>
      </w:r>
      <w:r w:rsidRPr="00F6385B">
        <w:rPr>
          <w:sz w:val="14"/>
        </w:rPr>
        <w:t xml:space="preserve"> in America </w:t>
      </w:r>
      <w:r w:rsidRPr="00EC5259">
        <w:rPr>
          <w:rStyle w:val="StyleUnderline"/>
        </w:rPr>
        <w:t>has increased since 1979</w:t>
      </w:r>
      <w:r w:rsidRPr="00F6385B">
        <w:rPr>
          <w:sz w:val="14"/>
        </w:rPr>
        <w:t xml:space="preserve"> — that much we know. But why and what to do about it is murky — in part because </w:t>
      </w:r>
      <w:r w:rsidRPr="00EC5259">
        <w:rPr>
          <w:rStyle w:val="StyleUnderline"/>
        </w:rPr>
        <w:t>we’re not all talking about the same group of people when we talk about inequality.</w:t>
      </w:r>
      <w:r w:rsidRPr="00F6385B">
        <w:rPr>
          <w:sz w:val="14"/>
        </w:rPr>
        <w:t xml:space="preserve"> “Many of us are talking past each other in public,” said Melissa Kearney, a senior fellow at the Brookings Institution and professor at the University of Maryland. She’s also the director of the Hamilton Project, which just released a new paper cutting through some of inequality’s monolithism by making an important distinction between what’s going on above and below the median wage distribution. </w:t>
      </w:r>
      <w:r w:rsidRPr="00EC5259">
        <w:rPr>
          <w:rStyle w:val="StyleUnderline"/>
        </w:rPr>
        <w:t>There are really two separate, but often conflated, issues at play in America’s inequality story. The first is that Americans at the bottom end of the distribution face poor employment prospects</w:t>
      </w:r>
      <w:r w:rsidRPr="00F6385B">
        <w:rPr>
          <w:sz w:val="14"/>
        </w:rPr>
        <w:t xml:space="preserve"> and don’t earn enough money. </w:t>
      </w:r>
      <w:r w:rsidRPr="00EC5259">
        <w:rPr>
          <w:rStyle w:val="StyleUnderline"/>
        </w:rPr>
        <w:t>That’s different from the second issue of overall inequality, which is largely driven by outsized earnings at the top of the distribution.</w:t>
      </w:r>
      <w:r>
        <w:rPr>
          <w:rStyle w:val="StyleUnderline"/>
        </w:rPr>
        <w:t xml:space="preserve"> </w:t>
      </w:r>
      <w:r w:rsidRPr="00F6385B">
        <w:rPr>
          <w:sz w:val="14"/>
        </w:rPr>
        <w:t xml:space="preserve">The takeaway? </w:t>
      </w:r>
      <w:r w:rsidRPr="00EC5259">
        <w:rPr>
          <w:rStyle w:val="Emphasis"/>
        </w:rPr>
        <w:t>Increased educational attainment can help address the first problem, but not the second.</w:t>
      </w:r>
      <w:r>
        <w:rPr>
          <w:rStyle w:val="Emphasis"/>
        </w:rPr>
        <w:t xml:space="preserve"> </w:t>
      </w:r>
      <w:r w:rsidRPr="00F6385B">
        <w:rPr>
          <w:sz w:val="14"/>
        </w:rPr>
        <w:t>Using Current Population Survey data, Kearney, along with Hamilton co-author Brad Hershbein and former Treasury Secretary Larry Summers, simulated what the earnings distribution would look like if one out of every 10 men (between the ages of 25-64) who did not have a bachelor’s degree got one. In other words, they inflated the share of the population with a bachelor’s degree from about 32 percent to 39 percent, then looked at how that affects inequality. (They justify their exclusion of women, the predominant low-wage workers, by pointing to low-skilled men’s sharp decreases in employment and college attendance in the recent past.) The first take-away from their research is that higher education is still worth it. The college wage premium may have stagnated, Kearney said, but if men without bachelor’s degrees got them, their average earnings and employment prospects would increase. If college attainment elevated those workers, inequality in the bottom half of the earnings distribution would fall too. (Remember, though, this is a data simulation; it doesn’t take into account whether low-skilled men have the money or institutional support to complete a four-year degree in reality.) It’s easy to count that first conclusion as validation of skills-based-technological change. According to this structural interpretation of the labor market, Americans are unemployed and low-wage workers don’t earn enough because they don’t have the skills employers demand. (That’s different from plain-old skills-mismatch, which is a more cyclical problem.)</w:t>
      </w:r>
      <w:r w:rsidRPr="00EC5259">
        <w:rPr>
          <w:rStyle w:val="StyleUnderline"/>
        </w:rPr>
        <w:t xml:space="preserve"> If American workers can’t keep up with technology, the obvious remedy would be to bring them up to speed.</w:t>
      </w:r>
      <w:r w:rsidRPr="00F6385B">
        <w:rPr>
          <w:sz w:val="14"/>
        </w:rPr>
        <w:t xml:space="preserve"> That perspective was on full display at a February Hamilton Project forum and related paper — a kind of antecedent to this paper — called “The Future of Work in the Age of the Machine.” (Read our coverage of the event.) In today’s “second machine age,” robots not only replace manual workers; they’re coming after white-collar workers, too, which would seem to increase the education premium. </w:t>
      </w:r>
      <w:r w:rsidRPr="00EC5259">
        <w:rPr>
          <w:rStyle w:val="StyleUnderline"/>
        </w:rPr>
        <w:t>But the authors’ second conclusion is far more depressing</w:t>
      </w:r>
      <w:r w:rsidRPr="00F6385B">
        <w:rPr>
          <w:sz w:val="14"/>
        </w:rPr>
        <w:t xml:space="preserve"> than knowing that a bunch of automated giants are after your job: </w:t>
      </w:r>
      <w:r w:rsidRPr="00EC5259">
        <w:rPr>
          <w:rStyle w:val="Emphasis"/>
        </w:rPr>
        <w:t>increasing educational attainment really doesn’t reduce overall earnings inequality.</w:t>
      </w:r>
      <w:r>
        <w:rPr>
          <w:rStyle w:val="Emphasis"/>
        </w:rPr>
        <w:t xml:space="preserve"> </w:t>
      </w:r>
      <w:r w:rsidRPr="00F6385B">
        <w:rPr>
          <w:sz w:val="14"/>
        </w:rPr>
        <w:t xml:space="preserve">Actually, </w:t>
      </w:r>
      <w:r w:rsidRPr="00EC5259">
        <w:rPr>
          <w:rStyle w:val="StyleUnderline"/>
        </w:rPr>
        <w:t>no one thought it would,</w:t>
      </w:r>
      <w:r w:rsidRPr="00F6385B">
        <w:rPr>
          <w:sz w:val="14"/>
        </w:rPr>
        <w:t xml:space="preserve"> Kearney said. That’s </w:t>
      </w:r>
      <w:r w:rsidRPr="00EC5259">
        <w:rPr>
          <w:rStyle w:val="StyleUnderline"/>
        </w:rPr>
        <w:t>because high overall inequality is a reflection of what’s going on at the top of the earnings distribution</w:t>
      </w:r>
      <w:r w:rsidRPr="00F6385B">
        <w:rPr>
          <w:sz w:val="14"/>
        </w:rPr>
        <w:t xml:space="preserve">. </w:t>
      </w:r>
      <w:r w:rsidRPr="00EC5259">
        <w:rPr>
          <w:rStyle w:val="StyleUnderline"/>
        </w:rPr>
        <w:t>Fragmentations between the 90th and 99th percentiles</w:t>
      </w:r>
      <w:r w:rsidRPr="00F6385B">
        <w:rPr>
          <w:sz w:val="14"/>
        </w:rPr>
        <w:t xml:space="preserve">, for example, </w:t>
      </w:r>
      <w:r w:rsidRPr="00EC5259">
        <w:rPr>
          <w:rStyle w:val="StyleUnderline"/>
        </w:rPr>
        <w:t>have nothing to do with differences in educational attainment, so boosting the share of the population receiving bachelor’s degrees is a moot point.</w:t>
      </w:r>
      <w:r>
        <w:rPr>
          <w:rStyle w:val="StyleUnderline"/>
        </w:rPr>
        <w:t xml:space="preserve"> </w:t>
      </w:r>
      <w:r w:rsidRPr="00F6385B">
        <w:rPr>
          <w:sz w:val="14"/>
        </w:rPr>
        <w:t xml:space="preserve">The chart below shows the Gini and Theil coefficients, where 0 represents the most equitable distribution of earnings and 1 represents the most unequal. Note that the simulation (in both indices) doesn’t do much to return inequality to its 1979 levels. So </w:t>
      </w:r>
      <w:r w:rsidRPr="00F6385B">
        <w:rPr>
          <w:rStyle w:val="StyleUnderline"/>
        </w:rPr>
        <w:t>improving education can help address one inequality problem</w:t>
      </w:r>
      <w:r w:rsidRPr="00F6385B">
        <w:rPr>
          <w:sz w:val="14"/>
        </w:rPr>
        <w:t xml:space="preserve">, </w:t>
      </w:r>
      <w:r w:rsidRPr="00F6385B">
        <w:rPr>
          <w:rStyle w:val="Emphasis"/>
        </w:rPr>
        <w:t>but certainly not all of the problem</w:t>
      </w:r>
      <w:r w:rsidRPr="00F6385B">
        <w:rPr>
          <w:sz w:val="14"/>
        </w:rPr>
        <w:t xml:space="preserve">. In fact, at Hamilton’s February forum, Summers said — now somewhat famously — that skills training is “an evasion” of the problem. In Summers’ view, what’s in short supply today is work, not workers. Likewise, this recovery’s lousy productivity growth has convinced some economists, like the Center for Economic and Policy Research’s Dean Baker, that robots aren’t taking our jobs the way we’ve heard they are, calling into question the cry for more skills and training as a blanket solution. It’s worth noting, though, that </w:t>
      </w:r>
      <w:r w:rsidRPr="00F6385B">
        <w:rPr>
          <w:rStyle w:val="StyleUnderline"/>
        </w:rPr>
        <w:t>training could mean many different things</w:t>
      </w:r>
      <w:r w:rsidRPr="00F6385B">
        <w:rPr>
          <w:sz w:val="14"/>
        </w:rPr>
        <w:t xml:space="preserve">. </w:t>
      </w:r>
      <w:r w:rsidRPr="00F6385B">
        <w:rPr>
          <w:rStyle w:val="StyleUnderline"/>
        </w:rPr>
        <w:t>Encouraging low-wage workers to complete vocational apprenticeships</w:t>
      </w:r>
      <w:r w:rsidRPr="00F6385B">
        <w:rPr>
          <w:sz w:val="14"/>
        </w:rPr>
        <w:t xml:space="preserve">, for example, </w:t>
      </w:r>
      <w:r w:rsidRPr="00F6385B">
        <w:rPr>
          <w:rStyle w:val="StyleUnderline"/>
        </w:rPr>
        <w:t>could have a different effect from pushing them to take on debt to study for a four-year degree.</w:t>
      </w:r>
      <w:r>
        <w:rPr>
          <w:rStyle w:val="StyleUnderline"/>
        </w:rPr>
        <w:t xml:space="preserve"> </w:t>
      </w:r>
      <w:r w:rsidRPr="00F6385B">
        <w:rPr>
          <w:sz w:val="14"/>
        </w:rPr>
        <w:t xml:space="preserve">But regardless, that’s still the lower end of the earnings distribution we’re talking about. </w:t>
      </w:r>
      <w:r w:rsidRPr="00F6385B">
        <w:rPr>
          <w:rStyle w:val="StyleUnderline"/>
        </w:rPr>
        <w:t>It will take stronger policy prescriptions than higher educational attainment</w:t>
      </w:r>
      <w:r w:rsidRPr="00F6385B">
        <w:rPr>
          <w:sz w:val="14"/>
        </w:rPr>
        <w:t xml:space="preserve">, the authors write, </w:t>
      </w:r>
      <w:r w:rsidRPr="00F6385B">
        <w:rPr>
          <w:rStyle w:val="StyleUnderline"/>
        </w:rPr>
        <w:t>to tackle the changes at the upper end of the earnings scale.</w:t>
      </w:r>
      <w:r>
        <w:rPr>
          <w:rStyle w:val="StyleUnderline"/>
        </w:rPr>
        <w:t xml:space="preserve"> </w:t>
      </w:r>
      <w:r w:rsidRPr="00F6385B">
        <w:rPr>
          <w:sz w:val="14"/>
        </w:rPr>
        <w:t>Just what it’ll take though, is a matter of debate depending on why you believe earnings accrue toward the top. “It’s not immediately obvious, even to me,” what’s going on, Kearney said. Get ready for a whole lot more talking past each other.</w:t>
      </w:r>
    </w:p>
    <w:p w:rsidR="00A36A2E" w:rsidRDefault="00A36A2E" w:rsidP="00A36A2E"/>
    <w:p w:rsidR="00A36A2E" w:rsidRPr="00EC5259" w:rsidRDefault="00A36A2E" w:rsidP="00A36A2E"/>
    <w:p w:rsidR="00A36A2E" w:rsidRDefault="004921A0" w:rsidP="00A36A2E">
      <w:pPr>
        <w:pStyle w:val="Heading3"/>
      </w:pPr>
      <w:r>
        <w:lastRenderedPageBreak/>
        <w:t>Alt Causes</w:t>
      </w:r>
    </w:p>
    <w:p w:rsidR="00A36A2E" w:rsidRDefault="00A36A2E" w:rsidP="00A36A2E">
      <w:pPr>
        <w:pStyle w:val="Heading4"/>
      </w:pPr>
      <w:r>
        <w:t>Residential segregation and income inequality are alt causes</w:t>
      </w:r>
    </w:p>
    <w:p w:rsidR="00A36A2E" w:rsidRPr="0015703E" w:rsidRDefault="00A36A2E" w:rsidP="00A36A2E">
      <w:pPr>
        <w:rPr>
          <w:rStyle w:val="Style13ptBold"/>
        </w:rPr>
      </w:pPr>
      <w:r>
        <w:rPr>
          <w:rStyle w:val="Style13ptBold"/>
        </w:rPr>
        <w:t xml:space="preserve">Fahle 17 </w:t>
      </w:r>
      <w:r w:rsidRPr="0015703E">
        <w:t>(Erin M. Fahle and Sean F. Reardon, The Stanford Center on Poverty and Inequality, PATHWAYS • The Poverty and Inequality Report • Race and Ethnicity, Sean F. Reardon is Professor of Poverty and Inequality in Education (and Sociology, by courtesy) at Stanford University. He leads the education research group at the Stanford Center on Poverty and Inequality. Erin M. Fahle is a doctoral student in education policy at the Stanford Graduate School of Education, http://inequality.stanford.edu/sites/default/files/Pathways_SOTU_2017_education.pdf) GG</w:t>
      </w:r>
    </w:p>
    <w:p w:rsidR="00A36A2E" w:rsidRPr="00AC56B8" w:rsidRDefault="00A36A2E" w:rsidP="00A36A2E">
      <w:pPr>
        <w:rPr>
          <w:sz w:val="14"/>
        </w:rPr>
      </w:pPr>
      <w:r w:rsidRPr="008C4E84">
        <w:rPr>
          <w:rStyle w:val="StyleUnderline"/>
        </w:rPr>
        <w:t>Why</w:t>
      </w:r>
      <w:r w:rsidRPr="00AC56B8">
        <w:rPr>
          <w:sz w:val="14"/>
        </w:rPr>
        <w:t xml:space="preserve">, then, </w:t>
      </w:r>
      <w:r w:rsidRPr="008C4E84">
        <w:rPr>
          <w:rStyle w:val="StyleUnderline"/>
        </w:rPr>
        <w:t>do large racial and ethnic achievement gaps persist</w:t>
      </w:r>
      <w:r w:rsidRPr="00AC56B8">
        <w:rPr>
          <w:sz w:val="14"/>
        </w:rPr>
        <w:t xml:space="preserve">? </w:t>
      </w:r>
      <w:r w:rsidRPr="008C4E84">
        <w:rPr>
          <w:rStyle w:val="StyleUnderline"/>
        </w:rPr>
        <w:t>Research</w:t>
      </w:r>
      <w:r w:rsidRPr="00AC56B8">
        <w:rPr>
          <w:sz w:val="14"/>
        </w:rPr>
        <w:t xml:space="preserve"> </w:t>
      </w:r>
      <w:r w:rsidRPr="008C4E84">
        <w:rPr>
          <w:rStyle w:val="StyleUnderline"/>
        </w:rPr>
        <w:t>consistently points to two main contributors: (a) disparities in</w:t>
      </w:r>
      <w:r w:rsidRPr="00AC56B8">
        <w:rPr>
          <w:sz w:val="14"/>
        </w:rPr>
        <w:t xml:space="preserve"> </w:t>
      </w:r>
      <w:r w:rsidRPr="008C4E84">
        <w:rPr>
          <w:rStyle w:val="StyleUnderline"/>
        </w:rPr>
        <w:t>family</w:t>
      </w:r>
      <w:r w:rsidRPr="00AC56B8">
        <w:rPr>
          <w:sz w:val="14"/>
        </w:rPr>
        <w:t xml:space="preserve"> </w:t>
      </w:r>
      <w:r w:rsidRPr="008C4E84">
        <w:rPr>
          <w:rStyle w:val="StyleUnderline"/>
        </w:rPr>
        <w:t>socioeconomic background and (b) residential segregation</w:t>
      </w:r>
      <w:r w:rsidRPr="00AC56B8">
        <w:rPr>
          <w:sz w:val="14"/>
        </w:rPr>
        <w:t xml:space="preserve">. White, black, and Hispanic children have very different family resources (e.g., parental income and education). They also grow up in neighborhoods of unequal KEY FINDINGS • </w:t>
      </w:r>
      <w:r w:rsidRPr="008C4E84">
        <w:rPr>
          <w:rStyle w:val="StyleUnderline"/>
        </w:rPr>
        <w:t>Between 1990 and 2015, average academic performance improved for students of all racial and ethnic groups, but grew fastest among black and Hispanic students</w:t>
      </w:r>
      <w:r w:rsidRPr="00AC56B8">
        <w:rPr>
          <w:sz w:val="14"/>
        </w:rPr>
        <w:t xml:space="preserve">. </w:t>
      </w:r>
      <w:r w:rsidRPr="008C4E84">
        <w:rPr>
          <w:rStyle w:val="StyleUnderline"/>
        </w:rPr>
        <w:t>As a result, white-black and white-Hispanic achievement gaps have declined</w:t>
      </w:r>
      <w:r w:rsidRPr="00AC56B8">
        <w:rPr>
          <w:sz w:val="14"/>
        </w:rPr>
        <w:t xml:space="preserve"> by 15 to 25 percent. • But achievement gaps remain large: Hispanic students lag almost two grade levels, and black students lag roughly two to two-and-a-half grade levels behind whites. • </w:t>
      </w:r>
      <w:r w:rsidRPr="008C4E84">
        <w:rPr>
          <w:rStyle w:val="StyleUnderline"/>
        </w:rPr>
        <w:t>Two nonschooling factors—persistent racial and ethnic disparities in family resources and segregation patterns— are fundamental determinants of unequal educational opportunity</w:t>
      </w:r>
      <w:r w:rsidRPr="00AC56B8">
        <w:rPr>
          <w:sz w:val="14"/>
        </w:rPr>
        <w:t xml:space="preserve"> for minority students. education PATHWAYS • The Poverty and Inequality Report • Race and Ethnicity education 21 quality. </w:t>
      </w:r>
      <w:r w:rsidRPr="008C4E84">
        <w:rPr>
          <w:rStyle w:val="StyleUnderline"/>
        </w:rPr>
        <w:t>Given the importance of early childhood experiences6 and neighborhood conditions7 in shaping educational outcomes, it is these two key differences in nonschooling factors that drive racial and ethnic academic achievement gaps</w:t>
      </w:r>
      <w:r w:rsidRPr="00AC56B8">
        <w:rPr>
          <w:sz w:val="14"/>
        </w:rPr>
        <w:t xml:space="preserve">. </w:t>
      </w:r>
      <w:r w:rsidRPr="008C4E84">
        <w:rPr>
          <w:rStyle w:val="StyleUnderline"/>
        </w:rPr>
        <w:t>The effects of parental resources are evident</w:t>
      </w:r>
      <w:r w:rsidRPr="00AC56B8">
        <w:rPr>
          <w:sz w:val="14"/>
        </w:rPr>
        <w:t xml:space="preserve"> in Figure 2, which shows </w:t>
      </w:r>
      <w:r w:rsidRPr="008C4E84">
        <w:rPr>
          <w:rStyle w:val="StyleUnderline"/>
        </w:rPr>
        <w:t>white-black and white-Hispanic achievement gaps as a function of the white-minority socioeconomic gaps in U.S. school districts</w:t>
      </w:r>
      <w:r w:rsidRPr="00AC56B8">
        <w:rPr>
          <w:sz w:val="14"/>
        </w:rPr>
        <w:t xml:space="preserve">. As the red lines indicate, </w:t>
      </w:r>
      <w:r w:rsidRPr="008C4E84">
        <w:rPr>
          <w:rStyle w:val="StyleUnderline"/>
        </w:rPr>
        <w:t>the achievement gaps are larger where socioeconomic disparities are larger</w:t>
      </w:r>
      <w:r w:rsidRPr="00AC56B8">
        <w:rPr>
          <w:sz w:val="14"/>
        </w:rPr>
        <w:t xml:space="preserve">. However, </w:t>
      </w:r>
      <w:r w:rsidRPr="008C4E84">
        <w:rPr>
          <w:rStyle w:val="StyleUnderline"/>
        </w:rPr>
        <w:t>there is evidence that educational opportunities</w:t>
      </w:r>
      <w:r w:rsidRPr="00AC56B8">
        <w:rPr>
          <w:sz w:val="14"/>
        </w:rPr>
        <w:t xml:space="preserve"> (and consequently achievement gaps) </w:t>
      </w:r>
      <w:r w:rsidRPr="008C4E84">
        <w:rPr>
          <w:rStyle w:val="StyleUnderline"/>
        </w:rPr>
        <w:t>are shaped by more than the socioeconomic status differences that frequently obtain between racial and ethnic groups.</w:t>
      </w:r>
      <w:r w:rsidRPr="00AC56B8">
        <w:rPr>
          <w:sz w:val="14"/>
        </w:rPr>
        <w:t xml:space="preserve"> Even in school districts with no white-minority difference in socioeconomic status, achievement gaps are still roughly one-third of a standard deviation (i.e., approximately one grade level). Additionally, there is substantial variation in the size of the achievement gap among school districts with a similar level of socioeconomic disparity. What explains the racial and ethnic gaps among children of similar socioeconomic backgrounds? </w:t>
      </w:r>
      <w:r w:rsidRPr="008C4E84">
        <w:rPr>
          <w:rStyle w:val="StyleUnderline"/>
        </w:rPr>
        <w:t>Residential and school segregation are key drivers of unequal educational opportunity</w:t>
      </w:r>
      <w:r w:rsidRPr="00AC56B8">
        <w:rPr>
          <w:sz w:val="14"/>
        </w:rPr>
        <w:t xml:space="preserve">. </w:t>
      </w:r>
      <w:r w:rsidRPr="008C4E84">
        <w:rPr>
          <w:rStyle w:val="StyleUnderline"/>
        </w:rPr>
        <w:t>Even among families with the same income, black and Hispanic students live in much poorer neighborhoods than white children and attend schools with greater concentrations of poverty, a result of the long legacy of racial housing discrimination and exclusion in the U.S.</w:t>
      </w:r>
      <w:r w:rsidRPr="00AC56B8">
        <w:rPr>
          <w:sz w:val="14"/>
        </w:rPr>
        <w:t xml:space="preserve">8 </w:t>
      </w:r>
      <w:r w:rsidRPr="008C4E84">
        <w:rPr>
          <w:rStyle w:val="StyleUnderline"/>
        </w:rPr>
        <w:t>High-poverty schools typically have fewer resources, poorer facilities, a harder time attracting and retaining skilled teachers, and more students in need of remediation and additional services</w:t>
      </w:r>
      <w:r w:rsidRPr="00AC56B8">
        <w:rPr>
          <w:sz w:val="14"/>
        </w:rPr>
        <w:t xml:space="preserve">. In addition, </w:t>
      </w:r>
      <w:r w:rsidRPr="008C4E84">
        <w:rPr>
          <w:rStyle w:val="StyleUnderline"/>
        </w:rPr>
        <w:t xml:space="preserve">high poverty schools typically have fewer students whose parents have </w:t>
      </w:r>
      <w:r w:rsidRPr="00AC56B8">
        <w:rPr>
          <w:sz w:val="14"/>
        </w:rPr>
        <w:t>economic, social, and political</w:t>
      </w:r>
      <w:r w:rsidRPr="008C4E84">
        <w:rPr>
          <w:rStyle w:val="StyleUnderline"/>
        </w:rPr>
        <w:t xml:space="preserve"> resources to invest in schools.</w:t>
      </w:r>
      <w:r w:rsidRPr="00AC56B8">
        <w:rPr>
          <w:sz w:val="14"/>
        </w:rPr>
        <w:t xml:space="preserve"> As a result, </w:t>
      </w:r>
      <w:r w:rsidRPr="008C4E84">
        <w:rPr>
          <w:rStyle w:val="StyleUnderline"/>
        </w:rPr>
        <w:t xml:space="preserve">segregation is strongly correlated with academic achievement gaps, </w:t>
      </w:r>
      <w:r w:rsidRPr="00AC56B8">
        <w:rPr>
          <w:sz w:val="14"/>
        </w:rPr>
        <w:t xml:space="preserve">even after accounting for racial and ethnic differences in socioeconomic family characteristics. Indeed, metropolitan-area achievement gaps are more strongly correlated with segregation than they are with racial and ethnic disparities in socioeconomic status.9 </w:t>
      </w:r>
      <w:r w:rsidRPr="008C4E84">
        <w:rPr>
          <w:rStyle w:val="StyleUnderline"/>
        </w:rPr>
        <w:t>Although</w:t>
      </w:r>
      <w:r w:rsidRPr="00AC56B8">
        <w:rPr>
          <w:sz w:val="14"/>
        </w:rPr>
        <w:t xml:space="preserve"> </w:t>
      </w:r>
      <w:r w:rsidRPr="008C4E84">
        <w:rPr>
          <w:rStyle w:val="StyleUnderline"/>
        </w:rPr>
        <w:t>we have made some progress in improving the equality of educational outcomes</w:t>
      </w:r>
      <w:r w:rsidRPr="00AC56B8">
        <w:rPr>
          <w:sz w:val="14"/>
        </w:rPr>
        <w:t xml:space="preserve"> over the last few decades— as evidenced by narrowing achievement gaps—</w:t>
      </w:r>
      <w:r w:rsidRPr="008C4E84">
        <w:rPr>
          <w:rStyle w:val="StyleUnderline"/>
        </w:rPr>
        <w:t>we have done little to change the fundamental sources of inequality of educational opportunity</w:t>
      </w:r>
      <w:r w:rsidRPr="00AC56B8">
        <w:rPr>
          <w:sz w:val="14"/>
        </w:rPr>
        <w:t xml:space="preserve">. Racial and ethnic differences in family income, wealth, and parental education remain very large and have changed very little: black and Hispanic households’ median incomes today are roughly 60 percent as large as white households’, up only slightly from 55 percent in 1967.10 And </w:t>
      </w:r>
      <w:r w:rsidRPr="008C4E84">
        <w:rPr>
          <w:rStyle w:val="StyleUnderline"/>
        </w:rPr>
        <w:t>although residential segregation has declined slowly, school segregation has not declined</w:t>
      </w:r>
      <w:r w:rsidRPr="00AC56B8">
        <w:rPr>
          <w:sz w:val="14"/>
        </w:rPr>
        <w:t xml:space="preserve"> since the 1970s—and has actually grown by some measures.11 </w:t>
      </w:r>
      <w:r w:rsidRPr="008C4E84">
        <w:rPr>
          <w:rStyle w:val="StyleUnderline"/>
        </w:rPr>
        <w:t>Unless we change the fundamental sources of unequal educational opportunit</w:t>
      </w:r>
      <w:r w:rsidRPr="00AC56B8">
        <w:rPr>
          <w:sz w:val="14"/>
        </w:rPr>
        <w:t>y—socioeconomic disparity and segregation between racial and ethnic groups—</w:t>
      </w:r>
      <w:r w:rsidRPr="008C4E84">
        <w:rPr>
          <w:rStyle w:val="StyleUnderline"/>
        </w:rPr>
        <w:t>we are unlikely to eliminate racial and ethnic educational inequality</w:t>
      </w:r>
      <w:r w:rsidRPr="00AC56B8">
        <w:rPr>
          <w:sz w:val="14"/>
        </w:rPr>
        <w:t xml:space="preserve">. The narrowing of achievement gaps over the last 25 years has likely been driven by early childhood interventions. The expansion of preschool, particularly publicly-funded preschool programs accessible to low- and middle-income children, coupled with increased </w:t>
      </w:r>
      <w:r w:rsidRPr="00AC56B8">
        <w:rPr>
          <w:sz w:val="14"/>
        </w:rPr>
        <w:lastRenderedPageBreak/>
        <w:t xml:space="preserve">parental focus on young children’s cognitive development, appear to have led to some equalization in lowincome and minority students’ early childhood educational opportunities.12 However, the benefits of such investments will remain limited in the face of persistently high levels of socioeconomic and neighborhood inequality. Racial and ethnic equality of educational opportunity requires eliminating these fundamental disparities. </w:t>
      </w:r>
    </w:p>
    <w:p w:rsidR="00A36A2E" w:rsidRDefault="00A36A2E" w:rsidP="00A36A2E"/>
    <w:p w:rsidR="00A36A2E" w:rsidRDefault="00A36A2E" w:rsidP="00A36A2E">
      <w:pPr>
        <w:pStyle w:val="Heading4"/>
      </w:pPr>
      <w:r>
        <w:t>Housing costs are an alt cause – Boston Proves</w:t>
      </w:r>
    </w:p>
    <w:p w:rsidR="00A36A2E" w:rsidRPr="008C4E84" w:rsidRDefault="00A36A2E" w:rsidP="00A36A2E">
      <w:pPr>
        <w:rPr>
          <w:rStyle w:val="Style13ptBold"/>
        </w:rPr>
      </w:pPr>
      <w:r>
        <w:rPr>
          <w:rStyle w:val="Style13ptBold"/>
        </w:rPr>
        <w:t xml:space="preserve">Krantz 17 </w:t>
      </w:r>
      <w:r w:rsidRPr="008C4E84">
        <w:t>(Laura Krantz, Boston Globe, “Housing costs aggravate area’s inequality, report says” 3/1/17, Laura Krantz covers higher education for the Boston Globe. She previously worked for VTDigger in Vermont and the MetroWest Daily News in Framingham. https://www.bostonglobe.com/metro/2017/02/28/housing-costs-aggravate-area-racial-economic-inequality-report-says/TNxBQwQrW8I3IMc3eaF7kJ/story.html) GG</w:t>
      </w:r>
    </w:p>
    <w:p w:rsidR="00A36A2E" w:rsidRDefault="00A36A2E" w:rsidP="00A36A2E">
      <w:pPr>
        <w:rPr>
          <w:sz w:val="14"/>
        </w:rPr>
      </w:pPr>
      <w:r w:rsidRPr="008C4E84">
        <w:rPr>
          <w:sz w:val="14"/>
        </w:rPr>
        <w:t xml:space="preserve">Even as Greater Boston becomes more racially diverse, </w:t>
      </w:r>
      <w:r w:rsidRPr="008C4E84">
        <w:rPr>
          <w:rStyle w:val="StyleUnderline"/>
        </w:rPr>
        <w:t>the high cost of housing has left the region increasingly racially and economically segregated over the past five years</w:t>
      </w:r>
      <w:r w:rsidRPr="008C4E84">
        <w:rPr>
          <w:sz w:val="14"/>
        </w:rPr>
        <w:t xml:space="preserve">, a report released Tuesday by a regional planning group said. Although Greater Boston has made progress closing some gaps, in the health and education of children of color vast economic disparities persist and in some cases have worsened, according to the Metropolitan Area Planning Council report. </w:t>
      </w:r>
      <w:r w:rsidRPr="008C4E84">
        <w:rPr>
          <w:rStyle w:val="StyleUnderline"/>
        </w:rPr>
        <w:t>Income disparity, for example, is increasing, especially along racial lines.</w:t>
      </w:r>
      <w:r w:rsidRPr="008C4E84">
        <w:rPr>
          <w:sz w:val="14"/>
        </w:rPr>
        <w:t xml:space="preserve"> The average income for the highest-earning fifth of households ($273,000,) is 18 times higher than average income for the lowest-income fifth ($15,000,) according to the report. The report is an update to a 2011 report, produced to track how disparities have changed since then. At its release at Hibernian Hall in the Dudley Square neighborhood of Roxbury Tuesday, a panel of experts discussed how to shrink these gaps. “</w:t>
      </w:r>
      <w:r w:rsidRPr="008C4E84">
        <w:rPr>
          <w:rStyle w:val="StyleUnderline"/>
        </w:rPr>
        <w:t>While some are doing very well, there are still too many who are not,” said</w:t>
      </w:r>
      <w:r w:rsidRPr="008C4E84">
        <w:rPr>
          <w:sz w:val="14"/>
        </w:rPr>
        <w:t xml:space="preserve"> Kim Janey, senior project director at Massachusetts Advocates for Children. Janey sees the report’s data play out not only in her work at the nonprofit, but in Roxbury, where she lives. People there don’t have access to the boom of economic activity that has lifted other parts of the city, she said. Indeed, </w:t>
      </w:r>
      <w:r w:rsidRPr="008C4E84">
        <w:rPr>
          <w:rStyle w:val="StyleUnderline"/>
        </w:rPr>
        <w:t>while the Massachusetts economy may be improving overall, the picture is not so rosy when you peel back layers of data. Unemployment rates are substantially higher for black and Latino workers and for those with disabilities, for example.</w:t>
      </w:r>
      <w:r>
        <w:rPr>
          <w:rStyle w:val="StyleUnderline"/>
        </w:rPr>
        <w:t xml:space="preserve"> </w:t>
      </w:r>
      <w:r w:rsidRPr="008C4E84">
        <w:rPr>
          <w:sz w:val="14"/>
        </w:rPr>
        <w:t xml:space="preserve">“If you look at the </w:t>
      </w:r>
      <w:r w:rsidRPr="008C4E84">
        <w:rPr>
          <w:rStyle w:val="StyleUnderline"/>
        </w:rPr>
        <w:t>people in the bottom half</w:t>
      </w:r>
      <w:r w:rsidRPr="008C4E84">
        <w:rPr>
          <w:sz w:val="14"/>
        </w:rPr>
        <w:t xml:space="preserve">, especially the people in the lowest fifth, you really see that they </w:t>
      </w:r>
      <w:r w:rsidRPr="008C4E84">
        <w:rPr>
          <w:rStyle w:val="StyleUnderline"/>
        </w:rPr>
        <w:t>haven’t recovered much</w:t>
      </w:r>
      <w:r w:rsidRPr="008C4E84">
        <w:rPr>
          <w:sz w:val="14"/>
        </w:rPr>
        <w:t xml:space="preserve"> at all,” said Marc Draisen, executive director of the council, a regional planning organization that represents 101 cities and towns in the eastern part of the state. Since 1980, metro Boston’s population has grown from 8 percent to more than 25 percent people of color, the report said. But despite the fact that Latinos are the largest and fastest-growing nonwhite demographic in the region, there is now a greater degree of segregation between them and whites. For example, the average white resident lives in a neighborhood where only 4 percent of his or her neighbors are black and only 6 percent Latino, the report said. The average black resident lives in a neighborhood where 43 percent of neighbors are white. </w:t>
      </w:r>
      <w:r w:rsidRPr="008C4E84">
        <w:rPr>
          <w:rStyle w:val="StyleUnderline"/>
        </w:rPr>
        <w:t>The report also explored areas of educational and health disparities — and discovered some encouraging news: Racial gaps in test scores, school discipline, graduation rates, and incarceration rates have decreased in the last five years.</w:t>
      </w:r>
      <w:r>
        <w:rPr>
          <w:rStyle w:val="StyleUnderline"/>
        </w:rPr>
        <w:t xml:space="preserve"> </w:t>
      </w:r>
      <w:r w:rsidRPr="008C4E84">
        <w:rPr>
          <w:sz w:val="14"/>
        </w:rPr>
        <w:t xml:space="preserve">The rate of low-weight births among black mothers has dropped in the past five years, for example. Standardized test scores improved across nearly all demographic categories between 2009 and 2015, and the gains were largest for blacks and Latinos, according to the report. </w:t>
      </w:r>
      <w:r w:rsidRPr="008C4E84">
        <w:rPr>
          <w:rStyle w:val="StyleUnderline"/>
        </w:rPr>
        <w:t>At the same time, people of color are still disproportionately affected by asthma, diabetes, hypertension, and other health problems</w:t>
      </w:r>
      <w:r w:rsidRPr="008C4E84">
        <w:rPr>
          <w:sz w:val="14"/>
        </w:rPr>
        <w:t xml:space="preserve">. Jeannette Huezo, executive director of United for a Fair Economy, said the report is more than numbers — it’s people’s lives. She told the story of a man in Roslindale whose landlord increased the rent from one month to the next from $1,150 to $1,700. His family, two young children and his wife, couldn’t afford it so they moved in with a friend in Dorchester while they searched for an apartment. “People can’t survive in Boston with the high rent,” Huezo said. </w:t>
      </w:r>
      <w:r w:rsidRPr="008C4E84">
        <w:rPr>
          <w:rStyle w:val="StyleUnderline"/>
        </w:rPr>
        <w:t>Income polarization has limited economic mobility, according to the report.</w:t>
      </w:r>
      <w:r w:rsidRPr="008C4E84">
        <w:rPr>
          <w:sz w:val="14"/>
        </w:rPr>
        <w:t xml:space="preserve"> Even as the total number of jobs and working households grew, the share of working households considered middle-income in Greater Boston declined from 33 to 26 percent of the total in the past five years. </w:t>
      </w:r>
      <w:r w:rsidRPr="008C4E84">
        <w:rPr>
          <w:rStyle w:val="StyleUnderline"/>
        </w:rPr>
        <w:t>Black and Latino households are disproportionately affected by how hard it is to move up the economic ladder.</w:t>
      </w:r>
      <w:r>
        <w:rPr>
          <w:rStyle w:val="StyleUnderline"/>
        </w:rPr>
        <w:t xml:space="preserve"> </w:t>
      </w:r>
      <w:r w:rsidRPr="008C4E84">
        <w:rPr>
          <w:sz w:val="14"/>
        </w:rPr>
        <w:t xml:space="preserve">The median income for black and Latino households is less than half the median income for white and Asian households, the report said. And while median incomes did not change significantly for white, Asian, and Latino households from five years ago, the median income declined for black households, from $45,800 to $43,600. </w:t>
      </w:r>
      <w:r w:rsidRPr="008C4E84">
        <w:rPr>
          <w:rStyle w:val="StyleUnderline"/>
        </w:rPr>
        <w:t>The report also explored other nuances of inequality, including the fact that minorities</w:t>
      </w:r>
      <w:r w:rsidRPr="008C4E84">
        <w:rPr>
          <w:sz w:val="14"/>
        </w:rPr>
        <w:t xml:space="preserve">, </w:t>
      </w:r>
      <w:r w:rsidRPr="008C4E84">
        <w:rPr>
          <w:rStyle w:val="StyleUnderline"/>
        </w:rPr>
        <w:t>even</w:t>
      </w:r>
      <w:r w:rsidRPr="008C4E84">
        <w:rPr>
          <w:sz w:val="14"/>
        </w:rPr>
        <w:t xml:space="preserve"> </w:t>
      </w:r>
      <w:r w:rsidRPr="008C4E84">
        <w:rPr>
          <w:rStyle w:val="StyleUnderline"/>
        </w:rPr>
        <w:t>wealthy ones</w:t>
      </w:r>
      <w:r w:rsidRPr="008C4E84">
        <w:rPr>
          <w:sz w:val="14"/>
        </w:rPr>
        <w:t xml:space="preserve">, </w:t>
      </w:r>
      <w:r w:rsidRPr="008C4E84">
        <w:rPr>
          <w:rStyle w:val="StyleUnderline"/>
        </w:rPr>
        <w:t>have a much harder time getting approved for mortgages</w:t>
      </w:r>
      <w:r w:rsidRPr="008C4E84">
        <w:rPr>
          <w:sz w:val="14"/>
        </w:rPr>
        <w:t xml:space="preserve"> </w:t>
      </w:r>
      <w:r w:rsidRPr="008C4E84">
        <w:rPr>
          <w:rStyle w:val="StyleUnderline"/>
        </w:rPr>
        <w:t>than white people</w:t>
      </w:r>
      <w:r w:rsidRPr="008C4E84">
        <w:rPr>
          <w:sz w:val="14"/>
        </w:rPr>
        <w:t>. It found that an increasing share of older adults are continuing to work past age 65 and spend more than 30 percent of their income on a place to live. Specialists and advocates who work on these issues in the region said that the key to shrinking these gaps further will be removing the barriers that perpetuate them. Housing is perhaps the most critical issue, they said. “</w:t>
      </w:r>
      <w:r w:rsidRPr="008C4E84">
        <w:rPr>
          <w:rStyle w:val="StyleUnderline"/>
        </w:rPr>
        <w:t>This housing cost burden issue is not only a huge social issue, it’s also a big problem for our economy</w:t>
      </w:r>
      <w:r w:rsidRPr="008C4E84">
        <w:rPr>
          <w:sz w:val="14"/>
        </w:rPr>
        <w:t xml:space="preserve">,” said Draisen, executive director of the group that produced the report. The report was issued the same day that US News &amp; World Report released a first-ever ranking of states that named Massachusetts the “best” state in the nation, based on a variety of factors. Governor Charlie Baker bragged about that ranking Tuesday, saying it reflects the region’s strong technology, health care, finance, and education sectors. Asked about the report on inequality, a Baker spokesman said the administration is “committed to closing the opportunity gap” and praised many of the state’s accomplishments, such as increasing graduation rates in urban districts. Baker also recently appointed a committee to examine issues facing black residents </w:t>
      </w:r>
      <w:r w:rsidRPr="008C4E84">
        <w:rPr>
          <w:sz w:val="14"/>
        </w:rPr>
        <w:lastRenderedPageBreak/>
        <w:t>in the Commonwealth. The contrast between the two reports was not lost on Democratic state Senator Sonia Chang-Diaz, whose districts include many of Boston’s low-income and minority neighborhoods. “Our averages in Massachusetts give Bay Staters a lot to be proud of. But peel the onion back one layer, and you find chart-topping levels of inequality in Metro Boston,” she said in a statement. Chang-Diaz suggested that people concerned about the growing wealth gap support a ballot question in 2018 that would impose an additional tax on income over $1 million.</w:t>
      </w:r>
    </w:p>
    <w:p w:rsidR="00A36A2E" w:rsidRDefault="004921A0" w:rsidP="004921A0">
      <w:pPr>
        <w:pStyle w:val="Heading4"/>
      </w:pPr>
      <w:r>
        <w:t>Alt cause- PTAs</w:t>
      </w:r>
    </w:p>
    <w:p w:rsidR="004921A0" w:rsidRDefault="00936157" w:rsidP="004921A0">
      <w:r w:rsidRPr="00936157">
        <w:t xml:space="preserve">Jeremy Adam </w:t>
      </w:r>
      <w:r w:rsidRPr="00936157">
        <w:rPr>
          <w:rStyle w:val="Style13ptBold"/>
        </w:rPr>
        <w:t>Smith</w:t>
      </w:r>
      <w:r>
        <w:t xml:space="preserve">, </w:t>
      </w:r>
      <w:r w:rsidRPr="00936157">
        <w:t>2-3-20</w:t>
      </w:r>
      <w:r w:rsidRPr="00936157">
        <w:rPr>
          <w:rStyle w:val="Style13ptBold"/>
        </w:rPr>
        <w:t>14</w:t>
      </w:r>
      <w:r w:rsidRPr="00936157">
        <w:t>,</w:t>
      </w:r>
      <w:r w:rsidR="00CF74BB">
        <w:t xml:space="preserve"> (journalist focusing on racial and economic segregation in San Francisco, and former </w:t>
      </w:r>
      <w:r w:rsidR="00CF74BB" w:rsidRPr="00CF74BB">
        <w:t>John S. Knight Journalism fellow at Stanford University</w:t>
      </w:r>
      <w:r w:rsidR="00CF74BB">
        <w:t>)</w:t>
      </w:r>
      <w:bookmarkStart w:id="0" w:name="_GoBack"/>
      <w:bookmarkEnd w:id="0"/>
      <w:r w:rsidR="00CF74BB">
        <w:t xml:space="preserve"> </w:t>
      </w:r>
      <w:r w:rsidRPr="00936157">
        <w:t xml:space="preserve"> "How Budget Cuts and PTA Fundraising Undermined Equity in San Francisco Public Schools," </w:t>
      </w:r>
      <w:r w:rsidR="00CF74BB">
        <w:t>Public Press</w:t>
      </w:r>
      <w:r w:rsidRPr="00936157">
        <w:t xml:space="preserve">, </w:t>
      </w:r>
      <w:hyperlink r:id="rId8" w:history="1">
        <w:r w:rsidRPr="00A615D5">
          <w:rPr>
            <w:rStyle w:val="Hyperlink"/>
          </w:rPr>
          <w:t>http://sfpublicpress.org/news/2014-02/how-budget-cuts-and-PTA-fundraising-undermined-equity-in-san-francisco-public-schools</w:t>
        </w:r>
      </w:hyperlink>
      <w:r>
        <w:t xml:space="preserve"> ach</w:t>
      </w:r>
    </w:p>
    <w:p w:rsidR="004921A0" w:rsidRDefault="004921A0" w:rsidP="004921A0">
      <w:r>
        <w:t xml:space="preserve">Evelyn Cheung is the principal of Junipero Serra Elementary School in Bernal Heights. Matthew Reedy is the principal of Grattan Elementary in the Haight. Both </w:t>
      </w:r>
      <w:r w:rsidRPr="00CE62D3">
        <w:rPr>
          <w:u w:val="single"/>
        </w:rPr>
        <w:t>San Francisco public schools faced five straight years of districtwide budget cuts</w:t>
      </w:r>
      <w:r>
        <w:t xml:space="preserve"> — which hit hardest in 2010 with a $113 million shortfall and last school year came to a more manageable $13 million.</w:t>
      </w:r>
      <w:r w:rsidR="00936157">
        <w:t xml:space="preserve"> </w:t>
      </w:r>
      <w:r w:rsidRPr="00CE62D3">
        <w:rPr>
          <w:u w:val="single"/>
        </w:rPr>
        <w:t>But the belt tightening did not hurt</w:t>
      </w:r>
      <w:r>
        <w:t xml:space="preserve"> the two </w:t>
      </w:r>
      <w:r w:rsidRPr="00CE62D3">
        <w:rPr>
          <w:u w:val="single"/>
        </w:rPr>
        <w:t>schools equally. Cheung was forced to lay off staff and take other drastic steps, like freezing supply purchases for a year. By contrast, Reedy hired new staff and expanded his school’s academic programs, helping raise standardized test scores</w:t>
      </w:r>
      <w:r>
        <w:t>.</w:t>
      </w:r>
      <w:r w:rsidR="00936157">
        <w:t xml:space="preserve"> </w:t>
      </w:r>
      <w:r w:rsidRPr="00936157">
        <w:rPr>
          <w:u w:val="single"/>
        </w:rPr>
        <w:t>Why? The difference lay in the ability of their parent-teacher associations to raise money.</w:t>
      </w:r>
      <w:r>
        <w:t xml:space="preserve"> </w:t>
      </w:r>
      <w:r w:rsidRPr="00936157">
        <w:rPr>
          <w:u w:val="single"/>
        </w:rPr>
        <w:t>The Grattan PTA has budgeted hundreds of thousands of dollars a year, amounting to almost $1,000 per pupil. At Junipero Serra, where most students come from poor and immigrant families, the PTA raises approximately $25 per pupil.</w:t>
      </w:r>
      <w:r w:rsidR="00936157">
        <w:rPr>
          <w:u w:val="single"/>
        </w:rPr>
        <w:t xml:space="preserve"> </w:t>
      </w:r>
      <w:r>
        <w:t>“Every principal knows which schools have it and which schools don’t,” Cheung said. “</w:t>
      </w:r>
      <w:r w:rsidRPr="00936157">
        <w:rPr>
          <w:u w:val="single"/>
        </w:rPr>
        <w:t>We know who are the haves and who are the have-nots. The system just isn’t equitable</w:t>
      </w:r>
      <w:r>
        <w:t>.”</w:t>
      </w:r>
    </w:p>
    <w:p w:rsidR="00936157" w:rsidRPr="004921A0" w:rsidRDefault="00936157" w:rsidP="004921A0"/>
    <w:p w:rsidR="00A36A2E" w:rsidRPr="00F4126A" w:rsidRDefault="00A36A2E" w:rsidP="00A36A2E">
      <w:pPr>
        <w:pStyle w:val="Heading1"/>
      </w:pPr>
      <w:r>
        <w:lastRenderedPageBreak/>
        <w:t>Offcase</w:t>
      </w:r>
    </w:p>
    <w:p w:rsidR="003D0058" w:rsidRDefault="003D0058" w:rsidP="003D0058">
      <w:pPr>
        <w:pStyle w:val="Heading2"/>
      </w:pPr>
      <w:r>
        <w:lastRenderedPageBreak/>
        <w:t>Title I Plank CP</w:t>
      </w:r>
    </w:p>
    <w:p w:rsidR="003D0058" w:rsidRDefault="003D0058" w:rsidP="003D0058">
      <w:pPr>
        <w:pStyle w:val="Heading3"/>
      </w:pPr>
      <w:r>
        <w:lastRenderedPageBreak/>
        <w:t>Title I Plank CP</w:t>
      </w:r>
    </w:p>
    <w:p w:rsidR="003D0058" w:rsidRDefault="003D0058" w:rsidP="003D0058">
      <w:pPr>
        <w:pStyle w:val="Heading4"/>
      </w:pPr>
      <w:r>
        <w:t xml:space="preserve">The United States federal government should </w:t>
      </w:r>
    </w:p>
    <w:p w:rsidR="003D0058" w:rsidRDefault="003D0058" w:rsidP="003D0058">
      <w:pPr>
        <w:pStyle w:val="Heading4"/>
        <w:numPr>
          <w:ilvl w:val="0"/>
          <w:numId w:val="11"/>
        </w:numPr>
      </w:pPr>
      <w:r>
        <w:t>Increase non-Title I-A Funds for public education</w:t>
      </w:r>
    </w:p>
    <w:p w:rsidR="003D0058" w:rsidRPr="003F7A3A" w:rsidRDefault="003D0058" w:rsidP="003D0058">
      <w:pPr>
        <w:pStyle w:val="Heading4"/>
        <w:numPr>
          <w:ilvl w:val="0"/>
          <w:numId w:val="11"/>
        </w:numPr>
      </w:pPr>
      <w:r>
        <w:t>Create an enforcement body for public education that reports to Congress in a consultative capacity on the implementation and effects of funding schemes, and investigates accordingly</w:t>
      </w:r>
    </w:p>
    <w:p w:rsidR="003D0058" w:rsidRDefault="003D0058" w:rsidP="003D0058">
      <w:pPr>
        <w:pStyle w:val="Heading4"/>
        <w:numPr>
          <w:ilvl w:val="0"/>
          <w:numId w:val="11"/>
        </w:numPr>
      </w:pPr>
      <w:r>
        <w:t xml:space="preserve">Commit to a mainstreaming equality funding scheme for public education, prioritizing interstate disparities, disbursing federal funds among the states in order to concentrate funds on a national basis </w:t>
      </w:r>
    </w:p>
    <w:p w:rsidR="003D0058" w:rsidRDefault="003D0058" w:rsidP="003D0058">
      <w:pPr>
        <w:pStyle w:val="Heading4"/>
        <w:numPr>
          <w:ilvl w:val="0"/>
          <w:numId w:val="11"/>
        </w:numPr>
      </w:pPr>
      <w:r>
        <w:t>Disburse funds according to a new formula distinct from Title I-A that targets funds based on new definitions of layered disadvantage</w:t>
      </w:r>
    </w:p>
    <w:p w:rsidR="003D0058" w:rsidRDefault="003D0058" w:rsidP="003D0058">
      <w:pPr>
        <w:pStyle w:val="Heading4"/>
        <w:numPr>
          <w:ilvl w:val="0"/>
          <w:numId w:val="11"/>
        </w:numPr>
      </w:pPr>
      <w:r>
        <w:t>Provide a provision of grants to consultative policy groups so that the study of the implementation of the mainstreaming funding scheme across the states may be monitored and studied</w:t>
      </w:r>
    </w:p>
    <w:p w:rsidR="003D0058" w:rsidRPr="003F7A3A" w:rsidRDefault="003D0058" w:rsidP="003D0058">
      <w:pPr>
        <w:jc w:val="center"/>
      </w:pPr>
    </w:p>
    <w:p w:rsidR="003D0058" w:rsidRDefault="003D0058" w:rsidP="003D0058">
      <w:pPr>
        <w:pStyle w:val="Heading4"/>
      </w:pPr>
      <w:r>
        <w:t>Solves and better than Title I</w:t>
      </w:r>
    </w:p>
    <w:p w:rsidR="003D0058" w:rsidRPr="005F3234" w:rsidRDefault="003D0058" w:rsidP="003D0058">
      <w:r>
        <w:rPr>
          <w:rStyle w:val="Style13ptBold"/>
        </w:rPr>
        <w:t xml:space="preserve">Hinson 15 </w:t>
      </w:r>
      <w:r>
        <w:t>(Elizabeth K. Hinson, Mainstreaming Equality in Federal Budgeting: Addressing Educational Inequities With Regard to the States, 20 Mich. J. Race &amp; L. 377 [2015]) GG</w:t>
      </w:r>
    </w:p>
    <w:p w:rsidR="000C482B" w:rsidRPr="000C482B" w:rsidRDefault="003D0058" w:rsidP="000C482B">
      <w:r w:rsidRPr="005F3234">
        <w:rPr>
          <w:rStyle w:val="StyleUnderline"/>
        </w:rPr>
        <w:t>Studies show that there can be no effective enforcement of a mainstreaming scheme without a statutory duty</w:t>
      </w:r>
      <w:r>
        <w:t xml:space="preserve">.184 In fact, </w:t>
      </w:r>
      <w:r w:rsidRPr="005F3234">
        <w:rPr>
          <w:rStyle w:val="StyleUnderline"/>
        </w:rPr>
        <w:t>most mainstreaming schemes have failed without the provision of an enforcement mechanism</w:t>
      </w:r>
      <w:r>
        <w:t xml:space="preserve">.185 Methods of enforcement may include a detailed statutory scheme, outlining for public authorities specific timelines and guidelines for implementation of the funding scheme and detailed instructions for implementation in related regulations. In addition, </w:t>
      </w:r>
      <w:r w:rsidRPr="005F3234">
        <w:rPr>
          <w:rStyle w:val="StyleUnderline"/>
        </w:rPr>
        <w:t>the U.S. Department of Education or other enforcement body, along with a congressional committee, would monitor the implementation of the legislation and its effectiveness</w:t>
      </w:r>
      <w:r>
        <w:t xml:space="preserve">. For example, Section 75 of the Northern Ireland Act of 1998 created the Equality Commission.186 Schedule 9 of the Act outlines the specific roles of the Equality Commission, specifying that the Commission is to offer advice on and review the effectiveness of the duties: The Equality Commission for Northern Ireland shall— keep under review the effectiveness of the duties imposed by section 75; offer advice to public authorities and others in connection with those duties; and carry out the functions conferred on it by the following provisions of this Schedule.187 </w:t>
      </w:r>
      <w:r w:rsidRPr="005F3234">
        <w:rPr>
          <w:rStyle w:val="StyleUnderline"/>
        </w:rPr>
        <w:t>The enforcement body for the U.S. scheme would also report to Congress in a consultative capacity on the implementation and effects of the funding scheme. When the enforcement body suspects that a public authority has not carried out its duty under the statute, it may investigate</w:t>
      </w:r>
      <w:r>
        <w:t xml:space="preserve">.188 </w:t>
      </w:r>
      <w:r w:rsidRPr="005F3234">
        <w:rPr>
          <w:rStyle w:val="StyleUnderline"/>
        </w:rPr>
        <w:t>Congress may also consider employing a consultative element similar to that used in Section 75 as a means by which Congress can accept recommendations</w:t>
      </w:r>
      <w:r>
        <w:t xml:space="preserve"> and reports from policy organizations also evaluating the effectiveness of the funding scheme. Specifically, </w:t>
      </w:r>
      <w:r w:rsidRPr="005F3234">
        <w:rPr>
          <w:rStyle w:val="StyleUnderline"/>
        </w:rPr>
        <w:t>Paragraph 5 of Section 9 requires: [b]efore submitting a scheme a public authority shall consult</w:t>
      </w:r>
      <w:r>
        <w:t xml:space="preserve">, in accordance with any directions given by the Commission— (a) </w:t>
      </w:r>
      <w:r w:rsidRPr="005F3234">
        <w:rPr>
          <w:rStyle w:val="StyleUnderline"/>
        </w:rPr>
        <w:t>representatives</w:t>
      </w:r>
      <w:r>
        <w:t xml:space="preserve"> of persons likely to be </w:t>
      </w:r>
      <w:r w:rsidRPr="005F3234">
        <w:rPr>
          <w:rStyle w:val="StyleUnderline"/>
        </w:rPr>
        <w:t>affected</w:t>
      </w:r>
      <w:r>
        <w:t xml:space="preserve"> by the scheme; and</w:t>
      </w:r>
      <w:r w:rsidRPr="00DE40CF">
        <w:t xml:space="preserve"> </w:t>
      </w:r>
      <w:r>
        <w:t xml:space="preserve">b) </w:t>
      </w:r>
      <w:r w:rsidRPr="005F3234">
        <w:rPr>
          <w:rStyle w:val="StyleUnderline"/>
        </w:rPr>
        <w:t>such other persons as may be specified in the directions</w:t>
      </w:r>
      <w:r>
        <w:t xml:space="preserve">.189 </w:t>
      </w:r>
      <w:r w:rsidRPr="005F3234">
        <w:rPr>
          <w:rStyle w:val="StyleUnderline"/>
        </w:rPr>
        <w:t xml:space="preserve">Congress may additionally provide a </w:t>
      </w:r>
      <w:r w:rsidRPr="005F3234">
        <w:rPr>
          <w:rStyle w:val="StyleUnderline"/>
        </w:rPr>
        <w:lastRenderedPageBreak/>
        <w:t>provision of grants to consultative policy groups so that the study of the implementation of the mainstreaming funding scheme across the states may be monitored and studied.</w:t>
      </w:r>
      <w:r>
        <w:t xml:space="preserve">190 </w:t>
      </w:r>
      <w:r w:rsidRPr="005F3234">
        <w:rPr>
          <w:rStyle w:val="StyleUnderline"/>
        </w:rPr>
        <w:t>This is</w:t>
      </w:r>
      <w:r>
        <w:t xml:space="preserve"> an </w:t>
      </w:r>
      <w:r w:rsidRPr="005F3234">
        <w:rPr>
          <w:rStyle w:val="StyleUnderline"/>
        </w:rPr>
        <w:t>essential</w:t>
      </w:r>
      <w:r>
        <w:t xml:space="preserve"> element </w:t>
      </w:r>
      <w:r w:rsidRPr="005F3234">
        <w:rPr>
          <w:rStyle w:val="StyleUnderline"/>
        </w:rPr>
        <w:t>in the funding scheme because a detailed understanding and engagement with all communities is necessary to ensure all indicators listed within the funding scheme carry the adequate number of dollars to each student no matter the student’s county or region in the</w:t>
      </w:r>
      <w:r>
        <w:t xml:space="preserve"> </w:t>
      </w:r>
      <w:r w:rsidRPr="005F3234">
        <w:rPr>
          <w:rStyle w:val="StyleUnderline"/>
        </w:rPr>
        <w:t>U</w:t>
      </w:r>
      <w:r>
        <w:t xml:space="preserve">nited </w:t>
      </w:r>
      <w:r w:rsidRPr="005F3234">
        <w:rPr>
          <w:rStyle w:val="StyleUnderline"/>
        </w:rPr>
        <w:t>S</w:t>
      </w:r>
      <w:r>
        <w:t xml:space="preserve">tates. Moreover, continual assessment and re-assessment of indicators of disadvantage and evaluations of layered disadvantage will be required in order to ensure that student needs are adequately met. Amid wide reports that funds for the federal Title I program have been insufficient to improve student achievement in identified schools under the No Child Left Behind Act,191 and the accompanying lawsuits in various states, </w:t>
      </w:r>
      <w:r w:rsidRPr="005F3234">
        <w:rPr>
          <w:rStyle w:val="StyleUnderline"/>
        </w:rPr>
        <w:t>it is imperative that Congress commit to a mainstreaming equality funding scheme for public education</w:t>
      </w:r>
      <w:r>
        <w:t xml:space="preserve">. </w:t>
      </w:r>
      <w:r w:rsidRPr="005F3234">
        <w:rPr>
          <w:rStyle w:val="StyleUnderline"/>
        </w:rPr>
        <w:t>Congress should</w:t>
      </w:r>
      <w:r>
        <w:t xml:space="preserve"> also </w:t>
      </w:r>
      <w:r w:rsidRPr="005F3234">
        <w:rPr>
          <w:rStyle w:val="StyleUnderline"/>
        </w:rPr>
        <w:t>consider increasing the amount it already contributes to public education in order to counteract some of the fiscal inefficiencies</w:t>
      </w:r>
      <w:r>
        <w:t xml:space="preserve"> at the local level and the opposition by state taxpayers to allow redistribution of funds between wealthy and poor school districts. Currently, </w:t>
      </w:r>
      <w:r w:rsidRPr="005F3234">
        <w:rPr>
          <w:rStyle w:val="StyleUnderline"/>
        </w:rPr>
        <w:t>less than eight percent of funding for public elementary and secondary education comes from the federal government</w:t>
      </w:r>
      <w:r>
        <w:t xml:space="preserve">.192 In designing a statutory duty for mainstreaming equality and the consequent allocation of targeted funds, </w:t>
      </w:r>
      <w:r w:rsidRPr="005F3234">
        <w:rPr>
          <w:rStyle w:val="StyleUnderline"/>
        </w:rPr>
        <w:t>Congress should prioritize interstate disparities, disbursing federal funds among the states in order to concentrate funds on a national basis and to combat interstate disparities. Funds would then also be disbursed according to a new formula which, unlike the current Title I-A formula, would target funds based on new definitions of layered disadvantage, as outlined above</w:t>
      </w:r>
      <w:r>
        <w:t>. The implementation must be effective, and thus the statute must also allow and fund a sufficient number of staff at the state education agencies to oversee the implementation of this specialized mainstreaming scheme.</w:t>
      </w:r>
    </w:p>
    <w:p w:rsidR="003D0058" w:rsidRDefault="006E33F5" w:rsidP="00B56D41">
      <w:pPr>
        <w:pStyle w:val="Heading2"/>
      </w:pPr>
      <w:r>
        <w:lastRenderedPageBreak/>
        <w:t xml:space="preserve">Portability CP </w:t>
      </w:r>
    </w:p>
    <w:p w:rsidR="00B56D41" w:rsidRDefault="00B56D41" w:rsidP="00B56D41">
      <w:pPr>
        <w:pStyle w:val="Heading3"/>
      </w:pPr>
      <w:r>
        <w:lastRenderedPageBreak/>
        <w:t>Solves Equity</w:t>
      </w:r>
      <w:r w:rsidR="000C482B">
        <w:t xml:space="preserve"> Adv</w:t>
      </w:r>
    </w:p>
    <w:p w:rsidR="00B56D41" w:rsidRDefault="00B56D41" w:rsidP="00B56D41">
      <w:pPr>
        <w:pStyle w:val="Heading4"/>
      </w:pPr>
      <w:r>
        <w:t xml:space="preserve">ESA’s are the best for equity – it breaks the housing and education link that limits student’s educational possibilities </w:t>
      </w:r>
    </w:p>
    <w:p w:rsidR="000C482B" w:rsidRPr="000C482B" w:rsidRDefault="000C482B" w:rsidP="000C482B">
      <w:pPr>
        <w:rPr>
          <w:rStyle w:val="Style13ptBold"/>
        </w:rPr>
      </w:pPr>
      <w:r>
        <w:rPr>
          <w:rStyle w:val="Style13ptBold"/>
        </w:rPr>
        <w:t xml:space="preserve">Bedrick 16 </w:t>
      </w:r>
      <w:r w:rsidRPr="000C482B">
        <w:t>(Jason Bedrick, Education Policy Analyst, CATO, “Does School Choice Increase Inequality?” 7/20/15 https://www.cato.org/publications/commentary/does-school-choice-increase-inequality) GG</w:t>
      </w:r>
    </w:p>
    <w:p w:rsidR="00B56D41" w:rsidRPr="000C482B" w:rsidRDefault="00B56D41" w:rsidP="00B56D41">
      <w:pPr>
        <w:rPr>
          <w:rStyle w:val="StyleUnderline"/>
        </w:rPr>
      </w:pPr>
      <w:r>
        <w:t xml:space="preserve">When Nevada enacted the nation’s first nearly universal education savings accounts (ESAs), education reformers celebrated. </w:t>
      </w:r>
      <w:r w:rsidRPr="00B56D41">
        <w:rPr>
          <w:rStyle w:val="StyleUnderline"/>
        </w:rPr>
        <w:t>ESAs empower families to tailor their children’s education to meet their individual learning needs and</w:t>
      </w:r>
      <w:r>
        <w:t xml:space="preserve"> have the potential to </w:t>
      </w:r>
      <w:r w:rsidRPr="00B56D41">
        <w:rPr>
          <w:rStyle w:val="StyleUnderline"/>
        </w:rPr>
        <w:t>unleash</w:t>
      </w:r>
      <w:r>
        <w:t xml:space="preserve"> a wave of </w:t>
      </w:r>
      <w:r w:rsidRPr="00B56D41">
        <w:rPr>
          <w:rStyle w:val="StyleUnderline"/>
        </w:rPr>
        <w:t>innovation</w:t>
      </w:r>
      <w:r>
        <w:t>.</w:t>
      </w:r>
      <w:r w:rsidR="000C482B">
        <w:t xml:space="preserve"> </w:t>
      </w:r>
      <w:r>
        <w:t>Others, however, have been less enthusiastic. Perhaps the most common concern is the one raised recently by David Osborne, director of the project on Reinventing America’s Schools at the Progressive Policy Institute, who fears ESAs could exacerbate inequality:</w:t>
      </w:r>
      <w:r w:rsidR="000C482B">
        <w:t xml:space="preserve"> </w:t>
      </w:r>
      <w:r>
        <w:t>[Nevada’s new ESA program will] make access to quality education less equal than it is today. Why do I say it will do that? Because it allows families to add to their education savings account to buy a more expensive education. Most parents want what’s best for their children, so those who can afford it will do just that. Those who can’t will not. And the education market will stratify by income, far more than it already does. In a decade, it will look like the markets for houses, cars and other private goods, with huge disparities based on wealth.</w:t>
      </w:r>
      <w:r w:rsidR="000C482B">
        <w:t xml:space="preserve"> </w:t>
      </w:r>
      <w:r w:rsidRPr="00B56D41">
        <w:rPr>
          <w:rStyle w:val="StyleUnderline"/>
        </w:rPr>
        <w:t>Osborne warns of vast inequality in education</w:t>
      </w:r>
      <w:r>
        <w:t xml:space="preserve">, </w:t>
      </w:r>
      <w:r w:rsidRPr="00B56D41">
        <w:rPr>
          <w:rStyle w:val="StyleUnderline"/>
        </w:rPr>
        <w:t>but his doomsday scenario more appropriately describes the public education status quo.</w:t>
      </w:r>
      <w:r w:rsidR="000C482B">
        <w:rPr>
          <w:rStyle w:val="StyleUnderline"/>
        </w:rPr>
        <w:t xml:space="preserve"> </w:t>
      </w:r>
      <w:r>
        <w:t xml:space="preserve">Indeed, America’s public education system already looks like the market for housing because, to a great extent, it is the market for housing. </w:t>
      </w:r>
      <w:r w:rsidRPr="00B56D41">
        <w:rPr>
          <w:rStyle w:val="StyleUnderline"/>
        </w:rPr>
        <w:t>Students are assigned to district schools based on the location of their home, so the quality of the local district school is a major consideration for those who can afford it</w:t>
      </w:r>
      <w:r>
        <w:t xml:space="preserve">. </w:t>
      </w:r>
      <w:r w:rsidRPr="00B56D41">
        <w:rPr>
          <w:rStyle w:val="Emphasis"/>
        </w:rPr>
        <w:t>Educational choice laws like ESAs break the link between education and housing—and low-income families have the most to gain</w:t>
      </w:r>
      <w:r>
        <w:t>.</w:t>
      </w:r>
      <w:r w:rsidR="000C482B">
        <w:t xml:space="preserve"> </w:t>
      </w:r>
      <w:r>
        <w:t>Breaking the Link Between Education and Housing</w:t>
      </w:r>
      <w:r w:rsidR="000C482B">
        <w:t xml:space="preserve"> </w:t>
      </w:r>
      <w:r w:rsidRPr="00B56D41">
        <w:rPr>
          <w:rStyle w:val="StyleUnderline"/>
        </w:rPr>
        <w:t>America’s district schools are already highly stratified by income</w:t>
      </w:r>
      <w:r>
        <w:t>. According to a 2012 report by the Brookings Institution, “the average low-income student attends a school that scores at the 42nd percentile on state exams, while the average middle/high-income student attends a school that scores at the 61st percentile on state exams.”</w:t>
      </w:r>
      <w:r w:rsidR="000C482B">
        <w:t xml:space="preserve"> </w:t>
      </w:r>
      <w:r w:rsidRPr="00B56D41">
        <w:rPr>
          <w:rStyle w:val="StyleUnderline"/>
        </w:rPr>
        <w:t>Wealthier families can afford homes in communities with better performing district schools</w:t>
      </w:r>
      <w:r>
        <w:t>. The Brookings report found that in “the 100 largest metropolitan areas, housing costs an average of 2.4 times as much, or nearly $11,000 more per year, near a high-scoring public school than near a low-scoring public school.” In other words, parents pay the equivalent of tuition at many private schools to live in districts with higher-performing public schools.</w:t>
      </w:r>
      <w:r w:rsidR="000C482B">
        <w:t xml:space="preserve"> </w:t>
      </w:r>
      <w:r w:rsidRPr="000C482B">
        <w:rPr>
          <w:rStyle w:val="StyleUnderline"/>
        </w:rPr>
        <w:t>By empowering all parents to pay for education directly</w:t>
      </w:r>
      <w:r>
        <w:t xml:space="preserve">, </w:t>
      </w:r>
      <w:r w:rsidRPr="000C482B">
        <w:rPr>
          <w:rStyle w:val="Emphasis"/>
        </w:rPr>
        <w:t>ESAs and other educational choice programs cut housing out of the equation</w:t>
      </w:r>
      <w:r>
        <w:t xml:space="preserve">. </w:t>
      </w:r>
      <w:r w:rsidRPr="000C482B">
        <w:rPr>
          <w:rStyle w:val="StyleUnderline"/>
        </w:rPr>
        <w:t>Parents no longer have to be able to afford a house in an expensive community to afford the best educational environment</w:t>
      </w:r>
      <w:r>
        <w:t xml:space="preserve"> for their children. In Nevada, the state will provide $5,100 in most ESAs and $5,700 for low-income families or students with special needs.</w:t>
      </w:r>
      <w:r w:rsidR="000C482B">
        <w:t xml:space="preserve"> </w:t>
      </w:r>
      <w:r>
        <w:t>However, Osborne worries that the current level of ESA funding in Nevada won’t cover more than “a cut-rate job.” The average private school tuition, he notes, is between $8,000 and $10,000 while district schools spend about $8,300 per pupil annually on instruction (and more than $9,400 per pupil in total).</w:t>
      </w:r>
      <w:r w:rsidR="000C482B">
        <w:t xml:space="preserve"> </w:t>
      </w:r>
      <w:r>
        <w:t>Nevada should do more to make funding more equitable, but $5,700 could still go a long way. For many families, it could make the difference between enrolling their child in a school that meets their needs or keeping them in a school that doesn’t. Moreover, looking at the average alone obscures the tuition that families actually face. As Glenn Cook of the Las Vegas Review-Journal explained recently, $5,700 is more than enough to cover the full tuition at several inner-city private schools and just shy of the posted tuition at several more—even before factoring in the schools’ tuition aid. The ESA might even encourage new high-quality, low-</w:t>
      </w:r>
      <w:r>
        <w:lastRenderedPageBreak/>
        <w:t>cost schools—like Acton Academies, which often charge as little as $4,000 in tuition—to enter the market.</w:t>
      </w:r>
      <w:r w:rsidR="000C482B">
        <w:t xml:space="preserve"> </w:t>
      </w:r>
      <w:r>
        <w:t>Very soon, the Friedman Foundation will release a new report from its School Survey Series called Exploring Nevada’s Private Education Sector, which will shed more light on the issue of private school supply in Nevada. The report will not only include the number of open private school seats, but also the percentage of Nevada private schools that offer additional tuition assistance to low-income families.</w:t>
      </w:r>
      <w:r w:rsidR="000C482B">
        <w:t xml:space="preserve"> </w:t>
      </w:r>
      <w:r>
        <w:t>Low-Income Families Benefit the Most</w:t>
      </w:r>
      <w:r w:rsidR="000C482B">
        <w:t xml:space="preserve"> </w:t>
      </w:r>
      <w:r w:rsidRPr="000C482B">
        <w:rPr>
          <w:rStyle w:val="StyleUnderline"/>
        </w:rPr>
        <w:t>Research shows that low-income families have the most to gain from expanded choice.</w:t>
      </w:r>
      <w:r>
        <w:t xml:space="preserve"> In 2013, Jonathan Butcher of the Goldwater Institute and I conducted a survey of Arizona families using ESAs in the first year of the program. Due to the program’s eligibility requirements at the time, all of the ESA families had students with special needs who had previously attended their assigned district schools. As shown in the table below, </w:t>
      </w:r>
      <w:r w:rsidRPr="000C482B">
        <w:rPr>
          <w:rStyle w:val="StyleUnderline"/>
        </w:rPr>
        <w:t>low-income families reported the highest levels of dissatisfaction with their district schools.</w:t>
      </w:r>
      <w:r>
        <w:t xml:space="preserve"> Two-thirds of families in the lowest income quintile reported being dissatisfied, including 56 percent who were very dissatisfied while only 22 percent reported being satisfied or very satisfied.</w:t>
      </w:r>
      <w:r w:rsidR="000C482B">
        <w:t xml:space="preserve"> </w:t>
      </w:r>
      <w:r w:rsidRPr="000C482B">
        <w:rPr>
          <w:rStyle w:val="StyleUnderline"/>
        </w:rPr>
        <w:t>In stark contrast, survey respondents reported unanimous satisfaction with the ESA program</w:t>
      </w:r>
      <w:r>
        <w:t xml:space="preserve">. Moreover, </w:t>
      </w:r>
      <w:r w:rsidRPr="000C482B">
        <w:rPr>
          <w:rStyle w:val="StyleUnderline"/>
        </w:rPr>
        <w:t>families with the lowest income were the most enthusiastic with nearly nine in 10 reporting that they were very satisfied.</w:t>
      </w:r>
      <w:r w:rsidR="000C482B">
        <w:rPr>
          <w:rStyle w:val="StyleUnderline"/>
        </w:rPr>
        <w:t xml:space="preserve"> </w:t>
      </w:r>
      <w:r>
        <w:t>Osborne, however, is skeptical that the high degree of parental satisfaction is actually related to their kids getting a quality education:</w:t>
      </w:r>
      <w:r w:rsidR="000C482B">
        <w:t xml:space="preserve"> </w:t>
      </w:r>
      <w:r>
        <w:t>[I]nformation about schools’ academic quality will be sparse, and many parents will be ill equipped to distinguish the wheat from the chaff. Experience in the charter school sector has proven that if a school is safe, warm and nurturing, many parents will stick with it, even if test scores show that students are falling behind. The same will be true in Nevada’s private schools, so many kids will get a lousy education.</w:t>
      </w:r>
      <w:r w:rsidR="000C482B">
        <w:t xml:space="preserve"> </w:t>
      </w:r>
      <w:r>
        <w:t xml:space="preserve">Fortunately, </w:t>
      </w:r>
      <w:r w:rsidRPr="000C482B">
        <w:rPr>
          <w:rStyle w:val="StyleUnderline"/>
        </w:rPr>
        <w:t>numerous studies have explored the impact of choice programs on student outcomes</w:t>
      </w:r>
      <w:r>
        <w:t xml:space="preserve">. </w:t>
      </w:r>
      <w:r w:rsidRPr="000C482B">
        <w:rPr>
          <w:rStyle w:val="StyleUnderline"/>
        </w:rPr>
        <w:t>Eleven of 12 random-assignment studies</w:t>
      </w:r>
      <w:r>
        <w:t>—the gold standard of social science research—</w:t>
      </w:r>
      <w:r w:rsidRPr="000C482B">
        <w:rPr>
          <w:rStyle w:val="StyleUnderline"/>
        </w:rPr>
        <w:t>have found that school choice programs improve the outcomes of participating students, lead</w:t>
      </w:r>
      <w:r>
        <w:t xml:space="preserve">ing </w:t>
      </w:r>
      <w:r w:rsidRPr="000C482B">
        <w:rPr>
          <w:rStyle w:val="StyleUnderline"/>
        </w:rPr>
        <w:t>to higher test scores, higher rates of graduation, and higher rates of college enrollment</w:t>
      </w:r>
      <w:r>
        <w:t>. One study found no visible impact and none found any harm.</w:t>
      </w:r>
      <w:r w:rsidR="000C482B">
        <w:t xml:space="preserve"> </w:t>
      </w:r>
      <w:r>
        <w:t xml:space="preserve">Moreover, </w:t>
      </w:r>
      <w:r w:rsidRPr="000C482B">
        <w:rPr>
          <w:rStyle w:val="StyleUnderline"/>
        </w:rPr>
        <w:t>parents have more access to information about schools than Osborne gives credit</w:t>
      </w:r>
      <w:r>
        <w:t xml:space="preserve">. For example, GreatSchools provides parents with ratings of private schools based on student performance data and reviews from parents. A recent American Enterprise Institute report found that </w:t>
      </w:r>
      <w:r w:rsidRPr="000C482B">
        <w:rPr>
          <w:rStyle w:val="StyleUnderline"/>
        </w:rPr>
        <w:t>parents give considerable weight to the experiences of other parents</w:t>
      </w:r>
      <w:r>
        <w:t xml:space="preserve">—and for good reason. As Matthew Ladner of the Foundation for Excellence in Education noted recently, </w:t>
      </w:r>
      <w:r w:rsidRPr="000C482B">
        <w:rPr>
          <w:rStyle w:val="StyleUnderline"/>
        </w:rPr>
        <w:t>parents are often tougher graders than state accountability systems</w:t>
      </w:r>
      <w:r>
        <w:t>.</w:t>
      </w:r>
      <w:r w:rsidR="000C482B">
        <w:t xml:space="preserve"> </w:t>
      </w:r>
      <w:r w:rsidRPr="000C482B">
        <w:rPr>
          <w:rStyle w:val="StyleUnderline"/>
        </w:rPr>
        <w:t>Osborne</w:t>
      </w:r>
      <w:r>
        <w:t xml:space="preserve"> also </w:t>
      </w:r>
      <w:r w:rsidRPr="000C482B">
        <w:rPr>
          <w:rStyle w:val="StyleUnderline"/>
        </w:rPr>
        <w:t>frets about the impact of school choice policies on the students “left” behind at their assigned district schools</w:t>
      </w:r>
      <w:r>
        <w:t xml:space="preserve">, but </w:t>
      </w:r>
      <w:r w:rsidRPr="000C482B">
        <w:rPr>
          <w:rStyle w:val="Emphasis"/>
        </w:rPr>
        <w:t>the research literature shows that they benefit as well</w:t>
      </w:r>
      <w:r w:rsidRPr="000C482B">
        <w:rPr>
          <w:rStyle w:val="StyleUnderline"/>
        </w:rPr>
        <w:t>. In 22 of 23 empirical studies, the</w:t>
      </w:r>
      <w:r w:rsidRPr="000C482B">
        <w:rPr>
          <w:rStyle w:val="Emphasis"/>
        </w:rPr>
        <w:t xml:space="preserve"> academic performance of students who chose to stay in district schools improved as a result of the competitive effects of school choice</w:t>
      </w:r>
      <w:r>
        <w:t xml:space="preserve">. </w:t>
      </w:r>
      <w:r w:rsidRPr="000C482B">
        <w:rPr>
          <w:rStyle w:val="StyleUnderline"/>
        </w:rPr>
        <w:t>No study</w:t>
      </w:r>
      <w:r>
        <w:t xml:space="preserve">, even those conducted by anti-school choice organizations, </w:t>
      </w:r>
      <w:r w:rsidRPr="000C482B">
        <w:rPr>
          <w:rStyle w:val="StyleUnderline"/>
        </w:rPr>
        <w:t>has found private school choice programs harm the academic performance of students</w:t>
      </w:r>
      <w:r>
        <w:t xml:space="preserve"> </w:t>
      </w:r>
      <w:r w:rsidRPr="000C482B">
        <w:rPr>
          <w:rStyle w:val="StyleUnderline"/>
        </w:rPr>
        <w:t>who remain in district schools.</w:t>
      </w:r>
      <w:r w:rsidR="000C482B">
        <w:rPr>
          <w:rStyle w:val="StyleUnderline"/>
        </w:rPr>
        <w:t xml:space="preserve"> </w:t>
      </w:r>
      <w:r>
        <w:t>Freedom and Equality</w:t>
      </w:r>
      <w:r w:rsidR="000C482B">
        <w:t xml:space="preserve"> </w:t>
      </w:r>
      <w:r>
        <w:t xml:space="preserve">As Milton Friedman observed, “A society that puts equality before freedom will get neither. A society that puts freedom before equality will get a high degree of both.” Osborne himself argued that a “core value of public education…is equality of opportunity,” knowing full well that America’s current ZIP Code-assignment education system is highly stratified by income. </w:t>
      </w:r>
      <w:r w:rsidRPr="000C482B">
        <w:t>Access to a quality education is too often determined by parents’ ability to afford a home in an expensive neighborhood</w:t>
      </w:r>
      <w:r>
        <w:t>. Without school choice options, the current system is not the bastion of equal opportunity it is often imagined to be.</w:t>
      </w:r>
      <w:r w:rsidR="000C482B">
        <w:t xml:space="preserve"> </w:t>
      </w:r>
      <w:r w:rsidRPr="000C482B">
        <w:rPr>
          <w:rStyle w:val="StyleUnderline"/>
        </w:rPr>
        <w:t>If we want a high degree of equality, more states should</w:t>
      </w:r>
      <w:r>
        <w:t xml:space="preserve"> consider following Friedman’s advice and </w:t>
      </w:r>
      <w:r w:rsidRPr="000C482B">
        <w:rPr>
          <w:rStyle w:val="StyleUnderline"/>
        </w:rPr>
        <w:t>focus efforts on expanding educational freedom and choice</w:t>
      </w:r>
      <w:r>
        <w:t xml:space="preserve">. </w:t>
      </w:r>
      <w:r w:rsidRPr="000C482B">
        <w:rPr>
          <w:rStyle w:val="StyleUnderline"/>
        </w:rPr>
        <w:t>Such policies empower families to choose what’s best for their kids without</w:t>
      </w:r>
      <w:r>
        <w:t xml:space="preserve"> </w:t>
      </w:r>
      <w:r w:rsidRPr="000C482B">
        <w:rPr>
          <w:rStyle w:val="StyleUnderline"/>
        </w:rPr>
        <w:t xml:space="preserve">going through a real </w:t>
      </w:r>
      <w:r w:rsidRPr="000C482B">
        <w:rPr>
          <w:rStyle w:val="StyleUnderline"/>
        </w:rPr>
        <w:lastRenderedPageBreak/>
        <w:t>estate agent—and the best evidence shows that students are better off as a result. If more states adopted universal educational choice programs</w:t>
      </w:r>
      <w:r>
        <w:t xml:space="preserve"> like Nevada’s, all </w:t>
      </w:r>
      <w:r w:rsidRPr="000C482B">
        <w:rPr>
          <w:rStyle w:val="StyleUnderline"/>
        </w:rPr>
        <w:t>children—especially low-income children—will benefit.</w:t>
      </w:r>
    </w:p>
    <w:p w:rsidR="00B56D41" w:rsidRDefault="00B56D41" w:rsidP="00B56D41"/>
    <w:p w:rsidR="00B56D41" w:rsidRPr="00B56D41" w:rsidRDefault="00B56D41" w:rsidP="00B56D41"/>
    <w:sectPr w:rsidR="00B56D41" w:rsidRPr="00B56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84A8A"/>
    <w:multiLevelType w:val="hybridMultilevel"/>
    <w:tmpl w:val="8D6858EC"/>
    <w:lvl w:ilvl="0" w:tplc="6248D89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38420A"/>
    <w:multiLevelType w:val="hybridMultilevel"/>
    <w:tmpl w:val="6730058E"/>
    <w:lvl w:ilvl="0" w:tplc="BA5AA256">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rant Gaylord"/>
    <w:docVar w:name="RibbonPointer" w:val="150407768"/>
    <w:docVar w:name="VerbatimVersion" w:val="5.1"/>
  </w:docVars>
  <w:rsids>
    <w:rsidRoot w:val="003D0058"/>
    <w:rsid w:val="000139A3"/>
    <w:rsid w:val="000862D6"/>
    <w:rsid w:val="000C482B"/>
    <w:rsid w:val="00100833"/>
    <w:rsid w:val="00104529"/>
    <w:rsid w:val="00105942"/>
    <w:rsid w:val="00107396"/>
    <w:rsid w:val="00144A4C"/>
    <w:rsid w:val="00176AB0"/>
    <w:rsid w:val="00177B7D"/>
    <w:rsid w:val="0018322D"/>
    <w:rsid w:val="00187698"/>
    <w:rsid w:val="001B5776"/>
    <w:rsid w:val="001E527A"/>
    <w:rsid w:val="001F78CE"/>
    <w:rsid w:val="00251FC7"/>
    <w:rsid w:val="002855A7"/>
    <w:rsid w:val="002B146A"/>
    <w:rsid w:val="002B5E17"/>
    <w:rsid w:val="002C78C1"/>
    <w:rsid w:val="00315690"/>
    <w:rsid w:val="00316B75"/>
    <w:rsid w:val="00325646"/>
    <w:rsid w:val="003460F2"/>
    <w:rsid w:val="0038158C"/>
    <w:rsid w:val="003902BA"/>
    <w:rsid w:val="003A09E2"/>
    <w:rsid w:val="003D0058"/>
    <w:rsid w:val="00407037"/>
    <w:rsid w:val="004605D6"/>
    <w:rsid w:val="00476284"/>
    <w:rsid w:val="004921A0"/>
    <w:rsid w:val="004A65F2"/>
    <w:rsid w:val="004C60E8"/>
    <w:rsid w:val="004E3579"/>
    <w:rsid w:val="004E728B"/>
    <w:rsid w:val="004F39E0"/>
    <w:rsid w:val="00537BD5"/>
    <w:rsid w:val="00552973"/>
    <w:rsid w:val="0057268A"/>
    <w:rsid w:val="005975C6"/>
    <w:rsid w:val="005B31FC"/>
    <w:rsid w:val="005D2912"/>
    <w:rsid w:val="006065BD"/>
    <w:rsid w:val="006453E1"/>
    <w:rsid w:val="00645FA9"/>
    <w:rsid w:val="00647866"/>
    <w:rsid w:val="0066453F"/>
    <w:rsid w:val="00665003"/>
    <w:rsid w:val="006729FF"/>
    <w:rsid w:val="006A2AD0"/>
    <w:rsid w:val="006B733F"/>
    <w:rsid w:val="006C2375"/>
    <w:rsid w:val="006D4ECC"/>
    <w:rsid w:val="006E33F5"/>
    <w:rsid w:val="00722258"/>
    <w:rsid w:val="007243E5"/>
    <w:rsid w:val="00732D2A"/>
    <w:rsid w:val="00766EA0"/>
    <w:rsid w:val="007A2226"/>
    <w:rsid w:val="007F5B66"/>
    <w:rsid w:val="00823A1C"/>
    <w:rsid w:val="00845B9D"/>
    <w:rsid w:val="00851EF9"/>
    <w:rsid w:val="00860984"/>
    <w:rsid w:val="008B3ECB"/>
    <w:rsid w:val="008B4E85"/>
    <w:rsid w:val="008C1B2E"/>
    <w:rsid w:val="008D46EF"/>
    <w:rsid w:val="008F0725"/>
    <w:rsid w:val="0091627E"/>
    <w:rsid w:val="00936157"/>
    <w:rsid w:val="0097032B"/>
    <w:rsid w:val="00975A3E"/>
    <w:rsid w:val="009D2EAD"/>
    <w:rsid w:val="009D54B2"/>
    <w:rsid w:val="009E1922"/>
    <w:rsid w:val="009F7ED2"/>
    <w:rsid w:val="00A36A2E"/>
    <w:rsid w:val="00A93661"/>
    <w:rsid w:val="00A95652"/>
    <w:rsid w:val="00AC0AB8"/>
    <w:rsid w:val="00AC302B"/>
    <w:rsid w:val="00B33C6D"/>
    <w:rsid w:val="00B43656"/>
    <w:rsid w:val="00B4508F"/>
    <w:rsid w:val="00B55AD5"/>
    <w:rsid w:val="00B56D41"/>
    <w:rsid w:val="00B8057C"/>
    <w:rsid w:val="00B8298E"/>
    <w:rsid w:val="00BD6238"/>
    <w:rsid w:val="00BF593B"/>
    <w:rsid w:val="00BF773A"/>
    <w:rsid w:val="00BF7E81"/>
    <w:rsid w:val="00C13773"/>
    <w:rsid w:val="00C17CC8"/>
    <w:rsid w:val="00C21F27"/>
    <w:rsid w:val="00C450C7"/>
    <w:rsid w:val="00C51EC7"/>
    <w:rsid w:val="00C72A2D"/>
    <w:rsid w:val="00C8294C"/>
    <w:rsid w:val="00C83417"/>
    <w:rsid w:val="00C9604F"/>
    <w:rsid w:val="00CA19AA"/>
    <w:rsid w:val="00CC5298"/>
    <w:rsid w:val="00CC756C"/>
    <w:rsid w:val="00CD736E"/>
    <w:rsid w:val="00CD798D"/>
    <w:rsid w:val="00CE161E"/>
    <w:rsid w:val="00CE62D3"/>
    <w:rsid w:val="00CF59A8"/>
    <w:rsid w:val="00CF74BB"/>
    <w:rsid w:val="00D325A9"/>
    <w:rsid w:val="00D36A8A"/>
    <w:rsid w:val="00D61409"/>
    <w:rsid w:val="00D6691E"/>
    <w:rsid w:val="00D71170"/>
    <w:rsid w:val="00DA1C92"/>
    <w:rsid w:val="00DA25D4"/>
    <w:rsid w:val="00DA6538"/>
    <w:rsid w:val="00DE57A2"/>
    <w:rsid w:val="00DF4460"/>
    <w:rsid w:val="00E15E75"/>
    <w:rsid w:val="00E5262C"/>
    <w:rsid w:val="00EB7CCB"/>
    <w:rsid w:val="00EC7DC4"/>
    <w:rsid w:val="00ED30CF"/>
    <w:rsid w:val="00EF3137"/>
    <w:rsid w:val="00F176EF"/>
    <w:rsid w:val="00F45E10"/>
    <w:rsid w:val="00F610C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5638"/>
  <w15:chartTrackingRefBased/>
  <w15:docId w15:val="{024F2E97-5936-4BC0-9410-835F7DB48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36A2E"/>
    <w:rPr>
      <w:rFonts w:ascii="Calibri" w:hAnsi="Calibri"/>
    </w:rPr>
  </w:style>
  <w:style w:type="paragraph" w:styleId="Heading1">
    <w:name w:val="heading 1"/>
    <w:aliases w:val="Pocket"/>
    <w:basedOn w:val="Normal"/>
    <w:next w:val="Normal"/>
    <w:link w:val="Heading1Char"/>
    <w:qFormat/>
    <w:rsid w:val="00A36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6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6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A36A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6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6A2E"/>
  </w:style>
  <w:style w:type="character" w:customStyle="1" w:styleId="Heading1Char">
    <w:name w:val="Heading 1 Char"/>
    <w:aliases w:val="Pocket Char"/>
    <w:basedOn w:val="DefaultParagraphFont"/>
    <w:link w:val="Heading1"/>
    <w:rsid w:val="00A36A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6A2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6A2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A36A2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A36A2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A36A2E"/>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A36A2E"/>
    <w:rPr>
      <w:b w:val="0"/>
      <w:sz w:val="22"/>
      <w:u w:val="single"/>
    </w:rPr>
  </w:style>
  <w:style w:type="character" w:styleId="Hyperlink">
    <w:name w:val="Hyperlink"/>
    <w:basedOn w:val="DefaultParagraphFont"/>
    <w:uiPriority w:val="99"/>
    <w:unhideWhenUsed/>
    <w:rsid w:val="00A36A2E"/>
    <w:rPr>
      <w:color w:val="auto"/>
      <w:u w:val="none"/>
    </w:rPr>
  </w:style>
  <w:style w:type="character" w:styleId="FollowedHyperlink">
    <w:name w:val="FollowedHyperlink"/>
    <w:basedOn w:val="DefaultParagraphFont"/>
    <w:uiPriority w:val="99"/>
    <w:semiHidden/>
    <w:unhideWhenUsed/>
    <w:rsid w:val="00A36A2E"/>
    <w:rPr>
      <w:color w:val="auto"/>
      <w:u w:val="none"/>
    </w:rPr>
  </w:style>
  <w:style w:type="paragraph" w:customStyle="1" w:styleId="Analytic">
    <w:name w:val="Analytic"/>
    <w:basedOn w:val="Normal"/>
    <w:link w:val="AnalyticChar"/>
    <w:uiPriority w:val="4"/>
    <w:qFormat/>
    <w:rsid w:val="003D0058"/>
    <w:rPr>
      <w:rFonts w:ascii="Cambria" w:hAnsi="Cambria"/>
      <w:sz w:val="26"/>
    </w:rPr>
  </w:style>
  <w:style w:type="character" w:customStyle="1" w:styleId="AnalyticChar">
    <w:name w:val="Analytic Char"/>
    <w:basedOn w:val="DefaultParagraphFont"/>
    <w:link w:val="Analytic"/>
    <w:uiPriority w:val="4"/>
    <w:rsid w:val="003D0058"/>
    <w:rPr>
      <w:rFonts w:ascii="Cambria" w:hAnsi="Cambria"/>
      <w:sz w:val="26"/>
    </w:rPr>
  </w:style>
  <w:style w:type="paragraph" w:customStyle="1" w:styleId="textbold">
    <w:name w:val="text bold"/>
    <w:basedOn w:val="Normal"/>
    <w:link w:val="Emphasis"/>
    <w:uiPriority w:val="7"/>
    <w:qFormat/>
    <w:rsid w:val="003D0058"/>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styleId="ListParagraph">
    <w:name w:val="List Paragraph"/>
    <w:basedOn w:val="Normal"/>
    <w:uiPriority w:val="99"/>
    <w:unhideWhenUsed/>
    <w:qFormat/>
    <w:rsid w:val="000C482B"/>
    <w:pPr>
      <w:ind w:left="720"/>
      <w:contextualSpacing/>
    </w:pPr>
  </w:style>
  <w:style w:type="character" w:styleId="UnresolvedMention">
    <w:name w:val="Unresolved Mention"/>
    <w:basedOn w:val="DefaultParagraphFont"/>
    <w:uiPriority w:val="99"/>
    <w:semiHidden/>
    <w:unhideWhenUsed/>
    <w:rsid w:val="00C450C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039693">
      <w:bodyDiv w:val="1"/>
      <w:marLeft w:val="0"/>
      <w:marRight w:val="0"/>
      <w:marTop w:val="0"/>
      <w:marBottom w:val="0"/>
      <w:divBdr>
        <w:top w:val="none" w:sz="0" w:space="0" w:color="auto"/>
        <w:left w:val="none" w:sz="0" w:space="0" w:color="auto"/>
        <w:bottom w:val="none" w:sz="0" w:space="0" w:color="auto"/>
        <w:right w:val="none" w:sz="0" w:space="0" w:color="auto"/>
      </w:divBdr>
    </w:div>
    <w:div w:id="266082625">
      <w:bodyDiv w:val="1"/>
      <w:marLeft w:val="0"/>
      <w:marRight w:val="0"/>
      <w:marTop w:val="0"/>
      <w:marBottom w:val="0"/>
      <w:divBdr>
        <w:top w:val="none" w:sz="0" w:space="0" w:color="auto"/>
        <w:left w:val="none" w:sz="0" w:space="0" w:color="auto"/>
        <w:bottom w:val="none" w:sz="0" w:space="0" w:color="auto"/>
        <w:right w:val="none" w:sz="0" w:space="0" w:color="auto"/>
      </w:divBdr>
      <w:divsChild>
        <w:div w:id="1416169706">
          <w:marLeft w:val="0"/>
          <w:marRight w:val="0"/>
          <w:marTop w:val="0"/>
          <w:marBottom w:val="0"/>
          <w:divBdr>
            <w:top w:val="none" w:sz="0" w:space="0" w:color="auto"/>
            <w:left w:val="none" w:sz="0" w:space="0" w:color="auto"/>
            <w:bottom w:val="dashed" w:sz="6" w:space="8" w:color="E5E5E5"/>
            <w:right w:val="none" w:sz="0" w:space="0" w:color="auto"/>
          </w:divBdr>
        </w:div>
      </w:divsChild>
    </w:div>
    <w:div w:id="666595401">
      <w:bodyDiv w:val="1"/>
      <w:marLeft w:val="0"/>
      <w:marRight w:val="0"/>
      <w:marTop w:val="0"/>
      <w:marBottom w:val="0"/>
      <w:divBdr>
        <w:top w:val="none" w:sz="0" w:space="0" w:color="auto"/>
        <w:left w:val="none" w:sz="0" w:space="0" w:color="auto"/>
        <w:bottom w:val="none" w:sz="0" w:space="0" w:color="auto"/>
        <w:right w:val="none" w:sz="0" w:space="0" w:color="auto"/>
      </w:divBdr>
    </w:div>
    <w:div w:id="915629177">
      <w:bodyDiv w:val="1"/>
      <w:marLeft w:val="0"/>
      <w:marRight w:val="0"/>
      <w:marTop w:val="0"/>
      <w:marBottom w:val="0"/>
      <w:divBdr>
        <w:top w:val="none" w:sz="0" w:space="0" w:color="auto"/>
        <w:left w:val="none" w:sz="0" w:space="0" w:color="auto"/>
        <w:bottom w:val="none" w:sz="0" w:space="0" w:color="auto"/>
        <w:right w:val="none" w:sz="0" w:space="0" w:color="auto"/>
      </w:divBdr>
      <w:divsChild>
        <w:div w:id="366683684">
          <w:marLeft w:val="0"/>
          <w:marRight w:val="0"/>
          <w:marTop w:val="0"/>
          <w:marBottom w:val="120"/>
          <w:divBdr>
            <w:top w:val="none" w:sz="0" w:space="0" w:color="auto"/>
            <w:left w:val="none" w:sz="0" w:space="0" w:color="auto"/>
            <w:bottom w:val="none" w:sz="0" w:space="0" w:color="auto"/>
            <w:right w:val="none" w:sz="0" w:space="0" w:color="auto"/>
          </w:divBdr>
          <w:divsChild>
            <w:div w:id="137908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79953">
      <w:bodyDiv w:val="1"/>
      <w:marLeft w:val="0"/>
      <w:marRight w:val="0"/>
      <w:marTop w:val="0"/>
      <w:marBottom w:val="0"/>
      <w:divBdr>
        <w:top w:val="none" w:sz="0" w:space="0" w:color="auto"/>
        <w:left w:val="none" w:sz="0" w:space="0" w:color="auto"/>
        <w:bottom w:val="none" w:sz="0" w:space="0" w:color="auto"/>
        <w:right w:val="none" w:sz="0" w:space="0" w:color="auto"/>
      </w:divBdr>
    </w:div>
    <w:div w:id="1337197247">
      <w:bodyDiv w:val="1"/>
      <w:marLeft w:val="0"/>
      <w:marRight w:val="0"/>
      <w:marTop w:val="0"/>
      <w:marBottom w:val="0"/>
      <w:divBdr>
        <w:top w:val="none" w:sz="0" w:space="0" w:color="auto"/>
        <w:left w:val="none" w:sz="0" w:space="0" w:color="auto"/>
        <w:bottom w:val="none" w:sz="0" w:space="0" w:color="auto"/>
        <w:right w:val="none" w:sz="0" w:space="0" w:color="auto"/>
      </w:divBdr>
    </w:div>
    <w:div w:id="18290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ublicpress.org/news/2014-02/how-budget-cuts-and-PTA-fundraising-undermined-equity-in-san-francisco-public-schools" TargetMode="External"/><Relationship Id="rId3" Type="http://schemas.openxmlformats.org/officeDocument/2006/relationships/styles" Target="styles.xml"/><Relationship Id="rId7" Type="http://schemas.openxmlformats.org/officeDocument/2006/relationships/hyperlink" Target="http://dx.doi.org/10.1080/03057925.2017.13236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newamerican.com/culture/education/item/19494-fifty-years-of-title-1-has-it-worke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06DEA-AED0-4E2A-B622-EB592D10B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31</Pages>
  <Words>14766</Words>
  <Characters>84168</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Gaylord</dc:creator>
  <cp:keywords>5.1.1</cp:keywords>
  <dc:description/>
  <cp:lastModifiedBy>Harper, Allison C.</cp:lastModifiedBy>
  <cp:revision>22</cp:revision>
  <dcterms:created xsi:type="dcterms:W3CDTF">2017-07-22T01:16:00Z</dcterms:created>
  <dcterms:modified xsi:type="dcterms:W3CDTF">2017-07-22T20:54:00Z</dcterms:modified>
</cp:coreProperties>
</file>