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C7A59" w:rsidRPr="003A49E3" w:rsidRDefault="000C7A59" w:rsidP="000C7A59">
      <w:pPr>
        <w:pStyle w:val="Heading1"/>
      </w:pPr>
      <w:r>
        <w:t xml:space="preserve">Title I Finance </w:t>
      </w:r>
      <w:bookmarkStart w:id="0" w:name="_GoBack"/>
      <w:bookmarkEnd w:id="0"/>
      <w:r w:rsidRPr="003A49E3">
        <w:t>Negative</w:t>
      </w:r>
    </w:p>
    <w:p w:rsidR="000C7A59" w:rsidRPr="003A49E3" w:rsidRDefault="000C7A59" w:rsidP="000C7A59">
      <w:pPr>
        <w:pStyle w:val="Heading2"/>
      </w:pPr>
      <w:r w:rsidRPr="003A49E3">
        <w:t>Case – Inequality</w:t>
      </w:r>
    </w:p>
    <w:p w:rsidR="000C7A59" w:rsidRPr="003A49E3" w:rsidRDefault="000C7A59" w:rsidP="000C7A59">
      <w:pPr>
        <w:pStyle w:val="Heading3"/>
      </w:pPr>
      <w:r w:rsidRPr="003A49E3">
        <w:t>AT: Inequality – Alt Causes</w:t>
      </w:r>
    </w:p>
    <w:p w:rsidR="000C7A59" w:rsidRPr="003A49E3" w:rsidRDefault="000C7A59" w:rsidP="000C7A59">
      <w:pPr>
        <w:pStyle w:val="Heading4"/>
        <w:spacing w:before="240" w:after="40"/>
        <w:ind w:right="460"/>
        <w:rPr>
          <w:sz w:val="24"/>
          <w:szCs w:val="24"/>
        </w:rPr>
      </w:pPr>
      <w:r w:rsidRPr="003A49E3">
        <w:rPr>
          <w:color w:val="111111"/>
          <w:sz w:val="28"/>
          <w:szCs w:val="28"/>
        </w:rPr>
        <w:t>Alternative cause - Intergenerational mobility locks in inequality; it creates obstacles for black and Hispanic families in the long term</w:t>
      </w:r>
    </w:p>
    <w:p w:rsidR="000C7A59" w:rsidRPr="003A49E3" w:rsidRDefault="000C7A59" w:rsidP="000C7A59">
      <w:r w:rsidRPr="003A49E3">
        <w:rPr>
          <w:rStyle w:val="Style13ptBold"/>
        </w:rPr>
        <w:t>Tasch 15</w:t>
      </w:r>
      <w:r w:rsidRPr="003A49E3">
        <w:t xml:space="preserve"> (Barbara is a reporter for Business Insider UK, “Troubling new study explains one big reason for inequality in America”,</w:t>
      </w:r>
      <w:hyperlink r:id="rId6" w:history="1">
        <w:r w:rsidRPr="003A49E3">
          <w:rPr>
            <w:rStyle w:val="Hyperlink"/>
          </w:rPr>
          <w:t xml:space="preserve"> http://www.businessinsider.com/new-study-provides-an-excellent-explanation-for-inequality-in-america-2015-6</w:t>
        </w:r>
      </w:hyperlink>
      <w:r w:rsidRPr="003A49E3">
        <w:t>, LD)</w:t>
      </w:r>
    </w:p>
    <w:p w:rsidR="000C7A59" w:rsidRPr="003A49E3" w:rsidRDefault="000C7A59" w:rsidP="000C7A59">
      <w:pPr>
        <w:pStyle w:val="NormalWeb"/>
        <w:spacing w:before="400" w:beforeAutospacing="0" w:after="460" w:afterAutospacing="0"/>
        <w:ind w:right="460"/>
        <w:rPr>
          <w:rFonts w:ascii="Calibri" w:hAnsi="Calibri"/>
          <w:color w:val="111111"/>
          <w:sz w:val="22"/>
          <w:szCs w:val="22"/>
          <w:u w:val="single"/>
        </w:rPr>
      </w:pPr>
      <w:r w:rsidRPr="003A49E3">
        <w:rPr>
          <w:rFonts w:ascii="Calibri" w:hAnsi="Calibri"/>
          <w:b/>
          <w:bCs/>
          <w:color w:val="111111"/>
          <w:sz w:val="22"/>
          <w:szCs w:val="22"/>
          <w:u w:val="single"/>
          <w:shd w:val="clear" w:color="auto" w:fill="00FFFF"/>
        </w:rPr>
        <w:t>Black and Hispanic families have a disadvantage compared with white and Asian families</w:t>
      </w:r>
      <w:r w:rsidRPr="003A49E3">
        <w:rPr>
          <w:rFonts w:ascii="Calibri" w:hAnsi="Calibri"/>
          <w:color w:val="111111"/>
          <w:sz w:val="22"/>
          <w:szCs w:val="22"/>
        </w:rPr>
        <w:t xml:space="preserve">. Not only do </w:t>
      </w:r>
      <w:r w:rsidRPr="003A49E3">
        <w:rPr>
          <w:rFonts w:ascii="Calibri" w:hAnsi="Calibri"/>
          <w:color w:val="111111"/>
          <w:sz w:val="22"/>
          <w:szCs w:val="22"/>
          <w:u w:val="single"/>
          <w:shd w:val="clear" w:color="auto" w:fill="00FFFF"/>
        </w:rPr>
        <w:t>they</w:t>
      </w:r>
      <w:r w:rsidRPr="003A49E3">
        <w:rPr>
          <w:rFonts w:ascii="Calibri" w:hAnsi="Calibri"/>
          <w:color w:val="111111"/>
          <w:sz w:val="22"/>
          <w:szCs w:val="22"/>
        </w:rPr>
        <w:t xml:space="preserve"> earn less on average, but those who earn the same amount </w:t>
      </w:r>
      <w:r w:rsidRPr="003A49E3">
        <w:rPr>
          <w:rFonts w:ascii="Calibri" w:hAnsi="Calibri"/>
          <w:b/>
          <w:bCs/>
          <w:color w:val="111111"/>
          <w:sz w:val="22"/>
          <w:szCs w:val="22"/>
          <w:u w:val="single"/>
          <w:shd w:val="clear" w:color="auto" w:fill="00FFFF"/>
        </w:rPr>
        <w:t>do not have access to the same neighborhoods.</w:t>
      </w:r>
      <w:r w:rsidRPr="003A49E3">
        <w:rPr>
          <w:rFonts w:ascii="Calibri" w:hAnsi="Calibri"/>
          <w:color w:val="111111"/>
          <w:sz w:val="22"/>
          <w:szCs w:val="22"/>
          <w:shd w:val="clear" w:color="auto" w:fill="00FFFF"/>
        </w:rPr>
        <w:t xml:space="preserve"> </w:t>
      </w:r>
      <w:r w:rsidRPr="003A49E3">
        <w:rPr>
          <w:rFonts w:ascii="Calibri" w:hAnsi="Calibri"/>
          <w:b/>
          <w:bCs/>
          <w:color w:val="111111"/>
          <w:sz w:val="22"/>
          <w:szCs w:val="22"/>
          <w:u w:val="single"/>
          <w:shd w:val="clear" w:color="auto" w:fill="00FFFF"/>
        </w:rPr>
        <w:t>That means they don't profit from the perks of richer neighborhoods such as good schools and less violence</w:t>
      </w:r>
      <w:r w:rsidRPr="003A49E3">
        <w:rPr>
          <w:rFonts w:ascii="Calibri" w:hAnsi="Calibri"/>
          <w:color w:val="111111"/>
          <w:sz w:val="22"/>
          <w:szCs w:val="22"/>
        </w:rPr>
        <w:t xml:space="preserve">. </w:t>
      </w:r>
      <w:r w:rsidRPr="003A49E3">
        <w:rPr>
          <w:rFonts w:ascii="Calibri" w:hAnsi="Calibri"/>
          <w:b/>
          <w:bCs/>
          <w:color w:val="111111"/>
          <w:sz w:val="22"/>
          <w:szCs w:val="22"/>
          <w:u w:val="single"/>
          <w:shd w:val="clear" w:color="auto" w:fill="00FFFF"/>
        </w:rPr>
        <w:t>A</w:t>
      </w:r>
      <w:r w:rsidRPr="003A49E3">
        <w:rPr>
          <w:rFonts w:ascii="Calibri" w:hAnsi="Calibri"/>
          <w:b/>
          <w:bCs/>
          <w:color w:val="111111"/>
          <w:sz w:val="22"/>
          <w:szCs w:val="22"/>
          <w:u w:val="single"/>
        </w:rPr>
        <w:t xml:space="preserve"> </w:t>
      </w:r>
      <w:r w:rsidRPr="003A49E3">
        <w:rPr>
          <w:rFonts w:ascii="Calibri" w:hAnsi="Calibri"/>
          <w:color w:val="111111"/>
          <w:sz w:val="22"/>
          <w:szCs w:val="22"/>
        </w:rPr>
        <w:t>Harvard University</w:t>
      </w:r>
      <w:r w:rsidRPr="003A49E3">
        <w:rPr>
          <w:rFonts w:ascii="Calibri" w:hAnsi="Calibri"/>
          <w:b/>
          <w:bCs/>
          <w:color w:val="111111"/>
          <w:sz w:val="22"/>
          <w:szCs w:val="22"/>
          <w:u w:val="single"/>
        </w:rPr>
        <w:t xml:space="preserve"> </w:t>
      </w:r>
      <w:hyperlink r:id="rId7" w:history="1">
        <w:r w:rsidRPr="003A49E3">
          <w:rPr>
            <w:rStyle w:val="Hyperlink"/>
            <w:rFonts w:ascii="Calibri" w:hAnsi="Calibri"/>
            <w:b/>
            <w:bCs/>
            <w:color w:val="1155CC"/>
            <w:sz w:val="22"/>
            <w:shd w:val="clear" w:color="auto" w:fill="00FFFF"/>
          </w:rPr>
          <w:t>study on the impact of neighborhoods on intergenerational mobility</w:t>
        </w:r>
      </w:hyperlink>
      <w:r w:rsidRPr="003A49E3">
        <w:rPr>
          <w:rFonts w:ascii="Calibri" w:hAnsi="Calibri"/>
          <w:b/>
          <w:bCs/>
          <w:color w:val="111111"/>
          <w:sz w:val="22"/>
          <w:szCs w:val="22"/>
          <w:u w:val="single"/>
          <w:shd w:val="clear" w:color="auto" w:fill="00FFFF"/>
        </w:rPr>
        <w:t xml:space="preserve"> looked at the records of over 5 million children and showed that the neighborhood children grew up in played an important role in their long-term success</w:t>
      </w:r>
      <w:r w:rsidRPr="003A49E3">
        <w:rPr>
          <w:rFonts w:ascii="Calibri" w:hAnsi="Calibri"/>
          <w:b/>
          <w:bCs/>
          <w:color w:val="111111"/>
          <w:sz w:val="22"/>
          <w:szCs w:val="22"/>
          <w:u w:val="single"/>
        </w:rPr>
        <w:t xml:space="preserve">. </w:t>
      </w:r>
      <w:r w:rsidRPr="003A49E3">
        <w:rPr>
          <w:rFonts w:ascii="Calibri" w:hAnsi="Calibri"/>
          <w:color w:val="111111"/>
          <w:sz w:val="22"/>
          <w:szCs w:val="22"/>
        </w:rPr>
        <w:t xml:space="preserve">The study also found that </w:t>
      </w:r>
      <w:r w:rsidRPr="003A49E3">
        <w:rPr>
          <w:rFonts w:ascii="Calibri" w:hAnsi="Calibri"/>
          <w:color w:val="111111"/>
          <w:sz w:val="22"/>
          <w:szCs w:val="22"/>
          <w:u w:val="single"/>
        </w:rPr>
        <w:t>counties with</w:t>
      </w:r>
      <w:r w:rsidRPr="003A49E3">
        <w:rPr>
          <w:rFonts w:ascii="Calibri" w:hAnsi="Calibri"/>
          <w:color w:val="111111"/>
          <w:sz w:val="22"/>
          <w:szCs w:val="22"/>
          <w:u w:val="single"/>
          <w:shd w:val="clear" w:color="auto" w:fill="00FFFF"/>
        </w:rPr>
        <w:t xml:space="preserve"> higher rates of upward mobility </w:t>
      </w:r>
      <w:r w:rsidRPr="003A49E3">
        <w:rPr>
          <w:rFonts w:ascii="Calibri" w:hAnsi="Calibri"/>
          <w:color w:val="111111"/>
          <w:sz w:val="22"/>
          <w:szCs w:val="22"/>
          <w:u w:val="single"/>
        </w:rPr>
        <w:t xml:space="preserve">often </w:t>
      </w:r>
      <w:r w:rsidRPr="003A49E3">
        <w:rPr>
          <w:rFonts w:ascii="Calibri" w:hAnsi="Calibri"/>
          <w:color w:val="111111"/>
          <w:sz w:val="22"/>
          <w:szCs w:val="22"/>
          <w:u w:val="single"/>
          <w:shd w:val="clear" w:color="auto" w:fill="00FFFF"/>
        </w:rPr>
        <w:t>shared five characteristics: "they have less segregation by income and race, lower levels of income inequality, better schools, lower rates of violent crime, and a larger share of two-parent households,</w:t>
      </w:r>
      <w:r w:rsidRPr="003A49E3">
        <w:rPr>
          <w:rFonts w:ascii="Calibri" w:hAnsi="Calibri"/>
          <w:color w:val="111111"/>
          <w:sz w:val="22"/>
          <w:szCs w:val="22"/>
          <w:u w:val="single"/>
        </w:rPr>
        <w:t>"</w:t>
      </w:r>
      <w:r w:rsidRPr="003A49E3">
        <w:rPr>
          <w:rFonts w:ascii="Calibri" w:hAnsi="Calibri"/>
          <w:color w:val="111111"/>
          <w:sz w:val="22"/>
          <w:szCs w:val="22"/>
        </w:rPr>
        <w:t xml:space="preserve"> the study reported. It also pointed out that </w:t>
      </w:r>
      <w:r w:rsidRPr="003A49E3">
        <w:rPr>
          <w:rFonts w:ascii="Calibri" w:hAnsi="Calibri"/>
          <w:b/>
          <w:bCs/>
          <w:color w:val="111111"/>
          <w:sz w:val="22"/>
          <w:szCs w:val="22"/>
          <w:u w:val="single"/>
          <w:shd w:val="clear" w:color="auto" w:fill="00FFFF"/>
        </w:rPr>
        <w:t>areas with a larger African-American population often have lower upward-mobility rates, which in turn affect racial inequality over generations</w:t>
      </w:r>
      <w:r w:rsidRPr="003A49E3">
        <w:rPr>
          <w:rFonts w:ascii="Calibri" w:hAnsi="Calibri"/>
          <w:b/>
          <w:bCs/>
          <w:color w:val="111111"/>
          <w:sz w:val="22"/>
          <w:szCs w:val="22"/>
          <w:u w:val="single"/>
        </w:rPr>
        <w:t xml:space="preserve">. </w:t>
      </w:r>
      <w:r w:rsidRPr="003A49E3">
        <w:rPr>
          <w:rFonts w:ascii="Calibri" w:hAnsi="Calibri"/>
          <w:color w:val="111111"/>
          <w:sz w:val="22"/>
          <w:szCs w:val="22"/>
        </w:rPr>
        <w:t xml:space="preserve">Another Harvard University </w:t>
      </w:r>
      <w:hyperlink r:id="rId8" w:history="1">
        <w:r w:rsidRPr="003A49E3">
          <w:rPr>
            <w:rStyle w:val="Hyperlink"/>
            <w:rFonts w:ascii="Calibri" w:hAnsi="Calibri"/>
            <w:color w:val="1155CC"/>
            <w:sz w:val="22"/>
          </w:rPr>
          <w:t>study, which looks at the effects that better neighborhoods have on children</w:t>
        </w:r>
      </w:hyperlink>
      <w:r w:rsidRPr="003A49E3">
        <w:rPr>
          <w:rFonts w:ascii="Calibri" w:hAnsi="Calibri"/>
          <w:color w:val="111111"/>
          <w:sz w:val="22"/>
          <w:szCs w:val="22"/>
        </w:rPr>
        <w:t xml:space="preserve"> through the Moving to Opportunity (MTO) experiment, showed that </w:t>
      </w:r>
      <w:r w:rsidRPr="003A49E3">
        <w:rPr>
          <w:rFonts w:ascii="Calibri" w:hAnsi="Calibri"/>
          <w:color w:val="111111"/>
          <w:sz w:val="22"/>
          <w:szCs w:val="22"/>
          <w:u w:val="single"/>
        </w:rPr>
        <w:t>children growing up in nicer neighborhoods had a much better chance of having a higher earning potential later in life. The study found that moving a young child from public housing to a low-poverty area through the MTO experiment increases a child's total lifetime earning by about $302,000.</w:t>
      </w:r>
    </w:p>
    <w:p w:rsidR="000C7A59" w:rsidRPr="003A49E3" w:rsidRDefault="000C7A59" w:rsidP="000C7A59">
      <w:pPr>
        <w:pStyle w:val="Heading4"/>
      </w:pPr>
      <w:r w:rsidRPr="003A49E3">
        <w:t>Wealth Concentration is an alt cause to inequality; the top 1% controls a large portion of the wealth share which causes a snowball effect</w:t>
      </w:r>
    </w:p>
    <w:p w:rsidR="000C7A59" w:rsidRPr="003A49E3" w:rsidRDefault="000C7A59" w:rsidP="000C7A59">
      <w:r w:rsidRPr="003A49E3">
        <w:rPr>
          <w:rStyle w:val="Style13ptBold"/>
        </w:rPr>
        <w:t>Saez &amp; Zucman 16</w:t>
      </w:r>
      <w:r w:rsidRPr="003A49E3">
        <w:t xml:space="preserve"> (Emmanuel Saez is a French and American economist who is Professor of Economics at the University of California at Berkeley, Gabriel Zucman is a French economist. Since 2015 Zucman has been working as an assistant professor of economics at the University of California at Berkeley, “WEALTH INEQUALITY IN THE UNITED STATES SINCE 1913: EVIDENCE FROM CAPITALIZED INCOME TAX DATA”, VOL. 131, Issue 2, May 2016, Page 523, LD)</w:t>
      </w:r>
    </w:p>
    <w:p w:rsidR="000C7A59" w:rsidRPr="003A49E3" w:rsidRDefault="000C7A59" w:rsidP="000C7A59">
      <w:pPr>
        <w:pStyle w:val="NormalWeb"/>
        <w:spacing w:before="400" w:beforeAutospacing="0" w:after="460" w:afterAutospacing="0"/>
        <w:ind w:right="460"/>
      </w:pPr>
      <w:r w:rsidRPr="003A49E3">
        <w:rPr>
          <w:rFonts w:ascii="Calibri" w:hAnsi="Calibri"/>
          <w:color w:val="231F20"/>
          <w:sz w:val="22"/>
          <w:szCs w:val="22"/>
        </w:rPr>
        <w:t xml:space="preserve">The analysis of the distribution of household wealth since 1913 yields two main findings. </w:t>
      </w:r>
      <w:r w:rsidRPr="003A49E3">
        <w:rPr>
          <w:rFonts w:ascii="Calibri" w:hAnsi="Calibri"/>
          <w:color w:val="231F20"/>
          <w:sz w:val="22"/>
          <w:szCs w:val="22"/>
          <w:u w:val="single"/>
        </w:rPr>
        <w:t>F</w:t>
      </w:r>
      <w:r w:rsidRPr="003A49E3">
        <w:rPr>
          <w:rFonts w:ascii="Calibri" w:hAnsi="Calibri"/>
          <w:color w:val="231F20"/>
          <w:sz w:val="22"/>
          <w:szCs w:val="22"/>
          <w:u w:val="single"/>
          <w:shd w:val="clear" w:color="auto" w:fill="00FFFF"/>
        </w:rPr>
        <w:t>irst, wealth inequality is making a comeback. In 2012, the wealth share of the top 0.1% was three times higher than in 1978, and almost as high as in the 1916 and 1929 historical peaks</w:t>
      </w:r>
      <w:r w:rsidRPr="003A49E3">
        <w:rPr>
          <w:rFonts w:ascii="Calibri" w:hAnsi="Calibri"/>
          <w:color w:val="231F20"/>
          <w:sz w:val="22"/>
          <w:szCs w:val="22"/>
          <w:u w:val="single"/>
        </w:rPr>
        <w:t>.</w:t>
      </w:r>
      <w:r w:rsidRPr="003A49E3">
        <w:rPr>
          <w:rFonts w:ascii="Calibri" w:hAnsi="Calibri"/>
          <w:color w:val="231F20"/>
          <w:sz w:val="22"/>
          <w:szCs w:val="22"/>
        </w:rPr>
        <w:t xml:space="preserve"> </w:t>
      </w:r>
      <w:r w:rsidRPr="003A49E3">
        <w:rPr>
          <w:rFonts w:ascii="Calibri" w:hAnsi="Calibri"/>
          <w:b/>
          <w:bCs/>
          <w:color w:val="231F20"/>
          <w:sz w:val="22"/>
          <w:szCs w:val="22"/>
          <w:u w:val="single"/>
        </w:rPr>
        <w:t>The key driver of the rapid increase in wealth at the top is the upsurge of top incomes</w:t>
      </w:r>
      <w:r w:rsidRPr="003A49E3">
        <w:rPr>
          <w:rFonts w:ascii="Calibri" w:hAnsi="Calibri"/>
          <w:color w:val="231F20"/>
          <w:sz w:val="22"/>
          <w:szCs w:val="22"/>
        </w:rPr>
        <w:t xml:space="preserve">. Income inequality has a snowballing effect on wealth distribution. </w:t>
      </w:r>
      <w:r w:rsidRPr="003A49E3">
        <w:rPr>
          <w:rFonts w:ascii="Calibri" w:hAnsi="Calibri"/>
          <w:b/>
          <w:bCs/>
          <w:color w:val="231F20"/>
          <w:sz w:val="22"/>
          <w:szCs w:val="22"/>
          <w:u w:val="single"/>
          <w:shd w:val="clear" w:color="auto" w:fill="00FFFF"/>
        </w:rPr>
        <w:t>Top incomes are being saved at high rates, pushing wealth concentration up; in turn, rising wealth inequality leads to rising capital income concentration, which contributes to further increasing top income and wealth shares.</w:t>
      </w:r>
      <w:r w:rsidRPr="003A49E3">
        <w:rPr>
          <w:rFonts w:ascii="Calibri" w:hAnsi="Calibri"/>
          <w:color w:val="231F20"/>
          <w:sz w:val="22"/>
          <w:szCs w:val="22"/>
          <w:shd w:val="clear" w:color="auto" w:fill="00FFFF"/>
        </w:rPr>
        <w:t xml:space="preserve"> </w:t>
      </w:r>
      <w:r w:rsidRPr="003A49E3">
        <w:rPr>
          <w:rFonts w:ascii="Calibri" w:hAnsi="Calibri"/>
          <w:color w:val="231F20"/>
          <w:sz w:val="22"/>
          <w:szCs w:val="22"/>
        </w:rPr>
        <w:t xml:space="preserve">Our core finding is that </w:t>
      </w:r>
      <w:r w:rsidRPr="003A49E3">
        <w:rPr>
          <w:rFonts w:ascii="Calibri" w:hAnsi="Calibri"/>
          <w:color w:val="231F20"/>
          <w:sz w:val="22"/>
          <w:szCs w:val="22"/>
          <w:shd w:val="clear" w:color="auto" w:fill="00FFFF"/>
        </w:rPr>
        <w:t>this snowballing effect has been sufficiently powerful to dramatically affect the shape of the US wealth distribution over the last 30 years</w:t>
      </w:r>
      <w:r w:rsidRPr="003A49E3">
        <w:rPr>
          <w:rFonts w:ascii="Calibri" w:hAnsi="Calibri"/>
          <w:color w:val="231F20"/>
          <w:sz w:val="22"/>
          <w:szCs w:val="22"/>
        </w:rPr>
        <w:t>.</w:t>
      </w:r>
      <w:r w:rsidRPr="003A49E3">
        <w:rPr>
          <w:rFonts w:ascii="Calibri" w:hAnsi="Calibri"/>
          <w:color w:val="231F20"/>
          <w:sz w:val="12"/>
          <w:szCs w:val="12"/>
        </w:rPr>
        <w:t xml:space="preserve"> </w:t>
      </w:r>
      <w:r w:rsidRPr="003A49E3">
        <w:rPr>
          <w:rFonts w:ascii="Calibri" w:hAnsi="Calibri"/>
          <w:color w:val="231F20"/>
          <w:sz w:val="18"/>
          <w:szCs w:val="18"/>
        </w:rPr>
        <w:t>We also find that today’s rich are younger than half a century ago and have much more labor income, but due to data limitations we cannot yet provide formal decompositions of the relative importance of self-made vs. dynastic wealth, and we hope our results will motivate further research in this area. The second key result involves the dynamics of the bottom 90% wealth share. There is a widespread view that a key structural change in the US economy since the beginning of the twentieth century has been the rise of middle-class wealth, in particular because of the rise of pensions and home ownership rates. And indeed our results show that</w:t>
      </w:r>
      <w:r w:rsidRPr="003A49E3">
        <w:rPr>
          <w:rFonts w:ascii="Calibri" w:hAnsi="Calibri"/>
          <w:color w:val="231F20"/>
          <w:sz w:val="12"/>
          <w:szCs w:val="12"/>
        </w:rPr>
        <w:t xml:space="preserve"> </w:t>
      </w:r>
      <w:r w:rsidRPr="003A49E3">
        <w:rPr>
          <w:rFonts w:ascii="Calibri" w:hAnsi="Calibri"/>
          <w:b/>
          <w:bCs/>
          <w:color w:val="231F20"/>
          <w:sz w:val="22"/>
          <w:szCs w:val="22"/>
          <w:u w:val="single"/>
          <w:shd w:val="clear" w:color="auto" w:fill="00FFFF"/>
        </w:rPr>
        <w:t>the wealth share of the bottom 90% gradually increased from 20% in the 1920s to a high of 35% in the mid-1980s. But in a sharp reversal of past trends</w:t>
      </w:r>
      <w:r w:rsidRPr="003A49E3">
        <w:rPr>
          <w:rFonts w:ascii="Calibri" w:hAnsi="Calibri"/>
          <w:color w:val="231F20"/>
          <w:sz w:val="22"/>
          <w:szCs w:val="22"/>
          <w:shd w:val="clear" w:color="auto" w:fill="00FFFF"/>
        </w:rPr>
        <w:t xml:space="preserve">, </w:t>
      </w:r>
      <w:r w:rsidRPr="003A49E3">
        <w:rPr>
          <w:rFonts w:ascii="Calibri" w:hAnsi="Calibri"/>
          <w:color w:val="231F20"/>
          <w:sz w:val="22"/>
          <w:szCs w:val="22"/>
          <w:u w:val="single"/>
          <w:shd w:val="clear" w:color="auto" w:fill="00FFFF"/>
        </w:rPr>
        <w:t>the wealth share of the bottom 90% has fallen since then, to about 23% in 2012</w:t>
      </w:r>
      <w:r w:rsidRPr="003A49E3">
        <w:rPr>
          <w:rFonts w:ascii="Calibri" w:hAnsi="Calibri"/>
          <w:color w:val="231F20"/>
          <w:sz w:val="22"/>
          <w:szCs w:val="22"/>
        </w:rPr>
        <w:t>. Pension wealth has continued to increase but not enough to compensate for a surge in mortgage, consumer credit, and student debt. The key driver of the declining wealth share of the bottom 90% is plummeting middle-class savings. This fall may owe to the low growth of middle-class income, to financial deregulation leading to some forms of predatory lending, or to growing behavioral biases in the saving decisions of the middleclass.</w:t>
      </w:r>
    </w:p>
    <w:p w:rsidR="000C7A59" w:rsidRPr="003A49E3" w:rsidRDefault="000C7A59" w:rsidP="000C7A59"/>
    <w:p w:rsidR="000C7A59" w:rsidRPr="003A49E3" w:rsidRDefault="000C7A59" w:rsidP="000C7A59">
      <w:pPr>
        <w:pStyle w:val="Heading3"/>
      </w:pPr>
      <w:r w:rsidRPr="003A49E3">
        <w:t>AT: Biodiversity – No Impact</w:t>
      </w:r>
    </w:p>
    <w:p w:rsidR="000C7A59" w:rsidRPr="003A49E3" w:rsidRDefault="000C7A59" w:rsidP="000C7A59">
      <w:pPr>
        <w:pStyle w:val="Heading4"/>
      </w:pPr>
      <w:r w:rsidRPr="003A49E3">
        <w:t>No impact –</w:t>
      </w:r>
      <w:r>
        <w:t xml:space="preserve"> </w:t>
      </w:r>
      <w:r w:rsidRPr="003A49E3">
        <w:t>no relationship be</w:t>
      </w:r>
      <w:r>
        <w:t>tween survival and biodiversity, and humans can adapt</w:t>
      </w:r>
    </w:p>
    <w:p w:rsidR="000C7A59" w:rsidRPr="003A49E3" w:rsidRDefault="000C7A59" w:rsidP="000C7A59">
      <w:r w:rsidRPr="003A49E3">
        <w:rPr>
          <w:rStyle w:val="Style13ptBold"/>
          <w:rFonts w:asciiTheme="minorHAnsi" w:hAnsiTheme="minorHAnsi" w:cstheme="minorHAnsi"/>
        </w:rPr>
        <w:t>Hough</w:t>
      </w:r>
      <w:r w:rsidRPr="003A49E3">
        <w:rPr>
          <w:rFonts w:asciiTheme="minorHAnsi" w:hAnsiTheme="minorHAnsi" w:cstheme="minorHAnsi"/>
          <w:sz w:val="16"/>
        </w:rPr>
        <w:t xml:space="preserve"> </w:t>
      </w:r>
      <w:r w:rsidRPr="003A49E3">
        <w:rPr>
          <w:rStyle w:val="Style13ptBold"/>
          <w:rFonts w:asciiTheme="minorHAnsi" w:hAnsiTheme="minorHAnsi" w:cstheme="minorHAnsi"/>
        </w:rPr>
        <w:t>14</w:t>
      </w:r>
      <w:r w:rsidRPr="003A49E3">
        <w:rPr>
          <w:rFonts w:asciiTheme="minorHAnsi" w:hAnsiTheme="minorHAnsi" w:cstheme="minorHAnsi"/>
          <w:sz w:val="16"/>
        </w:rPr>
        <w:t xml:space="preserve"> </w:t>
      </w:r>
      <w:r w:rsidRPr="003A49E3">
        <w:t>[Rupert, Environmental Scientist with Expertise in Risk Modelling and Exposure Assessment and PhD from Nottingham University, February, “Biodiversity and human health: evidence for causality?” Biodiversity and Conservation, Vol. 23 No. 2, pg. 272-3/AKG]</w:t>
      </w:r>
    </w:p>
    <w:p w:rsidR="000C7A59" w:rsidRPr="003A49E3" w:rsidRDefault="000C7A59" w:rsidP="000C7A59">
      <w:pPr>
        <w:rPr>
          <w:rFonts w:asciiTheme="minorHAnsi" w:hAnsiTheme="minorHAnsi" w:cstheme="minorHAnsi"/>
        </w:rPr>
      </w:pPr>
      <w:r w:rsidRPr="003A49E3">
        <w:rPr>
          <w:rFonts w:asciiTheme="minorHAnsi" w:hAnsiTheme="minorHAnsi" w:cstheme="minorHAnsi"/>
          <w:sz w:val="16"/>
        </w:rPr>
        <w:t xml:space="preserve">Large </w:t>
      </w:r>
      <w:r w:rsidRPr="003A49E3">
        <w:rPr>
          <w:rStyle w:val="StyleUnderline"/>
          <w:rFonts w:asciiTheme="minorHAnsi" w:hAnsiTheme="minorHAnsi" w:cstheme="minorHAnsi"/>
        </w:rPr>
        <w:t>country-level assessments</w:t>
      </w:r>
      <w:r w:rsidRPr="003A49E3">
        <w:rPr>
          <w:rFonts w:asciiTheme="minorHAnsi" w:hAnsiTheme="minorHAnsi" w:cstheme="minorHAnsi"/>
          <w:sz w:val="16"/>
        </w:rPr>
        <w:t xml:space="preserve"> (e.g. MEA 2005; Huynen et al. 2004; Sieswerda et al. 2001) </w:t>
      </w:r>
      <w:r w:rsidRPr="003A49E3">
        <w:rPr>
          <w:rStyle w:val="StyleUnderline"/>
          <w:rFonts w:asciiTheme="minorHAnsi" w:hAnsiTheme="minorHAnsi" w:cstheme="minorHAnsi"/>
        </w:rPr>
        <w:t>must be interpreted with</w:t>
      </w:r>
      <w:r w:rsidRPr="003A49E3">
        <w:rPr>
          <w:rFonts w:asciiTheme="minorHAnsi" w:hAnsiTheme="minorHAnsi" w:cstheme="minorHAnsi"/>
          <w:sz w:val="16"/>
        </w:rPr>
        <w:t xml:space="preserve"> some </w:t>
      </w:r>
      <w:r w:rsidRPr="003A49E3">
        <w:rPr>
          <w:rStyle w:val="StyleUnderline"/>
          <w:rFonts w:asciiTheme="minorHAnsi" w:hAnsiTheme="minorHAnsi" w:cstheme="minorHAnsi"/>
        </w:rPr>
        <w:t>caution. Data measured</w:t>
      </w:r>
      <w:r w:rsidRPr="003A49E3">
        <w:rPr>
          <w:rFonts w:asciiTheme="minorHAnsi" w:hAnsiTheme="minorHAnsi" w:cstheme="minorHAnsi"/>
          <w:sz w:val="16"/>
        </w:rPr>
        <w:t xml:space="preserve"> at country-level </w:t>
      </w:r>
      <w:r w:rsidRPr="003A49E3">
        <w:rPr>
          <w:rStyle w:val="StyleUnderline"/>
          <w:rFonts w:asciiTheme="minorHAnsi" w:hAnsiTheme="minorHAnsi" w:cstheme="minorHAnsi"/>
        </w:rPr>
        <w:t>are likely to mask regional and local-level effects.</w:t>
      </w:r>
      <w:r w:rsidRPr="003A49E3">
        <w:rPr>
          <w:rFonts w:asciiTheme="minorHAnsi" w:hAnsiTheme="minorHAnsi" w:cstheme="minorHAnsi"/>
          <w:sz w:val="16"/>
        </w:rPr>
        <w:t xml:space="preserve"> Apart from the fact that </w:t>
      </w:r>
      <w:r w:rsidRPr="00E55230">
        <w:rPr>
          <w:rStyle w:val="StyleUnderline"/>
          <w:rFonts w:asciiTheme="minorHAnsi" w:hAnsiTheme="minorHAnsi" w:cstheme="minorHAnsi"/>
        </w:rPr>
        <w:t xml:space="preserve">there are </w:t>
      </w:r>
      <w:r w:rsidRPr="00E55230">
        <w:rPr>
          <w:rStyle w:val="Emphasis"/>
          <w:rFonts w:asciiTheme="minorHAnsi" w:hAnsiTheme="minorHAnsi" w:cstheme="minorHAnsi"/>
        </w:rPr>
        <w:t>limitations to regression analysis</w:t>
      </w:r>
      <w:r w:rsidRPr="003A49E3">
        <w:rPr>
          <w:rStyle w:val="StyleUnderline"/>
          <w:rFonts w:asciiTheme="minorHAnsi" w:hAnsiTheme="minorHAnsi" w:cstheme="minorHAnsi"/>
        </w:rPr>
        <w:t xml:space="preserve"> in providing</w:t>
      </w:r>
      <w:r w:rsidRPr="003A49E3">
        <w:rPr>
          <w:rFonts w:asciiTheme="minorHAnsi" w:hAnsiTheme="minorHAnsi" w:cstheme="minorHAnsi"/>
          <w:sz w:val="16"/>
        </w:rPr>
        <w:t xml:space="preserve"> any </w:t>
      </w:r>
      <w:r w:rsidRPr="003A49E3">
        <w:rPr>
          <w:rStyle w:val="StyleUnderline"/>
          <w:rFonts w:asciiTheme="minorHAnsi" w:hAnsiTheme="minorHAnsi" w:cstheme="minorHAnsi"/>
        </w:rPr>
        <w:t>proof of causality</w:t>
      </w:r>
      <w:r w:rsidRPr="003A49E3">
        <w:rPr>
          <w:rFonts w:asciiTheme="minorHAnsi" w:hAnsiTheme="minorHAnsi" w:cstheme="minorHAnsi"/>
          <w:sz w:val="16"/>
        </w:rPr>
        <w:t xml:space="preserve">, least squares regression </w:t>
      </w:r>
      <w:r w:rsidRPr="00E55230">
        <w:rPr>
          <w:rStyle w:val="StyleUnderline"/>
          <w:rFonts w:asciiTheme="minorHAnsi" w:hAnsiTheme="minorHAnsi" w:cstheme="minorHAnsi"/>
        </w:rPr>
        <w:t>models assume linear relationships</w:t>
      </w:r>
      <w:r w:rsidRPr="003A49E3">
        <w:rPr>
          <w:rFonts w:asciiTheme="minorHAnsi" w:hAnsiTheme="minorHAnsi" w:cstheme="minorHAnsi"/>
          <w:sz w:val="16"/>
        </w:rPr>
        <w:t xml:space="preserve"> between reductions in biodiversity and human health and thus imply a linear relationship </w:t>
      </w:r>
      <w:r w:rsidRPr="003A49E3">
        <w:rPr>
          <w:rStyle w:val="StyleUnderline"/>
          <w:rFonts w:asciiTheme="minorHAnsi" w:hAnsiTheme="minorHAnsi" w:cstheme="minorHAnsi"/>
        </w:rPr>
        <w:t>between loss of biodiversity and the provision of</w:t>
      </w:r>
      <w:r w:rsidRPr="003A49E3">
        <w:rPr>
          <w:rFonts w:asciiTheme="minorHAnsi" w:hAnsiTheme="minorHAnsi" w:cstheme="minorHAnsi"/>
          <w:sz w:val="16"/>
        </w:rPr>
        <w:t xml:space="preserve"> relevant ecosystem </w:t>
      </w:r>
      <w:r w:rsidRPr="003A49E3">
        <w:rPr>
          <w:rStyle w:val="StyleUnderline"/>
          <w:rFonts w:asciiTheme="minorHAnsi" w:hAnsiTheme="minorHAnsi" w:cstheme="minorHAnsi"/>
        </w:rPr>
        <w:t>goods and services.</w:t>
      </w:r>
      <w:r w:rsidRPr="003A49E3">
        <w:rPr>
          <w:rFonts w:asciiTheme="minorHAnsi" w:hAnsiTheme="minorHAnsi" w:cstheme="minorHAnsi"/>
          <w:sz w:val="16"/>
        </w:rPr>
        <w:t xml:space="preserve"> A number of authors, however, have suggested that </w:t>
      </w:r>
      <w:r w:rsidRPr="00E55230">
        <w:rPr>
          <w:rStyle w:val="Emphasis"/>
          <w:rFonts w:asciiTheme="minorHAnsi" w:hAnsiTheme="minorHAnsi" w:cstheme="minorHAnsi"/>
        </w:rPr>
        <w:t>ecosystems can lose a proportion of their biodiversity without adverse consequences</w:t>
      </w:r>
      <w:r w:rsidRPr="00E55230">
        <w:rPr>
          <w:rStyle w:val="StyleUnderline"/>
          <w:rFonts w:asciiTheme="minorHAnsi" w:hAnsiTheme="minorHAnsi" w:cstheme="minorHAnsi"/>
        </w:rPr>
        <w:t xml:space="preserve"> to their functioning</w:t>
      </w:r>
      <w:r w:rsidRPr="003A49E3">
        <w:rPr>
          <w:rFonts w:asciiTheme="minorHAnsi" w:hAnsiTheme="minorHAnsi" w:cstheme="minorHAnsi"/>
          <w:sz w:val="16"/>
        </w:rPr>
        <w:t xml:space="preserve"> (e.g. Schwartz et al. 2000). Only when a threshold in the losses of biodiversity is reached does the provision of ecosystem goods and services become compromised. These models also tend to assume a positive relationship between socio-economic development and loss of biodiversity. One problem with this expectation is that the </w:t>
      </w:r>
      <w:r w:rsidRPr="00E55230">
        <w:rPr>
          <w:rStyle w:val="StyleUnderline"/>
          <w:rFonts w:asciiTheme="minorHAnsi" w:hAnsiTheme="minorHAnsi" w:cstheme="minorHAnsi"/>
        </w:rPr>
        <w:t>loss in biodiversity in one country is not</w:t>
      </w:r>
      <w:r w:rsidRPr="003A49E3">
        <w:rPr>
          <w:rFonts w:asciiTheme="minorHAnsi" w:hAnsiTheme="minorHAnsi" w:cstheme="minorHAnsi"/>
          <w:sz w:val="16"/>
        </w:rPr>
        <w:t xml:space="preserve"> per definition </w:t>
      </w:r>
      <w:r w:rsidRPr="00E55230">
        <w:rPr>
          <w:rStyle w:val="StyleUnderline"/>
          <w:rFonts w:asciiTheme="minorHAnsi" w:hAnsiTheme="minorHAnsi" w:cstheme="minorHAnsi"/>
        </w:rPr>
        <w:t>the result of</w:t>
      </w:r>
      <w:r w:rsidRPr="003A49E3">
        <w:rPr>
          <w:rFonts w:asciiTheme="minorHAnsi" w:hAnsiTheme="minorHAnsi" w:cstheme="minorHAnsi"/>
          <w:sz w:val="16"/>
        </w:rPr>
        <w:t xml:space="preserve"> socio-economic </w:t>
      </w:r>
      <w:r w:rsidRPr="00E55230">
        <w:rPr>
          <w:rStyle w:val="StyleUnderline"/>
          <w:rFonts w:asciiTheme="minorHAnsi" w:hAnsiTheme="minorHAnsi" w:cstheme="minorHAnsi"/>
        </w:rPr>
        <w:t>developments</w:t>
      </w:r>
      <w:r w:rsidRPr="003A49E3">
        <w:rPr>
          <w:rStyle w:val="StyleUnderline"/>
          <w:rFonts w:asciiTheme="minorHAnsi" w:hAnsiTheme="minorHAnsi" w:cstheme="minorHAnsi"/>
        </w:rPr>
        <w:t xml:space="preserve"> in that particular country, but could also be the result of</w:t>
      </w:r>
      <w:r w:rsidRPr="003A49E3">
        <w:rPr>
          <w:rFonts w:asciiTheme="minorHAnsi" w:hAnsiTheme="minorHAnsi" w:cstheme="minorHAnsi"/>
          <w:sz w:val="16"/>
        </w:rPr>
        <w:t xml:space="preserve"> socio-economic </w:t>
      </w:r>
      <w:r w:rsidRPr="003A49E3">
        <w:rPr>
          <w:rStyle w:val="StyleUnderline"/>
          <w:rFonts w:asciiTheme="minorHAnsi" w:hAnsiTheme="minorHAnsi" w:cstheme="minorHAnsi"/>
        </w:rPr>
        <w:t>developments in other parts of the world</w:t>
      </w:r>
      <w:r w:rsidRPr="003A49E3">
        <w:rPr>
          <w:rFonts w:asciiTheme="minorHAnsi" w:hAnsiTheme="minorHAnsi" w:cstheme="minorHAnsi"/>
          <w:sz w:val="16"/>
        </w:rPr>
        <w:t xml:space="preserve"> (Wackernagel and Rees 1996). Furthermore, </w:t>
      </w:r>
      <w:r w:rsidRPr="003A49E3">
        <w:rPr>
          <w:rStyle w:val="StyleUnderline"/>
          <w:rFonts w:asciiTheme="minorHAnsi" w:hAnsiTheme="minorHAnsi" w:cstheme="minorHAnsi"/>
        </w:rPr>
        <w:t>the use of existing data means researchers can only make use of available indicators.</w:t>
      </w:r>
      <w:r w:rsidRPr="003A49E3">
        <w:rPr>
          <w:rFonts w:asciiTheme="minorHAnsi" w:hAnsiTheme="minorHAnsi" w:cstheme="minorHAnsi"/>
          <w:sz w:val="16"/>
        </w:rPr>
        <w:t xml:space="preserve"> Unlike for human health and socio-economic development, </w:t>
      </w:r>
      <w:r w:rsidRPr="00E55230">
        <w:rPr>
          <w:rStyle w:val="StyleUnderline"/>
          <w:rFonts w:asciiTheme="minorHAnsi" w:hAnsiTheme="minorHAnsi" w:cstheme="minorHAnsi"/>
        </w:rPr>
        <w:t xml:space="preserve">there are no broadly accepted </w:t>
      </w:r>
      <w:r w:rsidRPr="003A49E3">
        <w:rPr>
          <w:rStyle w:val="StyleUnderline"/>
          <w:rFonts w:asciiTheme="minorHAnsi" w:hAnsiTheme="minorHAnsi" w:cstheme="minorHAnsi"/>
        </w:rPr>
        <w:t xml:space="preserve">core-set of </w:t>
      </w:r>
      <w:r w:rsidRPr="00E55230">
        <w:rPr>
          <w:rStyle w:val="StyleUnderline"/>
          <w:rFonts w:asciiTheme="minorHAnsi" w:hAnsiTheme="minorHAnsi" w:cstheme="minorHAnsi"/>
        </w:rPr>
        <w:t>indicators for biodiversity</w:t>
      </w:r>
      <w:r w:rsidRPr="003A49E3">
        <w:rPr>
          <w:rFonts w:asciiTheme="minorHAnsi" w:hAnsiTheme="minorHAnsi" w:cstheme="minorHAnsi"/>
          <w:sz w:val="16"/>
        </w:rPr>
        <w:t xml:space="preserve"> (Soberon et al. 2000). The </w:t>
      </w:r>
      <w:r w:rsidRPr="00E55230">
        <w:rPr>
          <w:rStyle w:val="Emphasis"/>
          <w:rFonts w:asciiTheme="minorHAnsi" w:hAnsiTheme="minorHAnsi" w:cstheme="minorHAnsi"/>
        </w:rPr>
        <w:t>lack of correlation</w:t>
      </w:r>
      <w:r w:rsidRPr="003A49E3">
        <w:rPr>
          <w:rFonts w:asciiTheme="minorHAnsi" w:hAnsiTheme="minorHAnsi" w:cstheme="minorHAnsi"/>
          <w:sz w:val="16"/>
        </w:rPr>
        <w:t xml:space="preserve"> between biodiversity indicators (Huynen et al. 2004) </w:t>
      </w:r>
      <w:r w:rsidRPr="00E55230">
        <w:rPr>
          <w:rStyle w:val="StyleUnderline"/>
          <w:rFonts w:asciiTheme="minorHAnsi" w:hAnsiTheme="minorHAnsi" w:cstheme="minorHAnsi"/>
        </w:rPr>
        <w:t>shows that</w:t>
      </w:r>
      <w:r w:rsidRPr="003A49E3">
        <w:rPr>
          <w:rFonts w:asciiTheme="minorHAnsi" w:hAnsiTheme="minorHAnsi" w:cstheme="minorHAnsi"/>
          <w:sz w:val="16"/>
        </w:rPr>
        <w:t xml:space="preserve"> the selected </w:t>
      </w:r>
      <w:r w:rsidRPr="00E55230">
        <w:rPr>
          <w:rStyle w:val="StyleUnderline"/>
          <w:rFonts w:asciiTheme="minorHAnsi" w:hAnsiTheme="minorHAnsi" w:cstheme="minorHAnsi"/>
        </w:rPr>
        <w:t xml:space="preserve">indicators do not measure the same thing, which </w:t>
      </w:r>
      <w:r w:rsidRPr="00E55230">
        <w:rPr>
          <w:rStyle w:val="Emphasis"/>
          <w:rFonts w:asciiTheme="minorHAnsi" w:hAnsiTheme="minorHAnsi" w:cstheme="minorHAnsi"/>
        </w:rPr>
        <w:t>hinders interpretation of results</w:t>
      </w:r>
      <w:r w:rsidRPr="003A49E3">
        <w:rPr>
          <w:rStyle w:val="Emphasis"/>
          <w:rFonts w:asciiTheme="minorHAnsi" w:hAnsiTheme="minorHAnsi" w:cstheme="minorHAnsi"/>
        </w:rPr>
        <w:t>.</w:t>
      </w:r>
      <w:r w:rsidRPr="003A49E3">
        <w:rPr>
          <w:rFonts w:asciiTheme="minorHAnsi" w:hAnsiTheme="minorHAnsi" w:cstheme="minorHAnsi"/>
          <w:sz w:val="16"/>
        </w:rPr>
        <w:t xml:space="preserve"> Finally, </w:t>
      </w:r>
      <w:r w:rsidRPr="003A49E3">
        <w:rPr>
          <w:rStyle w:val="StyleUnderline"/>
          <w:rFonts w:asciiTheme="minorHAnsi" w:hAnsiTheme="minorHAnsi" w:cstheme="minorHAnsi"/>
        </w:rPr>
        <w:t>there is likely to be</w:t>
      </w:r>
      <w:r w:rsidRPr="003A49E3">
        <w:rPr>
          <w:rFonts w:asciiTheme="minorHAnsi" w:hAnsiTheme="minorHAnsi" w:cstheme="minorHAnsi"/>
          <w:sz w:val="16"/>
        </w:rPr>
        <w:t xml:space="preserve"> some sort of </w:t>
      </w:r>
      <w:r w:rsidRPr="003A49E3">
        <w:rPr>
          <w:rStyle w:val="StyleUnderline"/>
          <w:rFonts w:asciiTheme="minorHAnsi" w:hAnsiTheme="minorHAnsi" w:cstheme="minorHAnsi"/>
        </w:rPr>
        <w:t>latency</w:t>
      </w:r>
      <w:r w:rsidRPr="003A49E3">
        <w:rPr>
          <w:rFonts w:asciiTheme="minorHAnsi" w:hAnsiTheme="minorHAnsi" w:cstheme="minorHAnsi"/>
          <w:sz w:val="16"/>
        </w:rPr>
        <w:t xml:space="preserve"> period </w:t>
      </w:r>
      <w:r w:rsidRPr="003A49E3">
        <w:rPr>
          <w:rStyle w:val="StyleUnderline"/>
          <w:rFonts w:asciiTheme="minorHAnsi" w:hAnsiTheme="minorHAnsi" w:cstheme="minorHAnsi"/>
        </w:rPr>
        <w:t>between ecosystem imbalance and</w:t>
      </w:r>
      <w:r w:rsidRPr="003A49E3">
        <w:rPr>
          <w:rFonts w:asciiTheme="minorHAnsi" w:hAnsiTheme="minorHAnsi" w:cstheme="minorHAnsi"/>
          <w:sz w:val="16"/>
        </w:rPr>
        <w:t xml:space="preserve"> any resulting </w:t>
      </w:r>
      <w:r w:rsidRPr="003A49E3">
        <w:rPr>
          <w:rStyle w:val="StyleUnderline"/>
          <w:rFonts w:asciiTheme="minorHAnsi" w:hAnsiTheme="minorHAnsi" w:cstheme="minorHAnsi"/>
        </w:rPr>
        <w:t>health consequences.</w:t>
      </w:r>
      <w:r w:rsidRPr="003A49E3">
        <w:rPr>
          <w:rFonts w:asciiTheme="minorHAnsi" w:hAnsiTheme="minorHAnsi" w:cstheme="minorHAnsi"/>
          <w:sz w:val="16"/>
        </w:rPr>
        <w:t xml:space="preserve"> To date, this has not been investigated using regression approaches. Finally, it is thought that provisioning services are more crucial for human health and well-being that other ecosystem services (Raudsepp-Hearne et al. 2010). Trends in measures of human well-being are clearly correlated with food provisioning services, and especially with meat consumption (Smil 2002). </w:t>
      </w:r>
      <w:r w:rsidRPr="00E55230">
        <w:rPr>
          <w:rStyle w:val="StyleUnderline"/>
          <w:rFonts w:asciiTheme="minorHAnsi" w:hAnsiTheme="minorHAnsi" w:cstheme="minorHAnsi"/>
        </w:rPr>
        <w:t>While</w:t>
      </w:r>
      <w:r w:rsidRPr="003A49E3">
        <w:rPr>
          <w:rFonts w:asciiTheme="minorHAnsi" w:hAnsiTheme="minorHAnsi" w:cstheme="minorHAnsi"/>
          <w:sz w:val="16"/>
        </w:rPr>
        <w:t xml:space="preserve"> *</w:t>
      </w:r>
      <w:r w:rsidRPr="003A49E3">
        <w:rPr>
          <w:rStyle w:val="StyleUnderline"/>
          <w:rFonts w:asciiTheme="minorHAnsi" w:hAnsiTheme="minorHAnsi" w:cstheme="minorHAnsi"/>
        </w:rPr>
        <w:t>60 % of</w:t>
      </w:r>
      <w:r w:rsidRPr="003A49E3">
        <w:rPr>
          <w:rFonts w:asciiTheme="minorHAnsi" w:hAnsiTheme="minorHAnsi" w:cstheme="minorHAnsi"/>
          <w:sz w:val="16"/>
        </w:rPr>
        <w:t xml:space="preserve"> the </w:t>
      </w:r>
      <w:r w:rsidRPr="00E55230">
        <w:rPr>
          <w:rStyle w:val="StyleUnderline"/>
          <w:rFonts w:asciiTheme="minorHAnsi" w:hAnsiTheme="minorHAnsi" w:cstheme="minorHAnsi"/>
        </w:rPr>
        <w:t>ecosystem services</w:t>
      </w:r>
      <w:r w:rsidRPr="003A49E3">
        <w:rPr>
          <w:rStyle w:val="StyleUnderline"/>
          <w:rFonts w:asciiTheme="minorHAnsi" w:hAnsiTheme="minorHAnsi" w:cstheme="minorHAnsi"/>
        </w:rPr>
        <w:t xml:space="preserve"> assessed by the MEA </w:t>
      </w:r>
      <w:r w:rsidRPr="00E55230">
        <w:rPr>
          <w:rStyle w:val="StyleUnderline"/>
          <w:rFonts w:asciiTheme="minorHAnsi" w:hAnsiTheme="minorHAnsi" w:cstheme="minorHAnsi"/>
        </w:rPr>
        <w:t>were</w:t>
      </w:r>
      <w:r w:rsidRPr="003A49E3">
        <w:rPr>
          <w:rFonts w:asciiTheme="minorHAnsi" w:hAnsiTheme="minorHAnsi" w:cstheme="minorHAnsi"/>
          <w:sz w:val="16"/>
        </w:rPr>
        <w:t xml:space="preserve"> found to be </w:t>
      </w:r>
      <w:r w:rsidRPr="00E55230">
        <w:rPr>
          <w:rStyle w:val="StyleUnderline"/>
          <w:rFonts w:asciiTheme="minorHAnsi" w:hAnsiTheme="minorHAnsi" w:cstheme="minorHAnsi"/>
        </w:rPr>
        <w:t>in dec</w:t>
      </w:r>
      <w:r w:rsidRPr="003A49E3">
        <w:rPr>
          <w:rStyle w:val="StyleUnderline"/>
          <w:rFonts w:asciiTheme="minorHAnsi" w:hAnsiTheme="minorHAnsi" w:cstheme="minorHAnsi"/>
        </w:rPr>
        <w:t>line, most of these were regulating and supporting services</w:t>
      </w:r>
      <w:r w:rsidRPr="003A49E3">
        <w:rPr>
          <w:rFonts w:asciiTheme="minorHAnsi" w:hAnsiTheme="minorHAnsi" w:cstheme="minorHAnsi"/>
          <w:sz w:val="16"/>
        </w:rPr>
        <w:t xml:space="preserve">, whereas </w:t>
      </w:r>
      <w:r w:rsidRPr="003A49E3">
        <w:rPr>
          <w:rStyle w:val="StyleUnderline"/>
          <w:rFonts w:asciiTheme="minorHAnsi" w:hAnsiTheme="minorHAnsi" w:cstheme="minorHAnsi"/>
        </w:rPr>
        <w:t xml:space="preserve">the majority of </w:t>
      </w:r>
      <w:r w:rsidRPr="00E55230">
        <w:rPr>
          <w:rStyle w:val="Emphasis"/>
          <w:rFonts w:asciiTheme="minorHAnsi" w:hAnsiTheme="minorHAnsi" w:cstheme="minorHAnsi"/>
        </w:rPr>
        <w:t>expanding services were provisioning services</w:t>
      </w:r>
      <w:r w:rsidRPr="00E55230">
        <w:rPr>
          <w:rStyle w:val="StyleUnderline"/>
          <w:rFonts w:asciiTheme="minorHAnsi" w:hAnsiTheme="minorHAnsi" w:cstheme="minorHAnsi"/>
        </w:rPr>
        <w:t xml:space="preserve"> such as crops, livestock and aquaculture</w:t>
      </w:r>
      <w:r w:rsidRPr="003A49E3">
        <w:rPr>
          <w:rFonts w:asciiTheme="minorHAnsi" w:hAnsiTheme="minorHAnsi" w:cstheme="minorHAnsi"/>
          <w:sz w:val="16"/>
        </w:rPr>
        <w:t xml:space="preserve"> (MEA 2005). Raudsepp-Hearne et al. (2010) investigated the impacts on human well-being from decreases in non-food ecosystem services using national-scale data in order to reveal human well-being trends at the global scale. At the global scale, forest cover, biodiversity, and fish stocks are all decreasing; while water crowding (a measure of how many people shared the same flow unit of water placing a clear emphasis on the social demands of water rather than physical stress (Falkenmark and Rockstro¨m 2004)), soil degradation, natural disasters, global temperatures, and carbon dioxide levels are all on the rise, and land is becoming increasingly subject to salinization and desertification (Bennett and Balvanera 2007). However, </w:t>
      </w:r>
      <w:r w:rsidRPr="003A49E3">
        <w:rPr>
          <w:rStyle w:val="StyleUnderline"/>
          <w:rFonts w:asciiTheme="minorHAnsi" w:hAnsiTheme="minorHAnsi" w:cstheme="minorHAnsi"/>
        </w:rPr>
        <w:t>across countries, Raudsepp-Hearne et al.</w:t>
      </w:r>
      <w:r w:rsidRPr="003A49E3">
        <w:rPr>
          <w:rFonts w:asciiTheme="minorHAnsi" w:hAnsiTheme="minorHAnsi" w:cstheme="minorHAnsi"/>
          <w:sz w:val="16"/>
        </w:rPr>
        <w:t xml:space="preserve"> (2010) </w:t>
      </w:r>
      <w:r w:rsidRPr="003A49E3">
        <w:rPr>
          <w:rStyle w:val="StyleUnderline"/>
          <w:rFonts w:asciiTheme="minorHAnsi" w:hAnsiTheme="minorHAnsi" w:cstheme="minorHAnsi"/>
        </w:rPr>
        <w:t xml:space="preserve">found </w:t>
      </w:r>
      <w:r w:rsidRPr="00E55230">
        <w:rPr>
          <w:rStyle w:val="Emphasis"/>
          <w:rFonts w:asciiTheme="minorHAnsi" w:hAnsiTheme="minorHAnsi" w:cstheme="minorHAnsi"/>
        </w:rPr>
        <w:t>no correlation between</w:t>
      </w:r>
      <w:r w:rsidRPr="003A49E3">
        <w:rPr>
          <w:rFonts w:asciiTheme="minorHAnsi" w:hAnsiTheme="minorHAnsi" w:cstheme="minorHAnsi"/>
          <w:sz w:val="16"/>
        </w:rPr>
        <w:t xml:space="preserve"> measures of </w:t>
      </w:r>
      <w:r w:rsidRPr="00E55230">
        <w:rPr>
          <w:rStyle w:val="Emphasis"/>
          <w:rFonts w:asciiTheme="minorHAnsi" w:hAnsiTheme="minorHAnsi" w:cstheme="minorHAnsi"/>
        </w:rPr>
        <w:t xml:space="preserve">wellbeing and the </w:t>
      </w:r>
      <w:r w:rsidRPr="003A49E3">
        <w:rPr>
          <w:rStyle w:val="Emphasis"/>
          <w:rFonts w:asciiTheme="minorHAnsi" w:hAnsiTheme="minorHAnsi" w:cstheme="minorHAnsi"/>
        </w:rPr>
        <w:t xml:space="preserve">available </w:t>
      </w:r>
      <w:r w:rsidRPr="00E55230">
        <w:rPr>
          <w:rStyle w:val="Emphasis"/>
          <w:rFonts w:asciiTheme="minorHAnsi" w:hAnsiTheme="minorHAnsi" w:cstheme="minorHAnsi"/>
        </w:rPr>
        <w:t>data for</w:t>
      </w:r>
      <w:r w:rsidRPr="003A49E3">
        <w:rPr>
          <w:rFonts w:asciiTheme="minorHAnsi" w:hAnsiTheme="minorHAnsi" w:cstheme="minorHAnsi"/>
          <w:sz w:val="16"/>
        </w:rPr>
        <w:t xml:space="preserve"> non-food </w:t>
      </w:r>
      <w:r w:rsidRPr="00E55230">
        <w:rPr>
          <w:rStyle w:val="Emphasis"/>
          <w:rFonts w:asciiTheme="minorHAnsi" w:hAnsiTheme="minorHAnsi" w:cstheme="minorHAnsi"/>
        </w:rPr>
        <w:t>ecosystem services</w:t>
      </w:r>
      <w:r w:rsidRPr="003A49E3">
        <w:rPr>
          <w:rStyle w:val="StyleUnderline"/>
          <w:rFonts w:asciiTheme="minorHAnsi" w:hAnsiTheme="minorHAnsi" w:cstheme="minorHAnsi"/>
        </w:rPr>
        <w:t>, including forest cover and percentage of land under protected-area status</w:t>
      </w:r>
      <w:r w:rsidRPr="003A49E3">
        <w:rPr>
          <w:rFonts w:asciiTheme="minorHAnsi" w:hAnsiTheme="minorHAnsi" w:cstheme="minorHAnsi"/>
          <w:sz w:val="16"/>
        </w:rPr>
        <w:t xml:space="preserve"> (proxies for many cultural and regulating services), </w:t>
      </w:r>
      <w:r w:rsidRPr="003A49E3">
        <w:rPr>
          <w:rStyle w:val="StyleUnderline"/>
          <w:rFonts w:asciiTheme="minorHAnsi" w:hAnsiTheme="minorHAnsi" w:cstheme="minorHAnsi"/>
        </w:rPr>
        <w:t>organic pollutants</w:t>
      </w:r>
      <w:r w:rsidRPr="003A49E3">
        <w:rPr>
          <w:rFonts w:asciiTheme="minorHAnsi" w:hAnsiTheme="minorHAnsi" w:cstheme="minorHAnsi"/>
          <w:sz w:val="16"/>
        </w:rPr>
        <w:t xml:space="preserve"> (a proxy for air and water quality), </w:t>
      </w:r>
      <w:r w:rsidRPr="003A49E3">
        <w:rPr>
          <w:rStyle w:val="StyleUnderline"/>
          <w:rFonts w:asciiTheme="minorHAnsi" w:hAnsiTheme="minorHAnsi" w:cstheme="minorHAnsi"/>
        </w:rPr>
        <w:t>and</w:t>
      </w:r>
      <w:r w:rsidRPr="003A49E3">
        <w:rPr>
          <w:rFonts w:asciiTheme="minorHAnsi" w:hAnsiTheme="minorHAnsi" w:cstheme="minorHAnsi"/>
          <w:sz w:val="16"/>
        </w:rPr>
        <w:t xml:space="preserve"> water crowding index (a proxy for </w:t>
      </w:r>
      <w:r w:rsidRPr="003A49E3">
        <w:rPr>
          <w:rStyle w:val="StyleUnderline"/>
          <w:rFonts w:asciiTheme="minorHAnsi" w:hAnsiTheme="minorHAnsi" w:cstheme="minorHAnsi"/>
        </w:rPr>
        <w:t>drinking water availability</w:t>
      </w:r>
      <w:r w:rsidRPr="003A49E3">
        <w:rPr>
          <w:rFonts w:asciiTheme="minorHAnsi" w:hAnsiTheme="minorHAnsi" w:cstheme="minorHAnsi"/>
          <w:sz w:val="16"/>
        </w:rPr>
        <w:t xml:space="preserve">, Sieswerda et al. 2001; WRI 2009) </w:t>
      </w:r>
      <w:r w:rsidRPr="003A49E3">
        <w:rPr>
          <w:rStyle w:val="StyleUnderline"/>
          <w:rFonts w:asciiTheme="minorHAnsi" w:hAnsiTheme="minorHAnsi" w:cstheme="minorHAnsi"/>
        </w:rPr>
        <w:t xml:space="preserve">This suggests there is </w:t>
      </w:r>
      <w:r w:rsidRPr="00E55230">
        <w:rPr>
          <w:rStyle w:val="Emphasis"/>
          <w:rFonts w:asciiTheme="minorHAnsi" w:hAnsiTheme="minorHAnsi" w:cstheme="minorHAnsi"/>
        </w:rPr>
        <w:t>no direct causal link between biodiversity decline and health</w:t>
      </w:r>
      <w:r w:rsidRPr="003A49E3">
        <w:rPr>
          <w:rFonts w:asciiTheme="minorHAnsi" w:hAnsiTheme="minorHAnsi" w:cstheme="minorHAnsi"/>
          <w:sz w:val="16"/>
        </w:rPr>
        <w:t xml:space="preserve">, rather the relationship is a ‘knock-on’ effect. I.e. if biodiversity decline affects mankind’s ability to produce food, fuel and fibre, it will therefore impact on human health and well-being. As discussed in the introduction, the fact that humans need food, water and air to live is an obvious one. </w:t>
      </w:r>
      <w:r w:rsidRPr="003A49E3">
        <w:rPr>
          <w:rStyle w:val="StyleUnderline"/>
          <w:rFonts w:asciiTheme="minorHAnsi" w:hAnsiTheme="minorHAnsi" w:cstheme="minorHAnsi"/>
        </w:rPr>
        <w:t>All</w:t>
      </w:r>
      <w:r w:rsidRPr="003A49E3">
        <w:rPr>
          <w:rFonts w:asciiTheme="minorHAnsi" w:hAnsiTheme="minorHAnsi" w:cstheme="minorHAnsi"/>
          <w:sz w:val="16"/>
        </w:rPr>
        <w:t xml:space="preserve"> these </w:t>
      </w:r>
      <w:r w:rsidRPr="003A49E3">
        <w:rPr>
          <w:rStyle w:val="StyleUnderline"/>
          <w:rFonts w:asciiTheme="minorHAnsi" w:hAnsiTheme="minorHAnsi" w:cstheme="minorHAnsi"/>
        </w:rPr>
        <w:t xml:space="preserve">basic provisions </w:t>
      </w:r>
      <w:r w:rsidRPr="003A49E3">
        <w:rPr>
          <w:rStyle w:val="Emphasis"/>
          <w:rFonts w:asciiTheme="minorHAnsi" w:hAnsiTheme="minorHAnsi" w:cstheme="minorHAnsi"/>
        </w:rPr>
        <w:t>can be produced in a diversity-poor environment.</w:t>
      </w:r>
      <w:r w:rsidRPr="003A49E3">
        <w:rPr>
          <w:rFonts w:asciiTheme="minorHAnsi" w:hAnsiTheme="minorHAnsi" w:cstheme="minorHAnsi"/>
          <w:sz w:val="16"/>
        </w:rPr>
        <w:t xml:space="preserve"> Therefore, to understand whether there is a potential causality relationship between biodiversity in its own right and human health, we need to move beyond the basic provisioning services. </w:t>
      </w:r>
    </w:p>
    <w:p w:rsidR="000C7A59" w:rsidRPr="003A49E3" w:rsidRDefault="000C7A59" w:rsidP="000C7A59">
      <w:pPr>
        <w:pStyle w:val="Heading4"/>
      </w:pPr>
      <w:r w:rsidRPr="003A49E3">
        <w:t>The environment is resilient- it has withstood ridiculous amounts of destruction</w:t>
      </w:r>
    </w:p>
    <w:p w:rsidR="000C7A59" w:rsidRPr="003A49E3" w:rsidRDefault="000C7A59" w:rsidP="000C7A59">
      <w:pPr>
        <w:rPr>
          <w:sz w:val="16"/>
          <w:szCs w:val="16"/>
        </w:rPr>
      </w:pPr>
      <w:r w:rsidRPr="003A49E3">
        <w:rPr>
          <w:rStyle w:val="Style13ptBold"/>
        </w:rPr>
        <w:t>Easterbrook 95</w:t>
      </w:r>
      <w:r w:rsidRPr="003A49E3">
        <w:rPr>
          <w:sz w:val="16"/>
          <w:szCs w:val="16"/>
        </w:rPr>
        <w:t xml:space="preserve">,  Distinguished Fellow, Fullbright Foundation (Gregg, A Moment on Earth pg 25) </w:t>
      </w:r>
    </w:p>
    <w:p w:rsidR="000C7A59" w:rsidRPr="003A49E3" w:rsidRDefault="000C7A59" w:rsidP="000C7A59">
      <w:pPr>
        <w:rPr>
          <w:b/>
          <w:color w:val="000000"/>
          <w:szCs w:val="14"/>
          <w:u w:val="single"/>
        </w:rPr>
      </w:pPr>
      <w:r w:rsidRPr="003A49E3">
        <w:rPr>
          <w:b/>
          <w:color w:val="000000"/>
          <w:szCs w:val="14"/>
          <w:u w:val="single"/>
        </w:rPr>
        <w:t>IN THE AFTERMATH OF EVENTS SUCH AS LOVE CANAL OR THE Exxon Valdez oil spill, every reference to the environment is prefaced with the adjective "fragile</w:t>
      </w:r>
      <w:r w:rsidRPr="003A49E3">
        <w:rPr>
          <w:color w:val="000000"/>
          <w:sz w:val="14"/>
          <w:szCs w:val="14"/>
        </w:rPr>
        <w:t xml:space="preserve">." "Fragile environment" has become a welded phrase of the modern lexicon, like "aging hippie" or "fugitive financier." But the notion of a fragile environment is profoundly wrong. Individual animals, plants, and people are distressingly fragile. </w:t>
      </w:r>
      <w:r w:rsidRPr="00E55230">
        <w:rPr>
          <w:b/>
          <w:color w:val="000000"/>
          <w:szCs w:val="14"/>
          <w:u w:val="single"/>
        </w:rPr>
        <w:t>The environment</w:t>
      </w:r>
      <w:r w:rsidRPr="003A49E3">
        <w:rPr>
          <w:b/>
          <w:color w:val="000000"/>
          <w:szCs w:val="14"/>
          <w:u w:val="single"/>
        </w:rPr>
        <w:t xml:space="preserve"> </w:t>
      </w:r>
      <w:r w:rsidRPr="003A49E3">
        <w:rPr>
          <w:color w:val="000000"/>
          <w:sz w:val="14"/>
          <w:szCs w:val="14"/>
        </w:rPr>
        <w:t>that contains them</w:t>
      </w:r>
      <w:r w:rsidRPr="003A49E3">
        <w:rPr>
          <w:b/>
          <w:color w:val="000000"/>
          <w:szCs w:val="14"/>
          <w:u w:val="single"/>
        </w:rPr>
        <w:t xml:space="preserve"> </w:t>
      </w:r>
      <w:r w:rsidRPr="00E55230">
        <w:rPr>
          <w:b/>
          <w:color w:val="000000"/>
          <w:szCs w:val="14"/>
          <w:u w:val="single"/>
        </w:rPr>
        <w:t xml:space="preserve">is </w:t>
      </w:r>
      <w:r w:rsidRPr="00E55230">
        <w:rPr>
          <w:rStyle w:val="Heading4Char"/>
          <w:rFonts w:eastAsia="Calibri" w:cs="Calibri"/>
          <w:color w:val="000000"/>
        </w:rPr>
        <w:t>close to</w:t>
      </w:r>
      <w:r w:rsidRPr="00E55230">
        <w:rPr>
          <w:b/>
          <w:color w:val="000000"/>
          <w:szCs w:val="14"/>
          <w:u w:val="single"/>
        </w:rPr>
        <w:t xml:space="preserve"> indestructible.</w:t>
      </w:r>
      <w:r w:rsidRPr="003A49E3">
        <w:rPr>
          <w:b/>
          <w:color w:val="000000"/>
          <w:szCs w:val="14"/>
          <w:u w:val="single"/>
        </w:rPr>
        <w:t xml:space="preserve">   The living environment of </w:t>
      </w:r>
      <w:r w:rsidRPr="00E55230">
        <w:rPr>
          <w:b/>
          <w:color w:val="000000"/>
          <w:szCs w:val="14"/>
          <w:u w:val="single"/>
        </w:rPr>
        <w:t>Earth has survived ice ages;</w:t>
      </w:r>
      <w:r w:rsidRPr="003A49E3">
        <w:rPr>
          <w:b/>
          <w:color w:val="000000"/>
          <w:szCs w:val="14"/>
          <w:u w:val="single"/>
        </w:rPr>
        <w:t xml:space="preserve"> </w:t>
      </w:r>
      <w:r w:rsidRPr="00E55230">
        <w:rPr>
          <w:b/>
          <w:color w:val="000000"/>
          <w:szCs w:val="14"/>
          <w:u w:val="single"/>
        </w:rPr>
        <w:t>bombardments of cosmic radiation</w:t>
      </w:r>
      <w:r w:rsidRPr="003A49E3">
        <w:rPr>
          <w:b/>
          <w:color w:val="000000"/>
          <w:szCs w:val="14"/>
          <w:u w:val="single"/>
        </w:rPr>
        <w:t xml:space="preserve"> more deadly than atomic fallout; </w:t>
      </w:r>
      <w:r w:rsidRPr="00E55230">
        <w:rPr>
          <w:b/>
          <w:color w:val="000000"/>
          <w:szCs w:val="14"/>
          <w:u w:val="single"/>
        </w:rPr>
        <w:t>solar radiation</w:t>
      </w:r>
      <w:r w:rsidRPr="003A49E3">
        <w:rPr>
          <w:b/>
          <w:color w:val="000000"/>
          <w:szCs w:val="14"/>
          <w:u w:val="single"/>
        </w:rPr>
        <w:t xml:space="preserve"> more powerful than the worst-case projection for ozone depletion; </w:t>
      </w:r>
      <w:r w:rsidRPr="00E55230">
        <w:rPr>
          <w:b/>
          <w:color w:val="000000"/>
          <w:szCs w:val="14"/>
          <w:u w:val="single"/>
        </w:rPr>
        <w:t>thousand-year periods of intense volcanism releasing global air pollution</w:t>
      </w:r>
      <w:r w:rsidRPr="003A49E3">
        <w:rPr>
          <w:b/>
          <w:color w:val="000000"/>
          <w:szCs w:val="14"/>
          <w:u w:val="single"/>
        </w:rPr>
        <w:t xml:space="preserve"> far worse than that made by any factory; </w:t>
      </w:r>
      <w:r w:rsidRPr="00E55230">
        <w:rPr>
          <w:b/>
          <w:color w:val="000000"/>
          <w:szCs w:val="14"/>
          <w:u w:val="single"/>
        </w:rPr>
        <w:t>reversals of the planet's magnetic poles; the rearrangement of continents</w:t>
      </w:r>
      <w:r w:rsidRPr="003A49E3">
        <w:rPr>
          <w:b/>
          <w:color w:val="000000"/>
          <w:szCs w:val="14"/>
          <w:u w:val="single"/>
        </w:rPr>
        <w:t>; transformation of plains into mountain ranges and of seas into plains</w:t>
      </w:r>
      <w:r w:rsidRPr="00E55230">
        <w:rPr>
          <w:b/>
          <w:color w:val="000000"/>
          <w:szCs w:val="14"/>
          <w:u w:val="single"/>
        </w:rPr>
        <w:t xml:space="preserve">; fluctuations of ocean currents and the jet stream; </w:t>
      </w:r>
      <w:r w:rsidRPr="003A49E3">
        <w:rPr>
          <w:b/>
          <w:color w:val="000000"/>
          <w:szCs w:val="14"/>
          <w:u w:val="single"/>
        </w:rPr>
        <w:t xml:space="preserve">300-foot vacillations in sea levels; shortening and lengthening of the seasons caused by </w:t>
      </w:r>
      <w:r w:rsidRPr="00E55230">
        <w:rPr>
          <w:b/>
          <w:color w:val="000000"/>
          <w:szCs w:val="14"/>
          <w:u w:val="single"/>
        </w:rPr>
        <w:t>shifts in the planetary axis; collisions of asteroids and comets</w:t>
      </w:r>
      <w:r w:rsidRPr="003A49E3">
        <w:rPr>
          <w:b/>
          <w:color w:val="000000"/>
          <w:szCs w:val="14"/>
          <w:u w:val="single"/>
        </w:rPr>
        <w:t xml:space="preserve"> bearing far more force than man's nuclear arsenals; and the years without summer that followed these impacts.   Yet hearts beat on, and petals unfold still.</w:t>
      </w:r>
      <w:r w:rsidRPr="003A49E3">
        <w:rPr>
          <w:color w:val="000000"/>
          <w:sz w:val="14"/>
          <w:szCs w:val="14"/>
        </w:rPr>
        <w:t xml:space="preserve"> </w:t>
      </w:r>
      <w:r w:rsidRPr="00E55230">
        <w:rPr>
          <w:b/>
          <w:color w:val="000000"/>
          <w:szCs w:val="14"/>
          <w:u w:val="single"/>
        </w:rPr>
        <w:t xml:space="preserve">Were the environment </w:t>
      </w:r>
      <w:r w:rsidRPr="00E55230">
        <w:rPr>
          <w:b/>
          <w:color w:val="000000"/>
          <w:szCs w:val="14"/>
          <w:u w:val="single"/>
        </w:rPr>
        <w:br/>
        <w:t xml:space="preserve">fragile it would have expired many eons before </w:t>
      </w:r>
      <w:r w:rsidRPr="003A49E3">
        <w:rPr>
          <w:b/>
          <w:color w:val="000000"/>
          <w:szCs w:val="14"/>
          <w:u w:val="single"/>
        </w:rPr>
        <w:t>the advent of</w:t>
      </w:r>
      <w:r w:rsidRPr="003A49E3">
        <w:rPr>
          <w:color w:val="000000"/>
          <w:sz w:val="14"/>
          <w:szCs w:val="14"/>
        </w:rPr>
        <w:t xml:space="preserve"> the industrial affronts of </w:t>
      </w:r>
      <w:r w:rsidRPr="003A49E3">
        <w:rPr>
          <w:b/>
          <w:color w:val="000000"/>
          <w:szCs w:val="14"/>
          <w:u w:val="single"/>
        </w:rPr>
        <w:t>the dreaming ape</w:t>
      </w:r>
      <w:r w:rsidRPr="00E55230">
        <w:rPr>
          <w:color w:val="000000"/>
          <w:sz w:val="14"/>
          <w:szCs w:val="14"/>
        </w:rPr>
        <w:t xml:space="preserve">. </w:t>
      </w:r>
      <w:r w:rsidRPr="00E55230">
        <w:rPr>
          <w:b/>
          <w:color w:val="000000"/>
          <w:szCs w:val="14"/>
          <w:u w:val="single"/>
        </w:rPr>
        <w:t xml:space="preserve">Human assaults </w:t>
      </w:r>
      <w:r w:rsidRPr="003A49E3">
        <w:rPr>
          <w:b/>
          <w:color w:val="000000"/>
          <w:szCs w:val="14"/>
          <w:u w:val="single"/>
        </w:rPr>
        <w:t xml:space="preserve">on the environment, though mischievous, are pinpricks compared to forces of the magnitude nature is accustomed to resisting. </w:t>
      </w:r>
    </w:p>
    <w:p w:rsidR="000C7A59" w:rsidRPr="003A49E3" w:rsidRDefault="000C7A59" w:rsidP="000C7A59"/>
    <w:p w:rsidR="000C7A59" w:rsidRPr="003A49E3" w:rsidRDefault="000C7A59" w:rsidP="000C7A59">
      <w:pPr>
        <w:pStyle w:val="Heading4"/>
      </w:pPr>
      <w:r w:rsidRPr="003A49E3">
        <w:t xml:space="preserve">No impact to biodiversity </w:t>
      </w:r>
    </w:p>
    <w:p w:rsidR="000C7A59" w:rsidRPr="003A49E3" w:rsidRDefault="000C7A59" w:rsidP="000C7A59">
      <w:r w:rsidRPr="003A49E3">
        <w:rPr>
          <w:b/>
        </w:rPr>
        <w:t>Sagoff 97</w:t>
      </w:r>
      <w:r w:rsidRPr="003A49E3">
        <w:t>  Mark, Senior Research Scholar – Institute for Philosophy and Public policy in School of Public Affairs – U. Maryland, William and Mary Law Review, “INSTITUTE OF BILL OF RIGHTS LAW SYMPOSIUM DEFINING TAKINGS: PRIVATE PROPERTY AND THE FUTURE OF GOVERNMENT REGULATION: MUDDLE OR MUDDLE THROUGH? TAKINGS JURISPRUDENCE MEETS THE ENDANGERED SPECIES ACT”, 38 Wm and Mary L. Rev. 825, March, L/N</w:t>
      </w:r>
    </w:p>
    <w:p w:rsidR="000C7A59" w:rsidRPr="003A49E3" w:rsidRDefault="000C7A59" w:rsidP="000C7A59">
      <w:r w:rsidRPr="003A49E3">
        <w:t xml:space="preserve">Note – Colin Tudge - Research Fellow at the Centre for Philosophy at the London School of Economics. Frmr Zoological Society of London: Scientific Fellow and tons of other positions. PhD. Read zoology at Cambridge. </w:t>
      </w:r>
    </w:p>
    <w:p w:rsidR="000C7A59" w:rsidRPr="003A49E3" w:rsidRDefault="000C7A59" w:rsidP="000C7A59">
      <w:r w:rsidRPr="003A49E3">
        <w:t xml:space="preserve">Simon Levin = Moffet Professor of Biology, Princeton. 2007 American Institute of Biological Sciences Distinguished Scientist Award 2008 Istituto Veneto di Scienze Lettere ed Arti 2009 Honorary Doctorate of Science, Michigan State University 2010 Eminent Ecologist Award, Ecological Society of America 2010 Margalef Prize in Ecology, etc… PhD </w:t>
      </w:r>
    </w:p>
    <w:p w:rsidR="000C7A59" w:rsidRPr="003A49E3" w:rsidRDefault="000C7A59" w:rsidP="000C7A59"/>
    <w:p w:rsidR="000C7A59" w:rsidRPr="003A49E3" w:rsidRDefault="000C7A59" w:rsidP="000C7A59">
      <w:pPr>
        <w:pStyle w:val="cardtext"/>
        <w:ind w:left="0"/>
        <w:rPr>
          <w:sz w:val="16"/>
          <w:lang w:eastAsia="zh-TW"/>
        </w:rPr>
      </w:pPr>
      <w:r w:rsidRPr="003A49E3">
        <w:rPr>
          <w:rStyle w:val="TitleChar"/>
          <w:b/>
        </w:rPr>
        <w:t>Although</w:t>
      </w:r>
      <w:r w:rsidRPr="003A49E3">
        <w:rPr>
          <w:sz w:val="16"/>
          <w:lang w:eastAsia="zh-TW"/>
        </w:rPr>
        <w:t xml:space="preserve"> one may agree with ecologists such as Ehrlich and Raven that </w:t>
      </w:r>
      <w:r w:rsidRPr="003A49E3">
        <w:rPr>
          <w:rStyle w:val="TitleChar"/>
          <w:b/>
        </w:rPr>
        <w:t>the</w:t>
      </w:r>
      <w:r w:rsidRPr="003A49E3">
        <w:rPr>
          <w:sz w:val="16"/>
          <w:lang w:eastAsia="zh-TW"/>
        </w:rPr>
        <w:t> </w:t>
      </w:r>
      <w:r w:rsidRPr="003A49E3">
        <w:rPr>
          <w:rStyle w:val="TitleChar"/>
          <w:b/>
        </w:rPr>
        <w:t xml:space="preserve">earth stands on </w:t>
      </w:r>
      <w:r w:rsidRPr="003A49E3">
        <w:rPr>
          <w:b/>
          <w:u w:val="single"/>
          <w:lang w:eastAsia="zh-TW"/>
        </w:rPr>
        <w:t>the brink of</w:t>
      </w:r>
      <w:r w:rsidRPr="003A49E3">
        <w:rPr>
          <w:sz w:val="16"/>
          <w:lang w:eastAsia="zh-TW"/>
        </w:rPr>
        <w:t> an episode of </w:t>
      </w:r>
      <w:r w:rsidRPr="003A49E3">
        <w:rPr>
          <w:b/>
          <w:u w:val="single"/>
          <w:lang w:eastAsia="zh-TW"/>
        </w:rPr>
        <w:t>massive extinction</w:t>
      </w:r>
      <w:r w:rsidRPr="003A49E3">
        <w:rPr>
          <w:b/>
          <w:sz w:val="16"/>
          <w:lang w:eastAsia="zh-TW"/>
        </w:rPr>
        <w:t>, </w:t>
      </w:r>
      <w:r w:rsidRPr="00E55230">
        <w:rPr>
          <w:b/>
          <w:u w:val="single"/>
          <w:lang w:eastAsia="zh-TW"/>
        </w:rPr>
        <w:t>it may not follow</w:t>
      </w:r>
      <w:r w:rsidRPr="003A49E3">
        <w:rPr>
          <w:sz w:val="16"/>
          <w:lang w:eastAsia="zh-TW"/>
        </w:rPr>
        <w:t> from this grim fact </w:t>
      </w:r>
      <w:r w:rsidRPr="00E55230">
        <w:rPr>
          <w:b/>
          <w:u w:val="single"/>
          <w:lang w:eastAsia="zh-TW"/>
        </w:rPr>
        <w:t>that human</w:t>
      </w:r>
      <w:r w:rsidRPr="003A49E3">
        <w:rPr>
          <w:b/>
          <w:u w:val="single"/>
          <w:lang w:eastAsia="zh-TW"/>
        </w:rPr>
        <w:t xml:space="preserve"> </w:t>
      </w:r>
      <w:r w:rsidRPr="003A49E3">
        <w:rPr>
          <w:sz w:val="16"/>
          <w:lang w:eastAsia="zh-TW"/>
        </w:rPr>
        <w:t>being</w:t>
      </w:r>
      <w:r w:rsidRPr="003A49E3">
        <w:rPr>
          <w:b/>
          <w:u w:val="single"/>
          <w:lang w:eastAsia="zh-TW"/>
        </w:rPr>
        <w:t xml:space="preserve">s </w:t>
      </w:r>
      <w:r w:rsidRPr="00E55230">
        <w:rPr>
          <w:b/>
          <w:u w:val="single"/>
          <w:lang w:eastAsia="zh-TW"/>
        </w:rPr>
        <w:t>will suffer</w:t>
      </w:r>
      <w:r w:rsidRPr="003A49E3">
        <w:rPr>
          <w:sz w:val="16"/>
          <w:lang w:eastAsia="zh-TW"/>
        </w:rPr>
        <w:t> as a result. On the contrary, skeptics such as science writer Colin </w:t>
      </w:r>
      <w:r w:rsidRPr="003A49E3">
        <w:rPr>
          <w:rStyle w:val="TitleChar"/>
          <w:b/>
        </w:rPr>
        <w:t xml:space="preserve">Tudge </w:t>
      </w:r>
      <w:r w:rsidRPr="003A49E3">
        <w:rPr>
          <w:sz w:val="16"/>
          <w:lang w:eastAsia="zh-TW"/>
        </w:rPr>
        <w:t xml:space="preserve">have </w:t>
      </w:r>
      <w:r w:rsidRPr="003A49E3">
        <w:rPr>
          <w:rStyle w:val="TitleChar"/>
          <w:b/>
        </w:rPr>
        <w:t xml:space="preserve">challenged biologists to explain </w:t>
      </w:r>
      <w:r w:rsidRPr="003A49E3">
        <w:rPr>
          <w:b/>
          <w:u w:val="single"/>
          <w:lang w:eastAsia="zh-TW"/>
        </w:rPr>
        <w:t>why we need more than a tenth of the 10 to 100 million species that grace the earth</w:t>
      </w:r>
      <w:r w:rsidRPr="003A49E3">
        <w:rPr>
          <w:rStyle w:val="TitleChar"/>
          <w:b/>
        </w:rPr>
        <w:t>. Noting that "</w:t>
      </w:r>
      <w:r w:rsidRPr="00E55230">
        <w:rPr>
          <w:rStyle w:val="TitleChar"/>
          <w:b/>
        </w:rPr>
        <w:t>cultivated systems often out-produce wild systems by 100-fold or more</w:t>
      </w:r>
      <w:r w:rsidRPr="003A49E3">
        <w:rPr>
          <w:rStyle w:val="TitleChar"/>
          <w:b/>
        </w:rPr>
        <w:t>," Tudge declared that "the argument that humans need the variety of other species is,</w:t>
      </w:r>
      <w:r w:rsidRPr="003A49E3">
        <w:rPr>
          <w:sz w:val="16"/>
          <w:lang w:eastAsia="zh-TW"/>
        </w:rPr>
        <w:t> when you think about it, </w:t>
      </w:r>
      <w:r w:rsidRPr="003A49E3">
        <w:rPr>
          <w:rStyle w:val="TitleChar"/>
          <w:b/>
        </w:rPr>
        <w:t>a theological one</w:t>
      </w:r>
      <w:r w:rsidRPr="003A49E3">
        <w:rPr>
          <w:sz w:val="16"/>
          <w:lang w:eastAsia="zh-TW"/>
        </w:rPr>
        <w:t>." n343 Tudge observed that </w:t>
      </w:r>
      <w:r w:rsidRPr="003A49E3">
        <w:rPr>
          <w:rStyle w:val="TitleChar"/>
          <w:b/>
        </w:rPr>
        <w:t>"</w:t>
      </w:r>
      <w:r w:rsidRPr="00E55230">
        <w:rPr>
          <w:rStyle w:val="TitleChar"/>
          <w:b/>
        </w:rPr>
        <w:t xml:space="preserve">the </w:t>
      </w:r>
      <w:r w:rsidRPr="00E55230">
        <w:rPr>
          <w:rStyle w:val="Emphasis"/>
        </w:rPr>
        <w:t>elimination of all but a tiny minority</w:t>
      </w:r>
      <w:r w:rsidRPr="00E55230">
        <w:rPr>
          <w:rStyle w:val="TitleChar"/>
          <w:b/>
        </w:rPr>
        <w:t xml:space="preserve"> </w:t>
      </w:r>
      <w:r w:rsidRPr="00E55230">
        <w:rPr>
          <w:b/>
          <w:u w:val="single"/>
          <w:lang w:eastAsia="zh-TW"/>
        </w:rPr>
        <w:t>of our fellow creatures does not affect the</w:t>
      </w:r>
      <w:r w:rsidRPr="003A49E3">
        <w:rPr>
          <w:b/>
          <w:u w:val="single"/>
          <w:lang w:eastAsia="zh-TW"/>
        </w:rPr>
        <w:t xml:space="preserve"> material well-being of </w:t>
      </w:r>
      <w:r w:rsidRPr="00E55230">
        <w:rPr>
          <w:b/>
          <w:u w:val="single"/>
          <w:lang w:eastAsia="zh-TW"/>
        </w:rPr>
        <w:t>humans</w:t>
      </w:r>
      <w:r w:rsidRPr="003A49E3">
        <w:rPr>
          <w:b/>
          <w:u w:val="single"/>
          <w:lang w:eastAsia="zh-TW"/>
        </w:rPr>
        <w:t xml:space="preserve"> </w:t>
      </w:r>
      <w:r w:rsidRPr="003A49E3">
        <w:rPr>
          <w:rStyle w:val="Emphasis"/>
        </w:rPr>
        <w:t>one iota."</w:t>
      </w:r>
      <w:r w:rsidRPr="003A49E3">
        <w:rPr>
          <w:b/>
          <w:sz w:val="16"/>
          <w:lang w:eastAsia="zh-TW"/>
        </w:rPr>
        <w:t> </w:t>
      </w:r>
      <w:r w:rsidRPr="003A49E3">
        <w:rPr>
          <w:sz w:val="16"/>
          <w:lang w:eastAsia="zh-TW"/>
        </w:rPr>
        <w:t>n344 This skeptic challenged ecologists to list more than 10,000 species (other than unthreatened microbes) that are essential to ecosystem productivity or functioning. n345 "</w:t>
      </w:r>
      <w:r w:rsidRPr="00E55230">
        <w:rPr>
          <w:b/>
          <w:u w:val="single"/>
          <w:lang w:eastAsia="zh-TW"/>
        </w:rPr>
        <w:t>The human species could survive</w:t>
      </w:r>
      <w:r w:rsidRPr="003A49E3">
        <w:rPr>
          <w:b/>
          <w:u w:val="single"/>
          <w:lang w:eastAsia="zh-TW"/>
        </w:rPr>
        <w:t xml:space="preserve"> just as well </w:t>
      </w:r>
      <w:r w:rsidRPr="00E55230">
        <w:rPr>
          <w:rStyle w:val="Emphasis"/>
        </w:rPr>
        <w:t>if 99.9% of our fellow creatures went extinct,</w:t>
      </w:r>
      <w:r w:rsidRPr="003A49E3">
        <w:rPr>
          <w:rStyle w:val="TitleChar"/>
          <w:b/>
        </w:rPr>
        <w:t xml:space="preserve"> provided only that we retained the appropriate 0.1% that we need."</w:t>
      </w:r>
      <w:r w:rsidRPr="003A49E3">
        <w:rPr>
          <w:sz w:val="16"/>
          <w:lang w:eastAsia="zh-TW"/>
        </w:rPr>
        <w:t> 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 </w:t>
      </w:r>
      <w:r w:rsidRPr="003A49E3">
        <w:rPr>
          <w:rStyle w:val="TitleChar"/>
          <w:b/>
        </w:rPr>
        <w:t>biologists believe</w:t>
      </w:r>
      <w:r w:rsidRPr="003A49E3">
        <w:rPr>
          <w:sz w:val="16"/>
          <w:lang w:eastAsia="zh-TW"/>
        </w:rPr>
        <w:t>, however, that </w:t>
      </w:r>
      <w:r w:rsidRPr="00E55230">
        <w:rPr>
          <w:rStyle w:val="TitleChar"/>
          <w:b/>
        </w:rPr>
        <w:t>species are so</w:t>
      </w:r>
      <w:r w:rsidRPr="003A49E3">
        <w:rPr>
          <w:rStyle w:val="TitleChar"/>
          <w:b/>
        </w:rPr>
        <w:t xml:space="preserve"> fabulously </w:t>
      </w:r>
      <w:r w:rsidRPr="00E55230">
        <w:rPr>
          <w:rStyle w:val="TitleChar"/>
          <w:b/>
        </w:rPr>
        <w:t>redundant</w:t>
      </w:r>
      <w:r w:rsidRPr="003A49E3">
        <w:rPr>
          <w:rStyle w:val="TitleChar"/>
          <w:b/>
        </w:rPr>
        <w:t xml:space="preserve"> in the </w:t>
      </w:r>
      <w:r w:rsidRPr="003A49E3">
        <w:rPr>
          <w:sz w:val="16"/>
          <w:lang w:eastAsia="zh-TW"/>
        </w:rPr>
        <w:t xml:space="preserve">ecological </w:t>
      </w:r>
      <w:r w:rsidRPr="003A49E3">
        <w:rPr>
          <w:rStyle w:val="TitleChar"/>
          <w:b/>
        </w:rPr>
        <w:t xml:space="preserve">functions they perform that </w:t>
      </w:r>
      <w:r w:rsidRPr="003A49E3">
        <w:rPr>
          <w:sz w:val="16"/>
          <w:lang w:eastAsia="zh-TW"/>
        </w:rPr>
        <w:t>the life-support systems and processes of the planet and</w:t>
      </w:r>
      <w:r w:rsidRPr="003A49E3">
        <w:rPr>
          <w:rStyle w:val="TitleChar"/>
          <w:b/>
        </w:rPr>
        <w:t xml:space="preserve"> </w:t>
      </w:r>
      <w:r w:rsidRPr="00E55230">
        <w:rPr>
          <w:rStyle w:val="TitleChar"/>
          <w:b/>
        </w:rPr>
        <w:t>ecological processes</w:t>
      </w:r>
      <w:r w:rsidRPr="003A49E3">
        <w:rPr>
          <w:rStyle w:val="TitleChar"/>
          <w:b/>
        </w:rPr>
        <w:t xml:space="preserve"> </w:t>
      </w:r>
      <w:r w:rsidRPr="003A49E3">
        <w:rPr>
          <w:sz w:val="16"/>
          <w:lang w:eastAsia="zh-TW"/>
        </w:rPr>
        <w:t>in general</w:t>
      </w:r>
      <w:r w:rsidRPr="003A49E3">
        <w:rPr>
          <w:rStyle w:val="TitleChar"/>
          <w:b/>
        </w:rPr>
        <w:t xml:space="preserve"> </w:t>
      </w:r>
      <w:r w:rsidRPr="00E55230">
        <w:rPr>
          <w:rStyle w:val="TitleChar"/>
          <w:b/>
        </w:rPr>
        <w:t>will function perfectly well</w:t>
      </w:r>
      <w:r w:rsidRPr="003A49E3">
        <w:rPr>
          <w:rStyle w:val="TitleChar"/>
          <w:b/>
        </w:rPr>
        <w:t xml:space="preserve"> with fewer of them, certainly fewer than the millions and millions we can expect to remain </w:t>
      </w:r>
      <w:r w:rsidRPr="003A49E3">
        <w:rPr>
          <w:b/>
          <w:u w:val="single"/>
          <w:lang w:eastAsia="zh-TW"/>
        </w:rPr>
        <w:t>even if</w:t>
      </w:r>
      <w:r w:rsidRPr="003A49E3">
        <w:rPr>
          <w:rStyle w:val="TitleChar"/>
          <w:b/>
        </w:rPr>
        <w:t xml:space="preserve"> </w:t>
      </w:r>
      <w:r w:rsidRPr="003A49E3">
        <w:rPr>
          <w:b/>
          <w:u w:val="single"/>
          <w:lang w:eastAsia="zh-TW"/>
        </w:rPr>
        <w:t>every threatened organism becomes extinct</w:t>
      </w:r>
      <w:r w:rsidRPr="003A49E3">
        <w:rPr>
          <w:rStyle w:val="TitleChar"/>
          <w:b/>
        </w:rPr>
        <w:t xml:space="preserve">. </w:t>
      </w:r>
      <w:r w:rsidRPr="003A49E3">
        <w:rPr>
          <w:sz w:val="16"/>
          <w:lang w:eastAsia="zh-TW"/>
        </w:rPr>
        <w:t>n350 Even the kind of sparse and miserable world depicted in the movie Blade Runner could provide a "sustainable" context for the human economy as long as people forgot their aesthetic and moral commitment to the glory and beauty of the natural world. n351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To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 </w:t>
      </w:r>
      <w:r w:rsidRPr="003A49E3">
        <w:rPr>
          <w:rStyle w:val="TitleChar"/>
          <w:b/>
        </w:rPr>
        <w:t>What crucial ecological services does the black-capped vireo, for example, serve? Are any of the species threatened with extinction necessary to the provision of any ecosystem service on which humans depend? If so, which ones are they?</w:t>
      </w:r>
      <w:r w:rsidRPr="003A49E3">
        <w:rPr>
          <w:sz w:val="16"/>
          <w:lang w:eastAsia="zh-TW"/>
        </w:rPr>
        <w:t>  Ecosystems and the species that compose them have changed, dramatically, continually, and totally in virtually every part of the United States. </w:t>
      </w:r>
      <w:r w:rsidRPr="00E55230">
        <w:rPr>
          <w:rStyle w:val="TitleChar"/>
          <w:b/>
        </w:rPr>
        <w:t>There is little ecological similarity</w:t>
      </w:r>
      <w:r w:rsidRPr="003A49E3">
        <w:rPr>
          <w:rStyle w:val="TitleChar"/>
          <w:b/>
        </w:rPr>
        <w:t xml:space="preserve">, for example, </w:t>
      </w:r>
      <w:r w:rsidRPr="00E55230">
        <w:rPr>
          <w:rStyle w:val="TitleChar"/>
          <w:b/>
        </w:rPr>
        <w:t>between New England</w:t>
      </w:r>
      <w:r w:rsidRPr="003A49E3">
        <w:rPr>
          <w:rStyle w:val="TitleChar"/>
          <w:b/>
        </w:rPr>
        <w:t xml:space="preserve"> today </w:t>
      </w:r>
      <w:r w:rsidRPr="00E55230">
        <w:rPr>
          <w:rStyle w:val="TitleChar"/>
          <w:b/>
        </w:rPr>
        <w:t>and the land where the Pilgrims died</w:t>
      </w:r>
      <w:r w:rsidRPr="003A49E3">
        <w:rPr>
          <w:rStyle w:val="TitleChar"/>
          <w:b/>
        </w:rPr>
        <w:t xml:space="preserve">. n353 In view of the constant reconfiguration of the biota, </w:t>
      </w:r>
      <w:r w:rsidRPr="00E55230">
        <w:rPr>
          <w:b/>
          <w:u w:val="single"/>
          <w:lang w:eastAsia="zh-TW"/>
        </w:rPr>
        <w:t>one may wonder why Americans have not suffered more as a result of ecological catastrophes</w:t>
      </w:r>
      <w:r w:rsidRPr="003A49E3">
        <w:rPr>
          <w:rStyle w:val="TitleChar"/>
          <w:b/>
        </w:rPr>
        <w:t>.</w:t>
      </w:r>
      <w:r w:rsidRPr="003A49E3">
        <w:rPr>
          <w:sz w:val="16"/>
          <w:lang w:eastAsia="zh-TW"/>
        </w:rPr>
        <w:t> The cast of species in nearly every environment changes constantly-local extinction is commonplace in nature-but the crops still grow. Somehow, it seems, property values keep going up on Martha's Vineyard in spite of the tragic disappearance of the heath hen.  One might argue that</w:t>
      </w:r>
      <w:r w:rsidRPr="003A49E3">
        <w:rPr>
          <w:rStyle w:val="TitleChar"/>
          <w:b/>
        </w:rPr>
        <w:t xml:space="preserve"> the sheer number and variety of creatures available to any ecosystem buffers that system against stress.</w:t>
      </w:r>
      <w:r w:rsidRPr="003A49E3">
        <w:rPr>
          <w:sz w:val="16"/>
          <w:lang w:eastAsia="zh-TW"/>
        </w:rPr>
        <w:t xml:space="preserve"> Accordingly, we should be concerned if the "library" of creatures ready, willing, and able to colonize ecosystems gets too small. (Advances in genetic engineering may well permit us to write a large number of additions to that "library.") </w:t>
      </w:r>
      <w:r w:rsidRPr="003A49E3">
        <w:rPr>
          <w:rStyle w:val="TitleChar"/>
          <w:b/>
        </w:rPr>
        <w:t xml:space="preserve">In the United States as in many other parts of the world, however, </w:t>
      </w:r>
      <w:r w:rsidRPr="00E55230">
        <w:rPr>
          <w:rStyle w:val="Emphasis"/>
        </w:rPr>
        <w:t>the number of species has been increasing dramatically</w:t>
      </w:r>
      <w:r w:rsidRPr="003A49E3">
        <w:rPr>
          <w:rStyle w:val="TitleChar"/>
          <w:b/>
        </w:rPr>
        <w:t>, not decreasing, as a result of human activity. This is because the hordes of exotic species coming into ecosystems in the United States far exceed the number of species that are becoming extinct.</w:t>
      </w:r>
      <w:r w:rsidRPr="003A49E3">
        <w:rPr>
          <w:sz w:val="16"/>
          <w:lang w:eastAsia="zh-TW"/>
        </w:rPr>
        <w:t xml:space="preserve"> Indeed, introductions may outnumber extinctions by more than ten to one, so that the United States is becoming more and more species-rich all the time largely as a result of human action. n354 [*908] Peter Vitousek and colleagues estimate that over 1000 non-native plants grow in California alone; in Hawaii there are 861; in Florida, 1210. n355 In Florida more than 1000 non-native insects, 23 species of mammals, and about 11 exotic birds have established themselves. n356 Anyone who waters a lawn or hoes a garden knows how many weeds desire to grow there, how many birds and bugs visit the yard, and how many fungi, creepy-crawlies, and other odd life forms show forth when it rains. All belong to nature, from wherever they might hail, but not many homeowners would claim that there are too few of them. Now, not all exotic species provide ecosystem services; indeed, some may be disruptive or have no instrumental value. n357 This also may be true, of course, of native species as well, especially because all exotics are native somewhere. Certain exotic species, however, such as Kentucky blue grass, establish an area's sense of identity and place; others, such as the green crabs showing up around Martha's Vineyard, are nuisances. n358 Consider an analogy [*909] with human migration. Everyone knows that after a generation or two, immigrants to this country are hard to distinguish from everyone else. The vast majority of Americans did not evolve here, as it were, from hominids; most of us "came over" at one time or another. This is true of many of our fellow species as well, and they may fit in here just as well as we do. It is possible to distinguish exotic species from native ones for a period of time, just as we can distinguish immigrants from native-born Americans, but as the centuries roll by, species, like people, fit into the landscape or the society, changing and often enriching it. Shall we have a rule that a species had to come over on the Mayflower, as so many did, to count as "truly" American? Plainly not. When, then, is the cutoff date? Insofar as we are concerned with the absolute numbers of "rivets" holding ecosystems together, extinction seems not to pose a general problem because a far greater number of kinds of mammals, insects, fish, plants, and other creatures thrive on land and in water in America today than in prelapsarian times. n359 </w:t>
      </w:r>
      <w:r w:rsidRPr="003A49E3">
        <w:rPr>
          <w:rStyle w:val="TitleChar"/>
          <w:b/>
        </w:rPr>
        <w:t xml:space="preserve">The Ecological Society of America has urged managers to maintain biological diversity as a critical component in strengthening ecosystems against disturbance. </w:t>
      </w:r>
      <w:r w:rsidRPr="003A49E3">
        <w:rPr>
          <w:sz w:val="16"/>
          <w:lang w:eastAsia="zh-TW"/>
        </w:rPr>
        <w:t xml:space="preserve">n360 </w:t>
      </w:r>
      <w:r w:rsidRPr="003A49E3">
        <w:rPr>
          <w:rStyle w:val="TitleChar"/>
          <w:b/>
        </w:rPr>
        <w:t>Yet as</w:t>
      </w:r>
      <w:r w:rsidRPr="003A49E3">
        <w:rPr>
          <w:sz w:val="16"/>
          <w:lang w:eastAsia="zh-TW"/>
        </w:rPr>
        <w:t xml:space="preserve"> Simon </w:t>
      </w:r>
      <w:r w:rsidRPr="003A49E3">
        <w:rPr>
          <w:rStyle w:val="TitleChar"/>
          <w:b/>
        </w:rPr>
        <w:t>Levin observed, "much of the detail about species composition will be irrelevant in terms of influences on ecosystem properties."</w:t>
      </w:r>
      <w:r w:rsidRPr="003A49E3">
        <w:rPr>
          <w:sz w:val="16"/>
          <w:lang w:eastAsia="zh-TW"/>
        </w:rPr>
        <w:t xml:space="preserve"> n361 [*910] He added: "For net primary productivity, as is likely to be the case for any system property, </w:t>
      </w:r>
      <w:r w:rsidRPr="00E55230">
        <w:rPr>
          <w:b/>
          <w:u w:val="single"/>
          <w:lang w:eastAsia="zh-TW"/>
        </w:rPr>
        <w:t>biodiversity matters only up to a point</w:t>
      </w:r>
      <w:r w:rsidRPr="003A49E3">
        <w:rPr>
          <w:rStyle w:val="TitleChar"/>
          <w:b/>
        </w:rPr>
        <w:t xml:space="preserve">; above a certain level, </w:t>
      </w:r>
      <w:r w:rsidRPr="00E55230">
        <w:rPr>
          <w:rStyle w:val="TitleChar"/>
          <w:b/>
        </w:rPr>
        <w:t xml:space="preserve">increasing biodiversity is likely to make </w:t>
      </w:r>
      <w:r w:rsidRPr="00E55230">
        <w:rPr>
          <w:b/>
          <w:u w:val="single"/>
          <w:lang w:eastAsia="zh-TW"/>
        </w:rPr>
        <w:t>little difference</w:t>
      </w:r>
      <w:r w:rsidRPr="003A49E3">
        <w:rPr>
          <w:sz w:val="16"/>
          <w:lang w:eastAsia="zh-TW"/>
        </w:rPr>
        <w:t xml:space="preserve">." n362 </w:t>
      </w:r>
      <w:r w:rsidRPr="003A49E3">
        <w:rPr>
          <w:rStyle w:val="TitleChar"/>
          <w:b/>
        </w:rPr>
        <w:t>What about the use of plants and animals in agriculture? There is no scarcity foreseeable. "Of an estimated 80,000 types of plants [we] know to be edible</w:t>
      </w:r>
      <w:r w:rsidRPr="003A49E3">
        <w:rPr>
          <w:sz w:val="16"/>
          <w:lang w:eastAsia="zh-TW"/>
        </w:rPr>
        <w:t>," a U.S. Department of the Interior document says, "</w:t>
      </w:r>
      <w:r w:rsidRPr="00E55230">
        <w:rPr>
          <w:rStyle w:val="TitleChar"/>
          <w:b/>
        </w:rPr>
        <w:t>only about 150 are extensively cultivated.</w:t>
      </w:r>
      <w:r w:rsidRPr="003A49E3">
        <w:rPr>
          <w:sz w:val="16"/>
          <w:lang w:eastAsia="zh-TW"/>
        </w:rPr>
        <w:t xml:space="preserve">" n363 About twenty species, not one of which is endangered, provide ninety percent of the food the world takes from plants. n364 Any new food has to take "shelf space" or "market share" from one that is now produced. Corporations also find it difficult to create demand for a new product; for example, people are not inclined to eat paw-paws, even though they are delicious. It is hard enough to get people to eat their broccoli and lima beans. It is harder still to develop consumer demand for new foods. This may be the reason the Kraft Corporation does not prospect in remote places for rare and unusual plants and animals to add to the world's diet. Of the roughly 235,000 flowering plants and 325,000 nonflowering plants (including mosses, lichens, and seaweeds) available, farmers ignore virtually all of them in favor of a very few that are profitable. n365 To be sure, any of the more than 600,000 species of plants could have an application in agriculture, but would they be preferable to the species that are now dominant? </w:t>
      </w:r>
      <w:r w:rsidRPr="003A49E3">
        <w:rPr>
          <w:rStyle w:val="TitleChar"/>
          <w:b/>
        </w:rPr>
        <w:t>Has anyone found any consumer demand for any of these half-million or more plants to replace rice or wheat in the human diet</w:t>
      </w:r>
      <w:r w:rsidRPr="003A49E3">
        <w:rPr>
          <w:sz w:val="16"/>
          <w:lang w:eastAsia="zh-TW"/>
        </w:rPr>
        <w:t xml:space="preserve">? There are reasons that farmers cultivate rice, wheat, and corn rather than, say, Furbish's lousewort. There are many kinds of louseworts, so named because these weeds were thought to cause lice in sheep. How many does agriculture really require? [*911] </w:t>
      </w:r>
      <w:r w:rsidRPr="00E55230">
        <w:rPr>
          <w:rStyle w:val="TitleChar"/>
          <w:b/>
        </w:rPr>
        <w:t>The species on which agriculture relies are domesticated, not naturally occurring</w:t>
      </w:r>
      <w:r w:rsidRPr="003A49E3">
        <w:rPr>
          <w:rStyle w:val="TitleChar"/>
          <w:b/>
        </w:rPr>
        <w:t>; they are developed by artificial not natural selection; they might not be able to survive in the wild</w:t>
      </w:r>
      <w:r w:rsidRPr="003A49E3">
        <w:rPr>
          <w:sz w:val="16"/>
          <w:lang w:eastAsia="zh-TW"/>
        </w:rPr>
        <w:t xml:space="preserve">. n366 This argument is not intended to deny the religious, aesthetic, cultural, and moral reasons that command us to respect and protect the natural world. These spiritual and ethical values should evoke action, of course, but we should also recognize that they are spiritual and ethical values. We should recognize that ecosystems and all that dwell therein compel our moral respect, our aesthetic appreciation, and our spiritual veneration; we should clearly seek to achieve the goals of the ESA. There is no reason to assume, however, that these goals have anything to do with human well-being or welfare as economists understand that term. These are ethical goals, in other words, not economic ones. Protecting the marsh may be the right thing to do for moral, cultural, and spiritual reasons. We should do it-but someone will have to pay the costs. In the narrow sense of promoting human welfare, </w:t>
      </w:r>
      <w:r w:rsidRPr="003A49E3">
        <w:rPr>
          <w:rStyle w:val="TitleChar"/>
          <w:b/>
        </w:rPr>
        <w:t>protecting nature often represents a net "cost," not a net "benefit." It is largely for moral, not economic, reasons-ethical, not prudential, reasons- that we care about all our fellow creatures.</w:t>
      </w:r>
      <w:r w:rsidRPr="003A49E3">
        <w:rPr>
          <w:sz w:val="16"/>
          <w:lang w:eastAsia="zh-TW"/>
        </w:rPr>
        <w:t xml:space="preserve"> They are valuable as objects of love not as objects of use. What is good for   [*912]  the marsh may be good in itself even if it is not, in the economic sense, good for mankind. </w:t>
      </w:r>
      <w:r w:rsidRPr="003A49E3">
        <w:rPr>
          <w:rStyle w:val="Emphasis"/>
        </w:rPr>
        <w:t>The most valuable things are quite useless</w:t>
      </w:r>
      <w:r w:rsidRPr="003A49E3">
        <w:rPr>
          <w:sz w:val="16"/>
          <w:lang w:eastAsia="zh-TW"/>
        </w:rPr>
        <w:t>.</w:t>
      </w:r>
    </w:p>
    <w:p w:rsidR="000C7A59" w:rsidRPr="003A49E3" w:rsidRDefault="000C7A59" w:rsidP="000C7A59"/>
    <w:p w:rsidR="000C7A59" w:rsidRPr="003A49E3" w:rsidRDefault="000C7A59" w:rsidP="000C7A59">
      <w:pPr>
        <w:pStyle w:val="Heading3"/>
      </w:pPr>
      <w:r w:rsidRPr="003A49E3">
        <w:t>AT: Democracy – Alt Cause – Gerrymandering</w:t>
      </w:r>
    </w:p>
    <w:p w:rsidR="000C7A59" w:rsidRPr="003A49E3" w:rsidRDefault="000C7A59" w:rsidP="000C7A59">
      <w:pPr>
        <w:pStyle w:val="Heading4"/>
        <w:rPr>
          <w:sz w:val="24"/>
          <w:szCs w:val="24"/>
        </w:rPr>
      </w:pPr>
      <w:r w:rsidRPr="003A49E3">
        <w:t>Gerrymandering kills democracy – distorts votes, lowers turnout and hurts the democratic process</w:t>
      </w:r>
    </w:p>
    <w:p w:rsidR="000C7A59" w:rsidRPr="003A49E3" w:rsidRDefault="000C7A59" w:rsidP="000C7A59">
      <w:pPr>
        <w:pStyle w:val="NormalWeb"/>
        <w:shd w:val="clear" w:color="auto" w:fill="FFFFFF"/>
        <w:spacing w:before="0" w:beforeAutospacing="0" w:after="0" w:afterAutospacing="0"/>
        <w:rPr>
          <w:rFonts w:ascii="Calibri" w:hAnsi="Calibri"/>
          <w:color w:val="111111"/>
          <w:sz w:val="22"/>
          <w:szCs w:val="22"/>
        </w:rPr>
      </w:pPr>
      <w:r w:rsidRPr="003A49E3">
        <w:rPr>
          <w:rFonts w:ascii="Calibri" w:hAnsi="Calibri"/>
          <w:color w:val="111111"/>
          <w:sz w:val="22"/>
          <w:szCs w:val="22"/>
        </w:rPr>
        <w:t xml:space="preserve">Brian </w:t>
      </w:r>
      <w:r w:rsidRPr="003A49E3">
        <w:rPr>
          <w:rStyle w:val="Style13ptBold"/>
        </w:rPr>
        <w:t>Klaas 2017</w:t>
      </w:r>
      <w:r w:rsidRPr="003A49E3">
        <w:rPr>
          <w:rFonts w:ascii="Calibri" w:hAnsi="Calibri"/>
          <w:color w:val="111111"/>
          <w:sz w:val="22"/>
          <w:szCs w:val="22"/>
        </w:rPr>
        <w:t xml:space="preserve"> (is a Fellow in Comparative Politics at the London School of Economics and author of</w:t>
      </w:r>
      <w:r w:rsidRPr="003A49E3">
        <w:rPr>
          <w:rFonts w:ascii="Calibri" w:hAnsi="Calibri"/>
          <w:i/>
          <w:iCs/>
          <w:color w:val="111111"/>
          <w:sz w:val="22"/>
          <w:szCs w:val="22"/>
        </w:rPr>
        <w:t xml:space="preserve"> The Despot’s Accomplice: How the West is Aiding &amp; Abetting the Decline of Democracy</w:t>
      </w:r>
      <w:r w:rsidRPr="003A49E3">
        <w:rPr>
          <w:rFonts w:ascii="Calibri" w:hAnsi="Calibri"/>
          <w:color w:val="111111"/>
          <w:sz w:val="22"/>
          <w:szCs w:val="22"/>
        </w:rPr>
        <w:t>, “Gerrymandering is the biggest obstacle to genuine democracy in the United States. So why is no one protesting?”, Washington Post, February 10 2017, https://www.washingtonpost.com/news/democracy-post/wp/2017/02/10/gerrymandering-is-the-biggest-obstacle-to-genuine-democracy-in-the-united-states-so-why-is-no-one-protesting/?utm_term=.9bbcf4085a42/ SC)</w:t>
      </w:r>
    </w:p>
    <w:p w:rsidR="000C7A59" w:rsidRPr="003A49E3" w:rsidRDefault="000C7A59" w:rsidP="000C7A59">
      <w:pPr>
        <w:pStyle w:val="NormalWeb"/>
        <w:shd w:val="clear" w:color="auto" w:fill="FFFFFF"/>
        <w:spacing w:before="0" w:beforeAutospacing="0" w:after="0" w:afterAutospacing="0"/>
      </w:pPr>
    </w:p>
    <w:p w:rsidR="000C7A59" w:rsidRPr="003A49E3" w:rsidRDefault="000C7A59" w:rsidP="000C7A59">
      <w:pPr>
        <w:pStyle w:val="NormalWeb"/>
        <w:shd w:val="clear" w:color="auto" w:fill="FFFFFF"/>
        <w:spacing w:before="0" w:beforeAutospacing="0" w:after="280" w:afterAutospacing="0"/>
        <w:rPr>
          <w:rFonts w:ascii="Calibri" w:hAnsi="Calibri" w:cs="Calibri"/>
          <w:sz w:val="16"/>
        </w:rPr>
      </w:pPr>
      <w:r w:rsidRPr="00E55230">
        <w:rPr>
          <w:rStyle w:val="StyleUnderline"/>
          <w:rFonts w:ascii="Calibri" w:hAnsi="Calibri" w:cs="Calibri"/>
        </w:rPr>
        <w:t>Gerrymandering, in a word, is why American democracy is broken</w:t>
      </w:r>
      <w:r w:rsidRPr="003A49E3">
        <w:rPr>
          <w:rFonts w:ascii="Calibri" w:hAnsi="Calibri" w:cs="Calibri"/>
          <w:color w:val="111111"/>
          <w:sz w:val="16"/>
          <w:szCs w:val="22"/>
        </w:rPr>
        <w:t xml:space="preserve">. The word “gerrymander” comes from an 1812 political cartoon drawn to parody Massachusetts Governor Elbridge Gerry’s re-drawn senate districts. The cartoon depicts one of the bizarrely shaped districts in the contorted form of a fork-tongued salamander. </w:t>
      </w:r>
      <w:r w:rsidRPr="00E55230">
        <w:rPr>
          <w:rFonts w:ascii="Calibri" w:hAnsi="Calibri" w:cs="Calibri"/>
          <w:color w:val="111111"/>
          <w:sz w:val="22"/>
          <w:szCs w:val="22"/>
          <w:u w:val="single"/>
        </w:rPr>
        <w:t>Since 1812, gerrymandering has been increasingly used as a tool to divide and distort the electorate</w:t>
      </w:r>
      <w:r w:rsidRPr="003A49E3">
        <w:rPr>
          <w:rFonts w:ascii="Calibri" w:hAnsi="Calibri" w:cs="Calibri"/>
          <w:color w:val="111111"/>
          <w:sz w:val="16"/>
          <w:szCs w:val="22"/>
        </w:rPr>
        <w:t xml:space="preserve">. More often than not, state legislatures are tasked with drawing district maps, </w:t>
      </w:r>
      <w:r w:rsidRPr="00E55230">
        <w:rPr>
          <w:rStyle w:val="StyleUnderline"/>
          <w:rFonts w:ascii="Calibri" w:hAnsi="Calibri" w:cs="Calibri"/>
        </w:rPr>
        <w:t>While no party is innocent when it comes to gerrymandering, a Washington Post analysis in 2014 found that eight of the ten most gerrymandered districts in the United States were drawn by Republicans.</w:t>
      </w:r>
      <w:r w:rsidRPr="003A49E3">
        <w:rPr>
          <w:rFonts w:ascii="Calibri" w:hAnsi="Calibri" w:cs="Calibri"/>
          <w:color w:val="111111"/>
          <w:sz w:val="16"/>
          <w:szCs w:val="22"/>
        </w:rPr>
        <w:t xml:space="preserve"> As a result, districts from the Illinois 4th to the North Carolina 12th often look like spilled inkblots rather than coherent voting blocs. They are anything but accidental. </w:t>
      </w:r>
      <w:r w:rsidRPr="003A49E3">
        <w:rPr>
          <w:rFonts w:ascii="Calibri" w:hAnsi="Calibri" w:cs="Calibri"/>
          <w:color w:val="111111"/>
          <w:sz w:val="22"/>
          <w:szCs w:val="22"/>
          <w:u w:val="single"/>
        </w:rPr>
        <w:t>The Illinois 4th, for example, is nicknamed “the Latin Earmuffs,” because it connects two predominantly Latino areas by a thin line that is effectively just one road. In so doing, it packs Democrats into a contorted distric</w:t>
      </w:r>
      <w:r w:rsidRPr="003A49E3">
        <w:rPr>
          <w:rFonts w:ascii="Calibri" w:hAnsi="Calibri" w:cs="Calibri"/>
          <w:color w:val="111111"/>
          <w:sz w:val="16"/>
          <w:szCs w:val="22"/>
        </w:rPr>
        <w:t xml:space="preserve">t, ensuring that those voters cast ballots in a safely Democratic preserve. The net result is a weakening of the power of Latino votes and more Republican districts than the electoral math should reasonably yield. </w:t>
      </w:r>
      <w:r w:rsidRPr="00E55230">
        <w:rPr>
          <w:rStyle w:val="StyleUnderline"/>
          <w:rFonts w:ascii="Calibri" w:hAnsi="Calibri" w:cs="Calibri"/>
        </w:rPr>
        <w:t>Because Democrats are packed together as tightly as possible in one district, Republicans have a chance to win surrounding districts even though they are vastly outnumbered geographically. These uncompetitive districts have a seriously corrosive effect on the integrity of democracy</w:t>
      </w:r>
      <w:r w:rsidRPr="003A49E3">
        <w:rPr>
          <w:rFonts w:ascii="Calibri" w:hAnsi="Calibri" w:cs="Calibri"/>
          <w:color w:val="111111"/>
          <w:sz w:val="22"/>
          <w:szCs w:val="22"/>
          <w:u w:val="single"/>
        </w:rPr>
        <w:t>. If you’re elected to represent a district that is 80 percent Republican or 80 percent Democratic, there is absolutely no incentive to compromise. Ever. In fact, there is a strong disincentive to collaboration</w:t>
      </w:r>
      <w:r w:rsidRPr="003A49E3">
        <w:rPr>
          <w:rFonts w:ascii="Calibri" w:hAnsi="Calibri" w:cs="Calibri"/>
          <w:color w:val="111111"/>
          <w:sz w:val="16"/>
          <w:szCs w:val="22"/>
        </w:rPr>
        <w:t>, because working across the aisle almost certainly means the risk of a primary challenge from the far right or far left of the party. For the overwhelming majority of Congressional representatives, there is no real risk to losing a general election – but there is a very real threat of losing a fiercely contested primary election. Over time,</w:t>
      </w:r>
      <w:r w:rsidRPr="003A49E3">
        <w:rPr>
          <w:rFonts w:ascii="Calibri" w:hAnsi="Calibri" w:cs="Calibri"/>
          <w:color w:val="111111"/>
          <w:sz w:val="22"/>
          <w:szCs w:val="22"/>
          <w:u w:val="single"/>
        </w:rPr>
        <w:t xml:space="preserve"> this causes sane people to pursue insane pandering and extreme positions</w:t>
      </w:r>
      <w:r w:rsidRPr="003A49E3">
        <w:rPr>
          <w:rFonts w:ascii="Calibri" w:hAnsi="Calibri" w:cs="Calibri"/>
          <w:color w:val="111111"/>
          <w:sz w:val="16"/>
          <w:szCs w:val="22"/>
        </w:rPr>
        <w:t xml:space="preserve">. It is a key, but often overlooked, source of contemporary gridlock and endless bickering. </w:t>
      </w:r>
      <w:r w:rsidRPr="003A49E3">
        <w:rPr>
          <w:rFonts w:ascii="Calibri" w:hAnsi="Calibri" w:cs="Calibri"/>
          <w:color w:val="111111"/>
          <w:sz w:val="22"/>
          <w:szCs w:val="22"/>
          <w:u w:val="single"/>
        </w:rPr>
        <w:t xml:space="preserve">Moreover, </w:t>
      </w:r>
      <w:r w:rsidRPr="00E55230">
        <w:rPr>
          <w:rFonts w:ascii="Calibri" w:hAnsi="Calibri" w:cs="Calibri"/>
          <w:color w:val="111111"/>
          <w:sz w:val="22"/>
          <w:szCs w:val="22"/>
          <w:u w:val="single"/>
        </w:rPr>
        <w:t>gerrymandering also disempowers and distorts citizen votes – which leads to decreased turnout and a sense of powerlessness</w:t>
      </w:r>
      <w:r w:rsidRPr="003A49E3">
        <w:rPr>
          <w:rFonts w:ascii="Calibri" w:hAnsi="Calibri" w:cs="Calibri"/>
          <w:color w:val="111111"/>
          <w:sz w:val="16"/>
          <w:szCs w:val="22"/>
        </w:rPr>
        <w:t xml:space="preserve">. In 2010, droves of tea party activists eager to have their voices heard quickly realized that their own representative was either a solidly liberal Democrat in an overwhelmingly blue district or a solidly conservative Republican in an overwhelmingly red district. Those </w:t>
      </w:r>
      <w:r w:rsidRPr="00E55230">
        <w:rPr>
          <w:rStyle w:val="StyleUnderline"/>
          <w:rFonts w:ascii="Calibri" w:hAnsi="Calibri" w:cs="Calibri"/>
        </w:rPr>
        <w:t>representatives would not listen because the electoral map meant that they didn’t need to. Those who now oppose President Trump are quickly learning the same lesson about the electoral calculations made by their representatives as they make calls or write letters to congressional representatives who seem about as likely to be swayed as granite</w:t>
      </w:r>
      <w:r w:rsidRPr="003A49E3">
        <w:rPr>
          <w:rFonts w:ascii="Calibri" w:hAnsi="Calibri" w:cs="Calibri"/>
          <w:color w:val="111111"/>
          <w:sz w:val="16"/>
          <w:szCs w:val="22"/>
        </w:rPr>
        <w:t>.</w:t>
      </w:r>
      <w:r w:rsidRPr="003A49E3">
        <w:rPr>
          <w:rFonts w:ascii="Calibri" w:hAnsi="Calibri" w:cs="Calibri"/>
          <w:color w:val="111111"/>
          <w:sz w:val="22"/>
          <w:szCs w:val="22"/>
          <w:u w:val="single"/>
        </w:rPr>
        <w:t xml:space="preserve"> This helps to explain why 2014 turnout sagged to just 36.4 percent, the lowest turnout rate since World War II</w:t>
      </w:r>
      <w:r w:rsidRPr="003A49E3">
        <w:rPr>
          <w:rFonts w:ascii="Calibri" w:hAnsi="Calibri" w:cs="Calibri"/>
          <w:color w:val="111111"/>
          <w:sz w:val="16"/>
          <w:szCs w:val="22"/>
        </w:rPr>
        <w:t>. Why bother showing up when the result already seems preordained? There are two pieces of good news. First, several court rulings in state and federal courts have dealt a blow to gerrymandered districts. Several court rulings objected to districts that clearly were drawn along racial lines. Perhaps the most important is a Wisconsin case (</w:t>
      </w:r>
      <w:r w:rsidRPr="003A49E3">
        <w:rPr>
          <w:rFonts w:ascii="Calibri" w:hAnsi="Calibri" w:cs="Calibri"/>
          <w:i/>
          <w:iCs/>
          <w:color w:val="111111"/>
          <w:sz w:val="16"/>
          <w:szCs w:val="22"/>
        </w:rPr>
        <w:t>Whitford v. Gill</w:t>
      </w:r>
      <w:r w:rsidRPr="003A49E3">
        <w:rPr>
          <w:rFonts w:ascii="Calibri" w:hAnsi="Calibri" w:cs="Calibri"/>
          <w:color w:val="111111"/>
          <w:sz w:val="16"/>
          <w:szCs w:val="22"/>
        </w:rPr>
        <w:t xml:space="preserve">) that ruled that districts could not be drawn for deliberate partisan gain. </w:t>
      </w:r>
    </w:p>
    <w:p w:rsidR="000C7A59" w:rsidRPr="003A49E3" w:rsidRDefault="000C7A59" w:rsidP="000C7A59">
      <w:pPr>
        <w:pStyle w:val="Heading3"/>
      </w:pPr>
      <w:r w:rsidRPr="003A49E3">
        <w:t>AT: Democracy – Alt Cause – Lobbying</w:t>
      </w:r>
    </w:p>
    <w:p w:rsidR="000C7A59" w:rsidRPr="003A49E3" w:rsidRDefault="000C7A59" w:rsidP="000C7A59">
      <w:pPr>
        <w:pStyle w:val="Heading4"/>
      </w:pPr>
      <w:r w:rsidRPr="003A49E3">
        <w:t>Corruption and lobbying are undermining the values of which the American democracy has been built on.</w:t>
      </w:r>
    </w:p>
    <w:p w:rsidR="000C7A59" w:rsidRPr="003A49E3" w:rsidRDefault="000C7A59" w:rsidP="000C7A59">
      <w:r w:rsidRPr="003A49E3">
        <w:rPr>
          <w:rStyle w:val="Style13ptBold"/>
        </w:rPr>
        <w:t>The Economist ‘14</w:t>
      </w:r>
      <w:r w:rsidRPr="003A49E3">
        <w:t xml:space="preserve"> [ The Economist,  1 March 2014  , “ What's gone wrong with democracy?“, </w:t>
      </w:r>
      <w:hyperlink r:id="rId9" w:history="1">
        <w:r w:rsidRPr="003A49E3">
          <w:rPr>
            <w:rStyle w:val="Hyperlink"/>
          </w:rPr>
          <w:t>http://www.economist.com/news/essays/21596796-democracy-was-most-successful-political-idea-20th-century-why-has-it-run-trouble-and-what-can-be-do</w:t>
        </w:r>
      </w:hyperlink>
      <w:r w:rsidRPr="003A49E3">
        <w:t xml:space="preserve"> ]</w:t>
      </w:r>
    </w:p>
    <w:p w:rsidR="000C7A59" w:rsidRPr="003A49E3" w:rsidRDefault="000C7A59" w:rsidP="000C7A59">
      <w:pPr>
        <w:rPr>
          <w:u w:val="single"/>
        </w:rPr>
      </w:pPr>
      <w:r w:rsidRPr="003A49E3">
        <w:rPr>
          <w:sz w:val="16"/>
        </w:rPr>
        <w:t xml:space="preserve">Yet </w:t>
      </w:r>
      <w:r w:rsidRPr="00E55230">
        <w:rPr>
          <w:rStyle w:val="StyleUnderline"/>
        </w:rPr>
        <w:t>in recent years the very institutions that are meant to provide models for new democracies have come to seem outdated and dysfunctional in established ones. The United States has become a byword for gridlock, so obsessed with partisan point-scoring that it has come to the verge of defaulting on its debts twice in the past two years</w:t>
      </w:r>
      <w:r w:rsidRPr="003A49E3">
        <w:rPr>
          <w:sz w:val="16"/>
        </w:rPr>
        <w:t xml:space="preserve">. Its democracy is also corrupted by gerrymandering, the practice of drawing constituency boundaries to entrench the power of incumbents. This encourages extremism, because politicians have to appeal only to the party faithful, and in effect disenfranchises large numbers of voters. And money talks louder than ever in American politics. </w:t>
      </w:r>
      <w:r w:rsidRPr="00E55230">
        <w:rPr>
          <w:rStyle w:val="StyleUnderline"/>
        </w:rPr>
        <w:t>Thousands of lobbyists</w:t>
      </w:r>
      <w:r w:rsidRPr="003A49E3">
        <w:rPr>
          <w:rStyle w:val="StyleUnderline"/>
        </w:rPr>
        <w:t xml:space="preserve"> (more than 20 for every member of Congress) </w:t>
      </w:r>
      <w:r w:rsidRPr="00E55230">
        <w:rPr>
          <w:rStyle w:val="StyleUnderline"/>
        </w:rPr>
        <w:t>add to the length and complexity of legislation, the better to smuggle in special privileges. All this creates the impression that American democracy is for sale and that the rich have more power than the poor, even as lobbyists and donors insist that political expenditure is an exercise in free speech</w:t>
      </w:r>
      <w:r w:rsidRPr="003A49E3">
        <w:rPr>
          <w:rStyle w:val="StyleUnderline"/>
        </w:rPr>
        <w:t>. The result is that America’s image—and by extension that of democracy itself—has taken a terrible battering.</w:t>
      </w:r>
    </w:p>
    <w:p w:rsidR="000C7A59" w:rsidRPr="003A49E3" w:rsidRDefault="000C7A59" w:rsidP="000C7A59">
      <w:pPr>
        <w:pStyle w:val="Heading3"/>
      </w:pPr>
      <w:r w:rsidRPr="003A49E3">
        <w:t>AT: Democracy – No Modeling</w:t>
      </w:r>
    </w:p>
    <w:p w:rsidR="000C7A59" w:rsidRPr="003A49E3" w:rsidRDefault="000C7A59" w:rsidP="000C7A59">
      <w:pPr>
        <w:pStyle w:val="Heading4"/>
      </w:pPr>
      <w:r w:rsidRPr="003A49E3">
        <w:t xml:space="preserve">No democratic modeling – international courts have shifted away from the American constitutional model </w:t>
      </w:r>
    </w:p>
    <w:p w:rsidR="000C7A59" w:rsidRPr="003A49E3" w:rsidRDefault="000C7A59" w:rsidP="000C7A59">
      <w:r w:rsidRPr="003A49E3">
        <w:rPr>
          <w:rStyle w:val="Style13ptBold"/>
        </w:rPr>
        <w:t>Ginsburg &amp; Versteeg 13</w:t>
      </w:r>
      <w:r w:rsidRPr="003A49E3">
        <w:rPr>
          <w:rStyle w:val="Style13ptBold"/>
          <w:b w:val="0"/>
        </w:rPr>
        <w:t xml:space="preserve"> </w:t>
      </w:r>
      <w:r w:rsidRPr="003A49E3">
        <w:t>[Tom Ginsburg (Leo Spitz Professor of International Law, Ludwig and Hilde Wolf Research Scholar, and Professor of Political Science @ UChicago Law, JD and PhD from UC Berkeley) &amp; Mila Versteeg (Associate Professor of Law @ UVirginia, PhD from Oxford), “Why Do Countries Adopt Constitutional Review?”, University of Virginia School of Law, Public Law and Legal Theory Research Paper Series, September 2013, http://ssrn.com/abstract=2319363]</w:t>
      </w:r>
    </w:p>
    <w:p w:rsidR="000C7A59" w:rsidRPr="003A49E3" w:rsidRDefault="000C7A59" w:rsidP="000C7A59">
      <w:pPr>
        <w:rPr>
          <w:sz w:val="16"/>
        </w:rPr>
      </w:pPr>
      <w:r w:rsidRPr="003A49E3">
        <w:rPr>
          <w:rStyle w:val="StyleUnderline"/>
        </w:rPr>
        <w:t>The American model of constitutional review is characterized by decentralized review exercised at every level of the judiciary</w:t>
      </w:r>
      <w:r w:rsidRPr="003A49E3">
        <w:rPr>
          <w:sz w:val="16"/>
        </w:rPr>
        <w:t xml:space="preserve">, with a Supreme Court at the top. An important feature of this model is that review takes place only in a concrete dispute, or a “case or controversy.” 3 Several Latin American countries adopted a similar form of constitutional review in the 19th century.4 </w:t>
      </w:r>
      <w:r w:rsidRPr="003A49E3">
        <w:rPr>
          <w:rStyle w:val="StyleUnderline"/>
        </w:rPr>
        <w:t xml:space="preserve">It became the dominant form of constitutional review </w:t>
      </w:r>
      <w:r w:rsidRPr="003A49E3">
        <w:rPr>
          <w:rStyle w:val="Emphasis"/>
        </w:rPr>
        <w:t>in the early 20th century</w:t>
      </w:r>
      <w:r w:rsidRPr="003A49E3">
        <w:rPr>
          <w:sz w:val="16"/>
        </w:rPr>
        <w:t xml:space="preserve">, and remains a common mode of constitutional review today. </w:t>
      </w:r>
      <w:r w:rsidRPr="003A49E3">
        <w:rPr>
          <w:rStyle w:val="Emphasis"/>
        </w:rPr>
        <w:t>In contrast with this American model, a growing number of countries today have centralized constitutional review</w:t>
      </w:r>
      <w:r w:rsidRPr="003A49E3">
        <w:rPr>
          <w:rStyle w:val="StyleUnderline"/>
        </w:rPr>
        <w:t xml:space="preserve"> power in a specialized constitutional court, while denying the rest of the judiciary the power to void legislation.</w:t>
      </w:r>
      <w:r w:rsidRPr="003A49E3">
        <w:rPr>
          <w:sz w:val="16"/>
        </w:rPr>
        <w:t xml:space="preserve"> This centralized model of constitutional review has its origins in the work of the great Austrian legal theorist Hans Kelsen, who used it in his design for the 1920 Constitution of the Austrian First Republic. Ordinary judges, in Kelsen’s view, were servants of the law, and their task was limited to applying it (Kelsen 1928, as discussed in Stone Sweet 2012). Judges should not be empowered to make law, nor could they properly determine the constitutionality of legislation. This view squarely falls within the civil law tradition which, building on Montesquieu, envisions a strict division of labor between three branches of government, rather than a system of checks and balances in which the different branches not only collaborate, but also compete with each other (Merryman and Perez-Perdomo 2007). In order to preserve legislative sovereignty (and the traditional conception of separation of powers) as much as possible, Kelsen designed a special and more explicitly political body called a Constitutional Court, whose members were appointed for life by the legislature to adjudicate constitutional disputes (chiefly those involving Austrian federalism). This kind of centralized review is often “abstract”: the constitutional court does not resolve concrete cases between two litigating parties but answers constitutional questions referred to it by elected government officials, either before or after the adoption of a law. In addition to abstract review, many constitutional courts may also review concrete disputes, typically constitutional questions referred to it by the judiciary in the course of ordinary litigation. Ordinary proceedings are suspended until the constitutional court has ruled on the constitutionality of the statute in question. Once the constitutional court has decided, its ruling will serve as the basis for the referring court’s decision (e.g., Austria Const. art. 89 (1920)).5 </w:t>
      </w:r>
      <w:r w:rsidRPr="003A49E3">
        <w:rPr>
          <w:rStyle w:val="StyleUnderline"/>
        </w:rPr>
        <w:t>The Kelsenian model of constitutional review was soon adopted in other countries, including Czechoslovakia</w:t>
      </w:r>
      <w:r w:rsidRPr="003A49E3">
        <w:rPr>
          <w:sz w:val="16"/>
        </w:rPr>
        <w:t xml:space="preserve"> (Const. art. 54.13 (1920)), </w:t>
      </w:r>
      <w:r w:rsidRPr="003A49E3">
        <w:rPr>
          <w:rStyle w:val="StyleUnderline"/>
        </w:rPr>
        <w:t>Liechtenstein</w:t>
      </w:r>
      <w:r w:rsidRPr="003A49E3">
        <w:rPr>
          <w:sz w:val="16"/>
        </w:rPr>
        <w:t xml:space="preserve"> (Const. art. 104 (1921)), and </w:t>
      </w:r>
      <w:r w:rsidRPr="003A49E3">
        <w:rPr>
          <w:rStyle w:val="StyleUnderline"/>
        </w:rPr>
        <w:t>Iraq</w:t>
      </w:r>
      <w:r w:rsidRPr="003A49E3">
        <w:rPr>
          <w:sz w:val="16"/>
        </w:rPr>
        <w:t xml:space="preserve"> (Const. art. 83 (1925)), ultimately finding a place in the Basic Law of </w:t>
      </w:r>
      <w:r w:rsidRPr="003A49E3">
        <w:rPr>
          <w:rStyle w:val="StyleUnderline"/>
        </w:rPr>
        <w:t>post-war Germany</w:t>
      </w:r>
      <w:r w:rsidRPr="003A49E3">
        <w:rPr>
          <w:sz w:val="16"/>
        </w:rPr>
        <w:t xml:space="preserve">. Whereas the Austrian model only provided for limited jurisdiction of certain disputes, </w:t>
      </w:r>
      <w:r w:rsidRPr="003A49E3">
        <w:rPr>
          <w:rStyle w:val="StyleUnderline"/>
        </w:rPr>
        <w:t>the German model introduced the device of the constitutional complaint</w:t>
      </w:r>
      <w:r w:rsidRPr="003A49E3">
        <w:rPr>
          <w:sz w:val="16"/>
        </w:rPr>
        <w:t xml:space="preserve">, in which any individual could complain about the constitutionality of a statute or government action, even without a specific case or controversy. This new mechanism played an important role in democratizing access to the constitutional court, and associating the institution with the protection of rights. </w:t>
      </w:r>
      <w:r w:rsidRPr="003A49E3">
        <w:rPr>
          <w:rStyle w:val="StyleUnderline"/>
        </w:rPr>
        <w:t>An essentially similar institutional arrangement</w:t>
      </w:r>
      <w:r w:rsidRPr="003A49E3">
        <w:rPr>
          <w:sz w:val="16"/>
        </w:rPr>
        <w:t xml:space="preserve">, but one without direct constitutional complaint, </w:t>
      </w:r>
      <w:r w:rsidRPr="003A49E3">
        <w:rPr>
          <w:rStyle w:val="StyleUnderline"/>
        </w:rPr>
        <w:t>is found in Italy</w:t>
      </w:r>
      <w:r w:rsidRPr="003A49E3">
        <w:rPr>
          <w:sz w:val="16"/>
        </w:rPr>
        <w:t xml:space="preserve"> (Ferejohn and Pasquino 2004; 2012). </w:t>
      </w:r>
      <w:r w:rsidRPr="003A49E3">
        <w:rPr>
          <w:rStyle w:val="StyleUnderline"/>
        </w:rPr>
        <w:t>Constitutional courts of the Kelsenian type were adopted throughout Europe</w:t>
      </w:r>
      <w:r w:rsidRPr="003A49E3">
        <w:rPr>
          <w:sz w:val="16"/>
        </w:rPr>
        <w:t xml:space="preserve"> during the third wave of democracy (for example in Portugal 1976, Spain 1978, and the former Soviet bloc after the cold war). </w:t>
      </w:r>
      <w:r w:rsidRPr="003A49E3">
        <w:rPr>
          <w:rStyle w:val="StyleUnderline"/>
        </w:rPr>
        <w:t>Another model of centralized constitutional review is associated with the 1958 Constitution of France, and was transposed to many French colonies</w:t>
      </w:r>
      <w:r w:rsidRPr="003A49E3">
        <w:rPr>
          <w:sz w:val="16"/>
        </w:rPr>
        <w:t xml:space="preserve"> that gained independence shortly thereafter (Favoreu 1990; Stone Sweet 1992). The Conseil Constitutionnel was a specially designated body that heard challenges to legislation from a limited number of governmental actors before legislation was promulgated. Over time, however, the French model has evolved, and constitutional amendments in 2008 expanded jurisdiction to include post-promulgation review as well as prepromulgation review. In short, the version of constitutional review in France has evolved to become much closer to the German variant. 6 Figure 1, Panel B, depicts the popularity of the decentralized and centralized models among the countries that have judicial review in their constitution. It shows that </w:t>
      </w:r>
      <w:r w:rsidRPr="003A49E3">
        <w:rPr>
          <w:rStyle w:val="StyleUnderline"/>
        </w:rPr>
        <w:t xml:space="preserve">while </w:t>
      </w:r>
      <w:r w:rsidRPr="003A49E3">
        <w:rPr>
          <w:rStyle w:val="Emphasis"/>
        </w:rPr>
        <w:t>the decentralized U.S. model used to be dominant</w:t>
      </w:r>
      <w:r w:rsidRPr="003A49E3">
        <w:rPr>
          <w:rStyle w:val="StyleUnderline"/>
        </w:rPr>
        <w:t xml:space="preserve">, the specialized constitutional court is slightly more popular today. </w:t>
      </w:r>
      <w:r w:rsidRPr="003A49E3">
        <w:rPr>
          <w:sz w:val="16"/>
        </w:rPr>
        <w:t xml:space="preserve">Because our theories of constitutional review adoption do not depend on the type of review at issue, the remainder of this paper will use a composite indicator of constitutional review, which includes </w:t>
      </w:r>
      <w:r w:rsidRPr="003A49E3">
        <w:rPr>
          <w:sz w:val="16"/>
          <w:szCs w:val="16"/>
        </w:rPr>
        <w:t>both centralized and decentralized types.</w:t>
      </w:r>
    </w:p>
    <w:p w:rsidR="000C7A59" w:rsidRPr="003A49E3" w:rsidRDefault="000C7A59" w:rsidP="000C7A59"/>
    <w:p w:rsidR="000C7A59" w:rsidRPr="003A49E3" w:rsidRDefault="000C7A59" w:rsidP="000C7A59">
      <w:pPr>
        <w:pStyle w:val="Heading3"/>
      </w:pPr>
      <w:r w:rsidRPr="003A49E3">
        <w:t>AT: Democracy – Impact Defense</w:t>
      </w:r>
    </w:p>
    <w:p w:rsidR="000C7A59" w:rsidRPr="003A49E3" w:rsidRDefault="000C7A59" w:rsidP="000C7A59">
      <w:pPr>
        <w:pStyle w:val="Heading4"/>
      </w:pPr>
      <w:r w:rsidRPr="003A49E3">
        <w:t>Democratic peace theory doesn’t apply anymore</w:t>
      </w:r>
    </w:p>
    <w:p w:rsidR="000C7A59" w:rsidRPr="003A49E3" w:rsidRDefault="000C7A59" w:rsidP="000C7A59">
      <w:r w:rsidRPr="003A49E3">
        <w:rPr>
          <w:rStyle w:val="Style13ptBold"/>
        </w:rPr>
        <w:t>Peter 17</w:t>
      </w:r>
      <w:r w:rsidRPr="003A49E3">
        <w:t xml:space="preserve"> (Rada Peter, 7-2-2017, Peter Rada holds a PhD in International Relations, and an MA in diplomacy and security policy from the Corvinus University Budapest. ,"Rethinking the “democratic peace theory”: turbulent democratization in North Africa and the Middle East and the external dimension : Centre for European and North Atlantic Affairs – Analysis," No Publication, http://cenaa.org/analysis/rethinking-the-democratic-peace-theory-turbulent-democratization-in-north-africa-and-the-middle-east-and-the-external-dimension/)mo</w:t>
      </w:r>
    </w:p>
    <w:p w:rsidR="000C7A59" w:rsidRPr="003A49E3" w:rsidRDefault="000C7A59" w:rsidP="000C7A59">
      <w:pPr>
        <w:rPr>
          <w:sz w:val="16"/>
        </w:rPr>
      </w:pPr>
      <w:r w:rsidRPr="003A49E3">
        <w:rPr>
          <w:sz w:val="16"/>
        </w:rPr>
        <w:t xml:space="preserve">It is difficult to judge at </w:t>
      </w:r>
      <w:r w:rsidRPr="00E55230">
        <w:rPr>
          <w:rStyle w:val="StyleUnderline"/>
        </w:rPr>
        <w:t>the beginning of a democratization process</w:t>
      </w:r>
      <w:r w:rsidRPr="003A49E3">
        <w:rPr>
          <w:sz w:val="16"/>
        </w:rPr>
        <w:t xml:space="preserve"> whether </w:t>
      </w:r>
      <w:r w:rsidRPr="00E55230">
        <w:rPr>
          <w:rStyle w:val="StyleUnderline"/>
        </w:rPr>
        <w:t>the outcome is a</w:t>
      </w:r>
      <w:r w:rsidRPr="003A49E3">
        <w:rPr>
          <w:sz w:val="16"/>
        </w:rPr>
        <w:t xml:space="preserve"> desired democratic political and institutional constellation of sound factors or a </w:t>
      </w:r>
      <w:r w:rsidRPr="00E55230">
        <w:rPr>
          <w:rStyle w:val="Emphasis"/>
        </w:rPr>
        <w:t>turbulent environment which rather gives space for further challenges and threats both for the domestic players and the international community</w:t>
      </w:r>
      <w:r w:rsidRPr="003A49E3">
        <w:rPr>
          <w:rStyle w:val="StyleUnderline"/>
        </w:rPr>
        <w:t>.</w:t>
      </w:r>
      <w:r w:rsidRPr="003A49E3">
        <w:rPr>
          <w:sz w:val="16"/>
        </w:rPr>
        <w:t xml:space="preserve"> We need to revise our knowledge or at least our experiences what in regards to the “Arab spring” can be seen yet. Several experts and scholars (Cofmann Wittes, 2012; Totten, 2012) already call the attention to the fact that the false and misleading expression “Arab spring” should be forgotten and a new phrase would better reflect the reality. However, they are not convincing with the new expression “Arab winter”, either. The real challenge in front of the academia is the several parallel processes in North Africa and the Middle East which simultaneously influence the outcome of the transitions or the struggles for democracy. The events which began in December 2010 generated positive feelings about democracy but the reality proved that general geopolitical factors should not been neglected either. As Zsolt Rostoványi argues in his recent article (Rostovványi, 2012), the “Arab spring” altered the general political constellation in the region. The 21st century began with the strong presence of the United States and the emergence of non-Arab countries on the peripheries – Turkey and Iran. </w:t>
      </w:r>
      <w:r w:rsidRPr="003A49E3">
        <w:rPr>
          <w:rStyle w:val="StyleUnderline"/>
        </w:rPr>
        <w:t xml:space="preserve">Due to the “Arab spring”, the United States lost from its strategic position whilst its allies – such as Saudi Arabia – began a more independent foreign policy, other allies even changed completely – such as Egypt. </w:t>
      </w:r>
      <w:r w:rsidRPr="003A49E3">
        <w:rPr>
          <w:sz w:val="16"/>
        </w:rPr>
        <w:t xml:space="preserve">The last two years also witnessed </w:t>
      </w:r>
      <w:r w:rsidRPr="003A49E3">
        <w:rPr>
          <w:rStyle w:val="StyleUnderline"/>
        </w:rPr>
        <w:t>the emergence of Russian influence and interests in the region, whilst Iran became weaker</w:t>
      </w:r>
      <w:r w:rsidRPr="003A49E3">
        <w:rPr>
          <w:sz w:val="16"/>
        </w:rPr>
        <w:t xml:space="preserve">. Israel needs to step back to a defensive position but on the other hand Turkey gained new momentums to increase its influence. Going back to domestic politics, </w:t>
      </w:r>
      <w:r w:rsidRPr="003A49E3">
        <w:rPr>
          <w:rStyle w:val="StyleUnderline"/>
        </w:rPr>
        <w:t>the danger to become a failed state is critical in many countries in the region, and the spill-over of failure will be quick due to the tangible interconnectedness of the societies</w:t>
      </w:r>
      <w:r w:rsidRPr="003A49E3">
        <w:rPr>
          <w:sz w:val="16"/>
        </w:rPr>
        <w:t xml:space="preserve">. The “Arab spring” let reemerge pan-Arab identity which is paired with the strengthening of a new organized force Islamism. It is not surprising that the choice from the different options is not easy for the Transatlantic community. In this sense, the immediate outcome of the “Arab spring” is definitely dangerous. The Transatlantic community needs to measure the pros and cons whether the security of stability or the insecurity of democracy is better. </w:t>
      </w:r>
      <w:r w:rsidRPr="003A49E3">
        <w:rPr>
          <w:rStyle w:val="StyleUnderline"/>
        </w:rPr>
        <w:t xml:space="preserve">Even though </w:t>
      </w:r>
      <w:r w:rsidRPr="00E55230">
        <w:rPr>
          <w:rStyle w:val="StyleUnderline"/>
        </w:rPr>
        <w:t>democracy is in line with our values and with our long term interests, the “Arab spring” created a highly versatile geopolitical situation</w:t>
      </w:r>
      <w:r w:rsidRPr="003A49E3">
        <w:rPr>
          <w:sz w:val="16"/>
        </w:rPr>
        <w:t xml:space="preserve">. The democratic peace theory may be not falsifiable here but </w:t>
      </w:r>
      <w:r w:rsidRPr="00E55230">
        <w:rPr>
          <w:rStyle w:val="Emphasis"/>
        </w:rPr>
        <w:t>it is clear that the transitions are a turbulent and messy interplay of external and domestic factors.</w:t>
      </w:r>
      <w:r w:rsidRPr="003A49E3">
        <w:rPr>
          <w:sz w:val="16"/>
        </w:rPr>
        <w:t xml:space="preserve"> As Michael Totten argued recently on the pages of the World Affairs, </w:t>
      </w:r>
      <w:r w:rsidRPr="003A49E3">
        <w:rPr>
          <w:rStyle w:val="StyleUnderline"/>
        </w:rPr>
        <w:t xml:space="preserve">the </w:t>
      </w:r>
      <w:r w:rsidRPr="00E55230">
        <w:rPr>
          <w:rStyle w:val="StyleUnderline"/>
        </w:rPr>
        <w:t>likelihood of genuine liberal democracies as a consequence of the “Arab spring” is close to zero</w:t>
      </w:r>
      <w:r w:rsidRPr="003A49E3">
        <w:rPr>
          <w:rStyle w:val="StyleUnderline"/>
        </w:rPr>
        <w:t>, and the only common feature of the processes is that all the countries are in turmoil.</w:t>
      </w:r>
      <w:r w:rsidRPr="003A49E3">
        <w:rPr>
          <w:sz w:val="16"/>
        </w:rPr>
        <w:t xml:space="preserve"> (Totten, 2012, p. 23) The problem is that the Transatlantic community cannot step back to the old policies of supporting “liberal” dictators, that is those authoritarian regimes which definitely did not serve the fulfillment of the Western values but at least did not threaten the Western interests directly in the short term. The Islamist takeover was feared before the fall of the old regimes, and after the elections Islamists gain in power was not a surprise as they were the most (if not the only) organized political forces in the region. The political turmoil decreases the ability of the new regimes to maintain security domestically and consequently the stability of the region. The new and week regimes may divert public attention by initiate unpredictable foreign policy steps. (Inbar, 2012) </w:t>
      </w:r>
      <w:r w:rsidRPr="003A49E3">
        <w:rPr>
          <w:rStyle w:val="StyleUnderline"/>
        </w:rPr>
        <w:t>Furthermore, even without direct decisions the events have negative consequences. For instance, Libya and Yemen are on the edge of collapse and the weapons, especially from Libya, have dispersed in the region.[</w:t>
      </w:r>
      <w:r w:rsidRPr="003A49E3">
        <w:rPr>
          <w:sz w:val="16"/>
        </w:rPr>
        <w:t xml:space="preserve">3] The turbulent events of the “Arab spring” definitely threaten the interests and indirectly the security of the Transatlantic community. Stability has been our goal in the region which in many times collided with the values of a liberal Western democracy: freedom, rule of law and respect for human rights. </w:t>
      </w:r>
      <w:r w:rsidRPr="003A49E3">
        <w:rPr>
          <w:rStyle w:val="StyleUnderline"/>
        </w:rPr>
        <w:t xml:space="preserve">Now, democratic opening may bring new scenarios in which the new democracies are not in line with the Western values, consequently </w:t>
      </w:r>
      <w:r w:rsidRPr="00E55230">
        <w:rPr>
          <w:rStyle w:val="Emphasis"/>
        </w:rPr>
        <w:t>it is difficult to judge whether the democratic peace theory is still applicable.</w:t>
      </w:r>
    </w:p>
    <w:p w:rsidR="000C7A59" w:rsidRPr="003A49E3" w:rsidRDefault="000C7A59" w:rsidP="000C7A59">
      <w:pPr>
        <w:pStyle w:val="Heading4"/>
      </w:pPr>
      <w:r w:rsidRPr="003A49E3">
        <w:t>Democratic peace theory is a neocon lie – democracies historically go to war.</w:t>
      </w:r>
    </w:p>
    <w:p w:rsidR="000C7A59" w:rsidRPr="003A49E3" w:rsidRDefault="000C7A59" w:rsidP="000C7A59">
      <w:pPr>
        <w:rPr>
          <w:sz w:val="20"/>
          <w:szCs w:val="20"/>
        </w:rPr>
      </w:pPr>
      <w:r w:rsidRPr="003A49E3">
        <w:rPr>
          <w:rStyle w:val="Style13ptBold"/>
        </w:rPr>
        <w:t xml:space="preserve">Layne 7, </w:t>
      </w:r>
      <w:r w:rsidRPr="003A49E3">
        <w:rPr>
          <w:sz w:val="20"/>
          <w:szCs w:val="20"/>
        </w:rPr>
        <w:t>(Christopher, Chair of Intelligence and National Security @ Texas A&amp;Mfellow @ Belfer Center for Science and International Affairs, J.D. from South Carolina, PhD in PoliSci from UC Berkeley, “American Empire: A Debate”, pg. 94)</w:t>
      </w:r>
    </w:p>
    <w:p w:rsidR="000C7A59" w:rsidRPr="003A49E3" w:rsidRDefault="000C7A59" w:rsidP="000C7A59">
      <w:pPr>
        <w:pStyle w:val="card"/>
        <w:tabs>
          <w:tab w:val="left" w:pos="8640"/>
        </w:tabs>
        <w:ind w:left="0" w:right="0"/>
        <w:rPr>
          <w:rFonts w:ascii="Calibri" w:eastAsia="Calibri" w:hAnsi="Calibri"/>
          <w:sz w:val="22"/>
          <w:u w:val="single"/>
        </w:rPr>
      </w:pPr>
      <w:r w:rsidRPr="003A49E3">
        <w:rPr>
          <w:rStyle w:val="StyleUnderline"/>
          <w:rFonts w:ascii="Calibri" w:eastAsia="Calibri" w:hAnsi="Calibri"/>
        </w:rPr>
        <w:t>Wilsonian ideology drives the American Empire because its proponents posit that the United States must use its military power to extend democracy abroad. Here, the ideology of Empire rests on assumptions that are not supported by the facts. One reason the architects of Empire champion democracy promotion is because they believe in the so-called democratic peace theory</w:t>
      </w:r>
      <w:r w:rsidRPr="003A49E3">
        <w:rPr>
          <w:rFonts w:ascii="Calibri" w:hAnsi="Calibri"/>
          <w:sz w:val="16"/>
        </w:rPr>
        <w:t xml:space="preserve">, which holds that democratic states do not fight other democracies. Or as President George W. Bush put it with his customary eloquence, "democracies don't war; democracies are peaceful."136 </w:t>
      </w:r>
      <w:r w:rsidRPr="00E55230">
        <w:rPr>
          <w:rStyle w:val="StyleUnderline"/>
          <w:rFonts w:ascii="Calibri" w:eastAsia="Calibri" w:hAnsi="Calibri"/>
        </w:rPr>
        <w:t xml:space="preserve">The democratic peace theory is the </w:t>
      </w:r>
      <w:r w:rsidRPr="003A49E3">
        <w:rPr>
          <w:rStyle w:val="StyleUnderline"/>
          <w:rFonts w:ascii="Calibri" w:eastAsia="Calibri" w:hAnsi="Calibri"/>
        </w:rPr>
        <w:t xml:space="preserve">probably the </w:t>
      </w:r>
      <w:r w:rsidRPr="00E55230">
        <w:rPr>
          <w:rStyle w:val="StyleUnderline"/>
          <w:rFonts w:ascii="Calibri" w:eastAsia="Calibri" w:hAnsi="Calibri"/>
        </w:rPr>
        <w:t>most overhyped and undersupported "theory" ever to be concocted</w:t>
      </w:r>
      <w:r w:rsidRPr="003A49E3">
        <w:rPr>
          <w:rStyle w:val="StyleUnderline"/>
          <w:rFonts w:ascii="Calibri" w:eastAsia="Calibri" w:hAnsi="Calibri"/>
        </w:rPr>
        <w:t xml:space="preserve"> by American academics.</w:t>
      </w:r>
      <w:r w:rsidRPr="003A49E3">
        <w:rPr>
          <w:rFonts w:ascii="Calibri" w:hAnsi="Calibri"/>
          <w:sz w:val="16"/>
        </w:rPr>
        <w:t xml:space="preserve"> In fact, </w:t>
      </w:r>
      <w:r w:rsidRPr="003A49E3">
        <w:rPr>
          <w:rStyle w:val="StyleUnderline"/>
          <w:rFonts w:ascii="Calibri" w:eastAsia="Calibri" w:hAnsi="Calibri"/>
        </w:rPr>
        <w:t xml:space="preserve">it is not a theory at all. Rather </w:t>
      </w:r>
      <w:r w:rsidRPr="00E55230">
        <w:rPr>
          <w:rStyle w:val="StyleUnderline"/>
          <w:rFonts w:ascii="Calibri" w:eastAsia="Calibri" w:hAnsi="Calibri"/>
        </w:rPr>
        <w:t xml:space="preserve">it is a theology that suits </w:t>
      </w:r>
      <w:r w:rsidRPr="003A49E3">
        <w:rPr>
          <w:rStyle w:val="StyleUnderline"/>
          <w:rFonts w:ascii="Calibri" w:eastAsia="Calibri" w:hAnsi="Calibri"/>
        </w:rPr>
        <w:t xml:space="preserve">the conceits of Wilsonian true believers-especially the </w:t>
      </w:r>
      <w:r w:rsidRPr="00E55230">
        <w:rPr>
          <w:rStyle w:val="StyleUnderline"/>
          <w:rFonts w:ascii="Calibri" w:eastAsia="Calibri" w:hAnsi="Calibri"/>
        </w:rPr>
        <w:t xml:space="preserve">neoconservatives </w:t>
      </w:r>
      <w:r w:rsidRPr="003A49E3">
        <w:rPr>
          <w:rStyle w:val="StyleUnderline"/>
          <w:rFonts w:ascii="Calibri" w:eastAsia="Calibri" w:hAnsi="Calibri"/>
        </w:rPr>
        <w:t xml:space="preserve">who have been </w:t>
      </w:r>
      <w:r w:rsidRPr="00E55230">
        <w:rPr>
          <w:rStyle w:val="StyleUnderline"/>
          <w:rFonts w:ascii="Calibri" w:eastAsia="Calibri" w:hAnsi="Calibri"/>
        </w:rPr>
        <w:t xml:space="preserve">advocating American Empire </w:t>
      </w:r>
      <w:r w:rsidRPr="003A49E3">
        <w:rPr>
          <w:rStyle w:val="StyleUnderline"/>
          <w:rFonts w:ascii="Calibri" w:eastAsia="Calibri" w:hAnsi="Calibri"/>
        </w:rPr>
        <w:t xml:space="preserve">since the early 1990s. </w:t>
      </w:r>
      <w:r w:rsidRPr="00E55230">
        <w:rPr>
          <w:rStyle w:val="StyleUnderline"/>
          <w:rFonts w:ascii="Calibri" w:eastAsia="Calibri" w:hAnsi="Calibri"/>
        </w:rPr>
        <w:t>As serious scholars have shown</w:t>
      </w:r>
      <w:r w:rsidRPr="003A49E3">
        <w:rPr>
          <w:rStyle w:val="StyleUnderline"/>
          <w:rFonts w:ascii="Calibri" w:eastAsia="Calibri" w:hAnsi="Calibri"/>
        </w:rPr>
        <w:t xml:space="preserve">, however, </w:t>
      </w:r>
      <w:r w:rsidRPr="00E55230">
        <w:rPr>
          <w:rStyle w:val="StyleUnderline"/>
          <w:rFonts w:ascii="Calibri" w:eastAsia="Calibri" w:hAnsi="Calibri"/>
        </w:rPr>
        <w:t xml:space="preserve">the historical record does not support the </w:t>
      </w:r>
      <w:r w:rsidRPr="003A49E3">
        <w:rPr>
          <w:rStyle w:val="StyleUnderline"/>
          <w:rFonts w:ascii="Calibri" w:eastAsia="Calibri" w:hAnsi="Calibri"/>
        </w:rPr>
        <w:t xml:space="preserve">democratic peace </w:t>
      </w:r>
      <w:r w:rsidRPr="00E55230">
        <w:rPr>
          <w:rStyle w:val="StyleUnderline"/>
          <w:rFonts w:ascii="Calibri" w:eastAsia="Calibri" w:hAnsi="Calibri"/>
        </w:rPr>
        <w:t>theory</w:t>
      </w:r>
      <w:r w:rsidRPr="003A49E3">
        <w:rPr>
          <w:rFonts w:ascii="Calibri" w:hAnsi="Calibri"/>
          <w:sz w:val="16"/>
        </w:rPr>
        <w:t xml:space="preserve">.131 On the contrary, it shows that </w:t>
      </w:r>
      <w:r w:rsidRPr="003A49E3">
        <w:rPr>
          <w:rStyle w:val="StyleUnderline"/>
          <w:rFonts w:ascii="Calibri" w:eastAsia="Calibri" w:hAnsi="Calibri"/>
        </w:rPr>
        <w:t xml:space="preserve">democracies do not act differently toward other democracies than they do toward nondemocratic states. </w:t>
      </w:r>
      <w:r w:rsidRPr="00E55230">
        <w:rPr>
          <w:rStyle w:val="StyleUnderline"/>
          <w:rFonts w:ascii="Calibri" w:eastAsia="Calibri" w:hAnsi="Calibri"/>
        </w:rPr>
        <w:t xml:space="preserve">When </w:t>
      </w:r>
      <w:r w:rsidRPr="003A49E3">
        <w:rPr>
          <w:rStyle w:val="StyleUnderline"/>
          <w:rFonts w:ascii="Calibri" w:eastAsia="Calibri" w:hAnsi="Calibri"/>
        </w:rPr>
        <w:t xml:space="preserve">important </w:t>
      </w:r>
      <w:r w:rsidRPr="00E55230">
        <w:rPr>
          <w:rStyle w:val="StyleUnderline"/>
          <w:rFonts w:ascii="Calibri" w:eastAsia="Calibri" w:hAnsi="Calibri"/>
        </w:rPr>
        <w:t xml:space="preserve">national interests are at stake, democracies </w:t>
      </w:r>
      <w:r w:rsidRPr="003A49E3">
        <w:rPr>
          <w:rStyle w:val="StyleUnderline"/>
          <w:rFonts w:ascii="Calibri" w:eastAsia="Calibri" w:hAnsi="Calibri"/>
        </w:rPr>
        <w:t xml:space="preserve">not only have threatened to use force against other democracies, but, in fact, </w:t>
      </w:r>
      <w:r w:rsidRPr="00E55230">
        <w:rPr>
          <w:rStyle w:val="StyleUnderline"/>
          <w:rFonts w:ascii="Calibri" w:eastAsia="Calibri" w:hAnsi="Calibri"/>
        </w:rPr>
        <w:t>democracies have gone to war with other democracies</w:t>
      </w:r>
      <w:r w:rsidRPr="003A49E3">
        <w:rPr>
          <w:rStyle w:val="StyleUnderline"/>
          <w:rFonts w:ascii="Calibri" w:eastAsia="Calibri" w:hAnsi="Calibri"/>
        </w:rPr>
        <w:t>.</w:t>
      </w:r>
    </w:p>
    <w:p w:rsidR="000C7A59" w:rsidRPr="003A49E3" w:rsidRDefault="000C7A59" w:rsidP="000C7A59">
      <w:pPr>
        <w:pStyle w:val="Heading4"/>
        <w:rPr>
          <w:rStyle w:val="Style13ptBold"/>
          <w:b/>
        </w:rPr>
      </w:pPr>
      <w:r w:rsidRPr="003A49E3">
        <w:rPr>
          <w:rStyle w:val="Style13ptBold"/>
          <w:b/>
        </w:rPr>
        <w:t>Democratic peace theory fails – no mutual trust and countries ignore each other’s interests.</w:t>
      </w:r>
    </w:p>
    <w:p w:rsidR="000C7A59" w:rsidRPr="003A49E3" w:rsidRDefault="000C7A59" w:rsidP="000C7A59">
      <w:pPr>
        <w:rPr>
          <w:bCs/>
          <w:sz w:val="26"/>
        </w:rPr>
      </w:pPr>
      <w:r w:rsidRPr="003A49E3">
        <w:rPr>
          <w:rStyle w:val="Style13ptBold"/>
        </w:rPr>
        <w:t xml:space="preserve">Rosato 3, </w:t>
      </w:r>
      <w:r w:rsidRPr="003A49E3">
        <w:t>(Sebastian Rosato, PhD in PoliSci from UChicago, Director of the Notre Dame International Security Program, Fellow @ Joan B. Kroc Institute for International Peace Studies, Research Fellow @ Belfer Center for Science &amp; International Affairs, “The Flawed Logic of Democratic Peace Theory”, American Political Science Review Vol. 97, No. 4 November 2003, http://www.metu.edu.tr/~utuba/Rosato.pdf)</w:t>
      </w:r>
    </w:p>
    <w:p w:rsidR="000C7A59" w:rsidRPr="003A49E3" w:rsidRDefault="000C7A59" w:rsidP="000C7A59">
      <w:pPr>
        <w:rPr>
          <w:rStyle w:val="StyleUnderline"/>
        </w:rPr>
      </w:pPr>
      <w:r w:rsidRPr="00E55230">
        <w:rPr>
          <w:rStyle w:val="StyleUnderline"/>
        </w:rPr>
        <w:t>The available evidence suggests that democracies do</w:t>
      </w:r>
      <w:r w:rsidRPr="00E55230">
        <w:rPr>
          <w:rStyle w:val="StyleUnderline"/>
          <w:sz w:val="12"/>
        </w:rPr>
        <w:t>¶</w:t>
      </w:r>
      <w:r w:rsidRPr="00E55230">
        <w:rPr>
          <w:rStyle w:val="StyleUnderline"/>
        </w:rPr>
        <w:t xml:space="preserve"> not</w:t>
      </w:r>
      <w:r w:rsidRPr="003A49E3">
        <w:rPr>
          <w:rStyle w:val="StyleUnderline"/>
        </w:rPr>
        <w:t xml:space="preserve"> have a powerful inclination to </w:t>
      </w:r>
      <w:r w:rsidRPr="00E55230">
        <w:rPr>
          <w:rStyle w:val="StyleUnderline"/>
        </w:rPr>
        <w:t>treat each other with</w:t>
      </w:r>
      <w:r w:rsidRPr="00E55230">
        <w:rPr>
          <w:rStyle w:val="StyleUnderline"/>
          <w:sz w:val="12"/>
        </w:rPr>
        <w:t>¶</w:t>
      </w:r>
      <w:r w:rsidRPr="00E55230">
        <w:rPr>
          <w:rStyle w:val="StyleUnderline"/>
        </w:rPr>
        <w:t xml:space="preserve"> trust and respect when their interests clash. Instead,</w:t>
      </w:r>
      <w:r w:rsidRPr="00E55230">
        <w:rPr>
          <w:rStyle w:val="StyleUnderline"/>
          <w:sz w:val="12"/>
        </w:rPr>
        <w:t>¶</w:t>
      </w:r>
      <w:r w:rsidRPr="00E55230">
        <w:rPr>
          <w:rStyle w:val="StyleUnderline"/>
        </w:rPr>
        <w:t xml:space="preserve"> they tend to act like any other pair of states,</w:t>
      </w:r>
      <w:r w:rsidRPr="003A49E3">
        <w:rPr>
          <w:rStyle w:val="StyleUnderline"/>
        </w:rPr>
        <w:t xml:space="preserve"> bargaining</w:t>
      </w:r>
      <w:r w:rsidRPr="003A49E3">
        <w:rPr>
          <w:rStyle w:val="StyleUnderline"/>
          <w:sz w:val="12"/>
        </w:rPr>
        <w:t>¶</w:t>
      </w:r>
      <w:r w:rsidRPr="003A49E3">
        <w:rPr>
          <w:rStyle w:val="StyleUnderline"/>
        </w:rPr>
        <w:t xml:space="preserve"> hard, </w:t>
      </w:r>
      <w:r w:rsidRPr="00E55230">
        <w:rPr>
          <w:rStyle w:val="StyleUnderline"/>
        </w:rPr>
        <w:t>issuing threats, and</w:t>
      </w:r>
      <w:r w:rsidRPr="003A49E3">
        <w:rPr>
          <w:rStyle w:val="StyleUnderline"/>
        </w:rPr>
        <w:t>,</w:t>
      </w:r>
      <w:r w:rsidRPr="003A49E3">
        <w:rPr>
          <w:sz w:val="16"/>
        </w:rPr>
        <w:t xml:space="preserve"> if they believe it is warranted,</w:t>
      </w:r>
      <w:r w:rsidRPr="003A49E3">
        <w:rPr>
          <w:sz w:val="12"/>
        </w:rPr>
        <w:t>¶</w:t>
      </w:r>
      <w:r w:rsidRPr="003A49E3">
        <w:rPr>
          <w:sz w:val="16"/>
        </w:rPr>
        <w:t xml:space="preserve"> </w:t>
      </w:r>
      <w:r w:rsidRPr="00E55230">
        <w:rPr>
          <w:rStyle w:val="StyleUnderline"/>
        </w:rPr>
        <w:t>using military force</w:t>
      </w:r>
      <w:r w:rsidRPr="003A49E3">
        <w:rPr>
          <w:sz w:val="16"/>
        </w:rPr>
        <w:t>.</w:t>
      </w:r>
      <w:r w:rsidRPr="003A49E3">
        <w:rPr>
          <w:sz w:val="12"/>
        </w:rPr>
        <w:t>¶</w:t>
      </w:r>
      <w:r w:rsidRPr="003A49E3">
        <w:rPr>
          <w:sz w:val="16"/>
        </w:rPr>
        <w:t xml:space="preserve"> Cold War Interventions. </w:t>
      </w:r>
      <w:r w:rsidRPr="00E55230">
        <w:rPr>
          <w:rStyle w:val="StyleUnderline"/>
        </w:rPr>
        <w:t>American interventions to</w:t>
      </w:r>
      <w:r w:rsidRPr="00E55230">
        <w:rPr>
          <w:rStyle w:val="StyleUnderline"/>
          <w:sz w:val="12"/>
        </w:rPr>
        <w:t>¶</w:t>
      </w:r>
      <w:r w:rsidRPr="00E55230">
        <w:rPr>
          <w:rStyle w:val="StyleUnderline"/>
        </w:rPr>
        <w:t xml:space="preserve"> destabilize fellow democracies</w:t>
      </w:r>
      <w:r w:rsidRPr="003A49E3">
        <w:rPr>
          <w:rStyle w:val="StyleUnderline"/>
        </w:rPr>
        <w:t xml:space="preserve"> in the developing world</w:t>
      </w:r>
      <w:r w:rsidRPr="003A49E3">
        <w:rPr>
          <w:rStyle w:val="StyleUnderline"/>
          <w:sz w:val="12"/>
        </w:rPr>
        <w:t>¶</w:t>
      </w:r>
      <w:r w:rsidRPr="003A49E3">
        <w:rPr>
          <w:rStyle w:val="StyleUnderline"/>
        </w:rPr>
        <w:t xml:space="preserve"> pr</w:t>
      </w:r>
      <w:r w:rsidRPr="00E55230">
        <w:rPr>
          <w:rStyle w:val="StyleUnderline"/>
        </w:rPr>
        <w:t>ovide good evidence that democracies do not always</w:t>
      </w:r>
      <w:r w:rsidRPr="00E55230">
        <w:rPr>
          <w:rStyle w:val="StyleUnderline"/>
          <w:sz w:val="12"/>
        </w:rPr>
        <w:t>¶</w:t>
      </w:r>
      <w:r w:rsidRPr="00E55230">
        <w:rPr>
          <w:rStyle w:val="StyleUnderline"/>
        </w:rPr>
        <w:t xml:space="preserve"> treat each other with trust and respect when they have</w:t>
      </w:r>
      <w:r w:rsidRPr="00E55230">
        <w:rPr>
          <w:rStyle w:val="StyleUnderline"/>
          <w:sz w:val="12"/>
        </w:rPr>
        <w:t>¶</w:t>
      </w:r>
      <w:r w:rsidRPr="00E55230">
        <w:rPr>
          <w:rStyle w:val="StyleUnderline"/>
        </w:rPr>
        <w:t xml:space="preserve"> a conﬂict of interest</w:t>
      </w:r>
      <w:r w:rsidRPr="003A49E3">
        <w:rPr>
          <w:sz w:val="16"/>
        </w:rPr>
        <w:t xml:space="preserve">. In each case, </w:t>
      </w:r>
      <w:r w:rsidRPr="00E55230">
        <w:rPr>
          <w:rStyle w:val="StyleUnderline"/>
        </w:rPr>
        <w:t>Washington’s commitment to containing the spread of communism overwhelmed any respect for fellow democracies</w:t>
      </w:r>
      <w:r w:rsidRPr="00E55230">
        <w:rPr>
          <w:sz w:val="16"/>
        </w:rPr>
        <w:t>.</w:t>
      </w:r>
      <w:r w:rsidRPr="003A49E3">
        <w:rPr>
          <w:sz w:val="16"/>
        </w:rPr>
        <w:t xml:space="preserve"> </w:t>
      </w:r>
      <w:r w:rsidRPr="003A49E3">
        <w:rPr>
          <w:rStyle w:val="StyleUnderline"/>
        </w:rPr>
        <w:t>Although</w:t>
      </w:r>
      <w:r w:rsidRPr="003A49E3">
        <w:rPr>
          <w:rStyle w:val="StyleUnderline"/>
          <w:sz w:val="12"/>
        </w:rPr>
        <w:t>¶</w:t>
      </w:r>
      <w:r w:rsidRPr="003A49E3">
        <w:rPr>
          <w:rStyle w:val="StyleUnderline"/>
        </w:rPr>
        <w:t xml:space="preserve"> none of the target states had turned to communism</w:t>
      </w:r>
      <w:r w:rsidRPr="003A49E3">
        <w:rPr>
          <w:sz w:val="12"/>
        </w:rPr>
        <w:t>¶</w:t>
      </w:r>
      <w:r w:rsidRPr="003A49E3">
        <w:rPr>
          <w:sz w:val="16"/>
        </w:rPr>
        <w:t xml:space="preserve"> or joined the communist bloc, </w:t>
      </w:r>
      <w:r w:rsidRPr="003A49E3">
        <w:rPr>
          <w:rStyle w:val="StyleUnderline"/>
        </w:rPr>
        <w:t>and were led by what</w:t>
      </w:r>
      <w:r w:rsidRPr="003A49E3">
        <w:rPr>
          <w:rStyle w:val="StyleUnderline"/>
          <w:sz w:val="12"/>
        </w:rPr>
        <w:t>¶</w:t>
      </w:r>
      <w:r w:rsidRPr="003A49E3">
        <w:rPr>
          <w:rStyle w:val="StyleUnderline"/>
        </w:rPr>
        <w:t xml:space="preserve"> were at most left-leaning democratically elected governments, American ofﬁcials chose neither to trust nor</w:t>
      </w:r>
      <w:r w:rsidRPr="003A49E3">
        <w:rPr>
          <w:rStyle w:val="StyleUnderline"/>
          <w:sz w:val="12"/>
        </w:rPr>
        <w:t>¶</w:t>
      </w:r>
      <w:r w:rsidRPr="003A49E3">
        <w:rPr>
          <w:rStyle w:val="StyleUnderline"/>
        </w:rPr>
        <w:t xml:space="preserve"> to respect them, preferring to destabilize them by force</w:t>
      </w:r>
      <w:r w:rsidRPr="003A49E3">
        <w:rPr>
          <w:rStyle w:val="StyleUnderline"/>
          <w:sz w:val="12"/>
        </w:rPr>
        <w:t>¶</w:t>
      </w:r>
      <w:r w:rsidRPr="003A49E3">
        <w:rPr>
          <w:rStyle w:val="StyleUnderline"/>
        </w:rPr>
        <w:t xml:space="preserve"> and replace them with autocratic (but anticommunist)</w:t>
      </w:r>
      <w:r w:rsidRPr="003A49E3">
        <w:rPr>
          <w:rStyle w:val="StyleUnderline"/>
          <w:sz w:val="12"/>
        </w:rPr>
        <w:t>¶</w:t>
      </w:r>
      <w:r w:rsidRPr="003A49E3">
        <w:rPr>
          <w:rStyle w:val="StyleUnderline"/>
        </w:rPr>
        <w:t xml:space="preserve"> regimes rather than negotiate with them</w:t>
      </w:r>
      <w:r w:rsidRPr="003A49E3">
        <w:rPr>
          <w:sz w:val="16"/>
        </w:rPr>
        <w:t xml:space="preserve"> in good faith</w:t>
      </w:r>
      <w:r w:rsidRPr="003A49E3">
        <w:rPr>
          <w:sz w:val="12"/>
        </w:rPr>
        <w:t>¶</w:t>
      </w:r>
      <w:r w:rsidRPr="003A49E3">
        <w:rPr>
          <w:sz w:val="16"/>
        </w:rPr>
        <w:t xml:space="preserve"> or secure their support by diplomatic means (Table 2).</w:t>
      </w:r>
      <w:r w:rsidRPr="003A49E3">
        <w:rPr>
          <w:sz w:val="16"/>
        </w:rPr>
        <w:pgNum/>
      </w:r>
      <w:r w:rsidRPr="003A49E3">
        <w:rPr>
          <w:sz w:val="16"/>
        </w:rPr>
        <w:pgNum/>
      </w:r>
      <w:r w:rsidRPr="003A49E3">
        <w:rPr>
          <w:sz w:val="12"/>
        </w:rPr>
        <w:t>¶</w:t>
      </w:r>
      <w:r w:rsidRPr="003A49E3">
        <w:rPr>
          <w:sz w:val="16"/>
        </w:rPr>
        <w:t xml:space="preserve"> Three features of these cases deserve emphasis. First,</w:t>
      </w:r>
      <w:r w:rsidRPr="003A49E3">
        <w:rPr>
          <w:sz w:val="12"/>
        </w:rPr>
        <w:t>¶</w:t>
      </w:r>
      <w:r w:rsidRPr="003A49E3">
        <w:rPr>
          <w:sz w:val="16"/>
        </w:rPr>
        <w:t xml:space="preserve"> </w:t>
      </w:r>
      <w:r w:rsidRPr="00E55230">
        <w:rPr>
          <w:rStyle w:val="StyleUnderline"/>
        </w:rPr>
        <w:t>all the regimes that the United States sought to undermine were democratic</w:t>
      </w:r>
      <w:r w:rsidRPr="003A49E3">
        <w:rPr>
          <w:sz w:val="16"/>
        </w:rPr>
        <w:t>. In the cases of Guatemala,</w:t>
      </w:r>
      <w:r w:rsidRPr="003A49E3">
        <w:rPr>
          <w:sz w:val="12"/>
        </w:rPr>
        <w:t>¶</w:t>
      </w:r>
      <w:r w:rsidRPr="003A49E3">
        <w:rPr>
          <w:sz w:val="16"/>
        </w:rPr>
        <w:t xml:space="preserve"> British Guyana, Brazil, and Chile democratic processes were fairly well established. Iran, Indonesia, and</w:t>
      </w:r>
      <w:r w:rsidRPr="003A49E3">
        <w:rPr>
          <w:sz w:val="12"/>
        </w:rPr>
        <w:t>¶</w:t>
      </w:r>
      <w:r w:rsidRPr="003A49E3">
        <w:rPr>
          <w:sz w:val="16"/>
        </w:rPr>
        <w:t xml:space="preserve"> Nicaragua were ﬂedgling democracies but Mossadeq,</w:t>
      </w:r>
      <w:r w:rsidRPr="003A49E3">
        <w:rPr>
          <w:sz w:val="12"/>
        </w:rPr>
        <w:t>¶</w:t>
      </w:r>
      <w:r w:rsidRPr="003A49E3">
        <w:rPr>
          <w:sz w:val="16"/>
        </w:rPr>
        <w:t xml:space="preserve"> Sukarno, and the Sandinistas could legitimately claim</w:t>
      </w:r>
      <w:r w:rsidRPr="003A49E3">
        <w:rPr>
          <w:sz w:val="12"/>
        </w:rPr>
        <w:t>¶</w:t>
      </w:r>
      <w:r w:rsidRPr="003A49E3">
        <w:rPr>
          <w:sz w:val="16"/>
        </w:rPr>
        <w:t xml:space="preserve"> to be the ﬁrst proponents of democracy in their respective countries. Every government with the exception of the Sandinistas was replaced by a succession of</w:t>
      </w:r>
      <w:r w:rsidRPr="003A49E3">
        <w:rPr>
          <w:sz w:val="12"/>
        </w:rPr>
        <w:t>¶</w:t>
      </w:r>
      <w:r w:rsidRPr="003A49E3">
        <w:rPr>
          <w:sz w:val="16"/>
        </w:rPr>
        <w:t xml:space="preserve"> American-backed dictatorial regimes.</w:t>
      </w:r>
      <w:r w:rsidRPr="003A49E3">
        <w:rPr>
          <w:sz w:val="12"/>
        </w:rPr>
        <w:t>¶</w:t>
      </w:r>
      <w:r w:rsidRPr="003A49E3">
        <w:rPr>
          <w:sz w:val="16"/>
        </w:rPr>
        <w:t xml:space="preserve"> Second, </w:t>
      </w:r>
      <w:r w:rsidRPr="003A49E3">
        <w:rPr>
          <w:rStyle w:val="StyleUnderline"/>
        </w:rPr>
        <w:t>in each case the clash of interests between</w:t>
      </w:r>
      <w:r w:rsidRPr="003A49E3">
        <w:rPr>
          <w:rStyle w:val="StyleUnderline"/>
          <w:sz w:val="12"/>
        </w:rPr>
        <w:t>¶</w:t>
      </w:r>
      <w:r w:rsidRPr="003A49E3">
        <w:rPr>
          <w:rStyle w:val="StyleUnderline"/>
        </w:rPr>
        <w:t xml:space="preserve"> Washington and the target governments was not particularly severe.</w:t>
      </w:r>
      <w:r w:rsidRPr="003A49E3">
        <w:rPr>
          <w:sz w:val="16"/>
        </w:rPr>
        <w:t xml:space="preserve"> These should, then, be easy cases for</w:t>
      </w:r>
      <w:r w:rsidRPr="003A49E3">
        <w:rPr>
          <w:sz w:val="12"/>
        </w:rPr>
        <w:t>¶</w:t>
      </w:r>
      <w:r w:rsidRPr="003A49E3">
        <w:rPr>
          <w:sz w:val="16"/>
        </w:rPr>
        <w:t xml:space="preserve"> democratic peace theory since trust and respect are</w:t>
      </w:r>
      <w:r w:rsidRPr="003A49E3">
        <w:rPr>
          <w:sz w:val="12"/>
        </w:rPr>
        <w:t>¶</w:t>
      </w:r>
      <w:r w:rsidRPr="003A49E3">
        <w:rPr>
          <w:sz w:val="16"/>
        </w:rPr>
        <w:t xml:space="preserve"> most likely to be determinative when the dispute is</w:t>
      </w:r>
      <w:r w:rsidRPr="003A49E3">
        <w:rPr>
          <w:sz w:val="12"/>
        </w:rPr>
        <w:t>¶</w:t>
      </w:r>
      <w:r w:rsidRPr="003A49E3">
        <w:rPr>
          <w:sz w:val="16"/>
        </w:rPr>
        <w:t xml:space="preserve"> minor. None of the target governments were communist, and although some of them pursued leftist policies</w:t>
      </w:r>
      <w:r w:rsidRPr="003A49E3">
        <w:rPr>
          <w:sz w:val="12"/>
        </w:rPr>
        <w:t>¶</w:t>
      </w:r>
      <w:r w:rsidRPr="003A49E3">
        <w:rPr>
          <w:sz w:val="16"/>
        </w:rPr>
        <w:t xml:space="preserve"> there was no indication that they intended to impose</w:t>
      </w:r>
      <w:r w:rsidRPr="003A49E3">
        <w:rPr>
          <w:sz w:val="12"/>
        </w:rPr>
        <w:t>¶</w:t>
      </w:r>
      <w:r w:rsidRPr="003A49E3">
        <w:rPr>
          <w:sz w:val="16"/>
        </w:rPr>
        <w:t xml:space="preserve"> a communist model or that they were actively courting the Soviet Union. In spite of the limited scope of</w:t>
      </w:r>
      <w:r w:rsidRPr="003A49E3">
        <w:rPr>
          <w:sz w:val="12"/>
        </w:rPr>
        <w:t>¶</w:t>
      </w:r>
      <w:r w:rsidRPr="003A49E3">
        <w:rPr>
          <w:sz w:val="16"/>
        </w:rPr>
        <w:t xml:space="preserve"> disagreement, respect for democratic forms of government was consistently subordinated to an expanded</w:t>
      </w:r>
      <w:r w:rsidRPr="003A49E3">
        <w:rPr>
          <w:sz w:val="12"/>
        </w:rPr>
        <w:t>¶</w:t>
      </w:r>
      <w:r w:rsidRPr="003A49E3">
        <w:rPr>
          <w:sz w:val="16"/>
        </w:rPr>
        <w:t xml:space="preserve"> conception of national security.</w:t>
      </w:r>
      <w:r w:rsidRPr="003A49E3">
        <w:rPr>
          <w:sz w:val="12"/>
        </w:rPr>
        <w:t>¶</w:t>
      </w:r>
      <w:r w:rsidRPr="003A49E3">
        <w:rPr>
          <w:sz w:val="16"/>
        </w:rPr>
        <w:t xml:space="preserve"> Third, </w:t>
      </w:r>
      <w:r w:rsidRPr="003A49E3">
        <w:rPr>
          <w:rStyle w:val="StyleUnderline"/>
        </w:rPr>
        <w:t>there is good evidence that s</w:t>
      </w:r>
      <w:r w:rsidRPr="00E55230">
        <w:rPr>
          <w:rStyle w:val="StyleUnderline"/>
        </w:rPr>
        <w:t>upport for democracy was often sacriﬁced in the name of American</w:t>
      </w:r>
      <w:r w:rsidRPr="00E55230">
        <w:rPr>
          <w:rStyle w:val="StyleUnderline"/>
          <w:sz w:val="12"/>
        </w:rPr>
        <w:t>¶</w:t>
      </w:r>
      <w:r w:rsidRPr="00E55230">
        <w:rPr>
          <w:rStyle w:val="StyleUnderline"/>
        </w:rPr>
        <w:t xml:space="preserve"> economic interests.</w:t>
      </w:r>
      <w:r w:rsidRPr="003A49E3">
        <w:rPr>
          <w:sz w:val="16"/>
        </w:rPr>
        <w:t xml:space="preserve"> At least some of the impetus for</w:t>
      </w:r>
      <w:r w:rsidRPr="003A49E3">
        <w:rPr>
          <w:sz w:val="12"/>
        </w:rPr>
        <w:t>¶</w:t>
      </w:r>
      <w:r w:rsidRPr="003A49E3">
        <w:rPr>
          <w:sz w:val="16"/>
        </w:rPr>
        <w:t xml:space="preserve"> intervention in Iran came in response to the nationalization of the oil industry, the United Fruit Company</w:t>
      </w:r>
      <w:r w:rsidRPr="003A49E3">
        <w:rPr>
          <w:sz w:val="12"/>
        </w:rPr>
        <w:t>¶</w:t>
      </w:r>
      <w:r w:rsidRPr="003A49E3">
        <w:rPr>
          <w:sz w:val="16"/>
        </w:rPr>
        <w:t xml:space="preserve"> pressed for action in Guatemala, International Telephone and Telegraph urged successive administrations</w:t>
      </w:r>
      <w:r w:rsidRPr="003A49E3">
        <w:rPr>
          <w:sz w:val="12"/>
        </w:rPr>
        <w:t>¶</w:t>
      </w:r>
      <w:r w:rsidRPr="003A49E3">
        <w:rPr>
          <w:sz w:val="16"/>
        </w:rPr>
        <w:t xml:space="preserve"> to intervene in Brazil and Chile, and Allende’s efforts</w:t>
      </w:r>
      <w:r w:rsidRPr="003A49E3">
        <w:rPr>
          <w:sz w:val="12"/>
        </w:rPr>
        <w:t>¶</w:t>
      </w:r>
      <w:r w:rsidRPr="003A49E3">
        <w:rPr>
          <w:sz w:val="16"/>
        </w:rPr>
        <w:t xml:space="preserve"> to nationalize the copper industry fueled demands that</w:t>
      </w:r>
      <w:r w:rsidRPr="003A49E3">
        <w:rPr>
          <w:sz w:val="12"/>
        </w:rPr>
        <w:t>¶</w:t>
      </w:r>
      <w:r w:rsidRPr="003A49E3">
        <w:rPr>
          <w:sz w:val="16"/>
        </w:rPr>
        <w:t xml:space="preserve"> the Nixon administration destabilize his government.</w:t>
      </w:r>
      <w:r w:rsidRPr="003A49E3">
        <w:rPr>
          <w:sz w:val="12"/>
        </w:rPr>
        <w:t>¶</w:t>
      </w:r>
      <w:r w:rsidRPr="003A49E3">
        <w:rPr>
          <w:sz w:val="16"/>
        </w:rPr>
        <w:t xml:space="preserve"> In sum, </w:t>
      </w:r>
      <w:r w:rsidRPr="003A49E3">
        <w:rPr>
          <w:rStyle w:val="StyleUnderline"/>
        </w:rPr>
        <w:t>the record of American interventions in the</w:t>
      </w:r>
      <w:r w:rsidRPr="003A49E3">
        <w:rPr>
          <w:rStyle w:val="StyleUnderline"/>
          <w:sz w:val="12"/>
        </w:rPr>
        <w:t>¶</w:t>
      </w:r>
      <w:r w:rsidRPr="003A49E3">
        <w:rPr>
          <w:rStyle w:val="StyleUnderline"/>
        </w:rPr>
        <w:t xml:space="preserve"> developing world suggests that democratic trust and</w:t>
      </w:r>
      <w:r w:rsidRPr="003A49E3">
        <w:rPr>
          <w:rStyle w:val="StyleUnderline"/>
          <w:sz w:val="12"/>
        </w:rPr>
        <w:t>¶</w:t>
      </w:r>
      <w:r w:rsidRPr="003A49E3">
        <w:rPr>
          <w:rStyle w:val="StyleUnderline"/>
        </w:rPr>
        <w:t xml:space="preserve"> respect has often been subordinated to security and</w:t>
      </w:r>
      <w:r w:rsidRPr="003A49E3">
        <w:rPr>
          <w:rStyle w:val="StyleUnderline"/>
          <w:sz w:val="12"/>
        </w:rPr>
        <w:t>¶</w:t>
      </w:r>
      <w:r w:rsidRPr="003A49E3">
        <w:rPr>
          <w:rStyle w:val="StyleUnderline"/>
        </w:rPr>
        <w:t xml:space="preserve"> economic interests</w:t>
      </w:r>
      <w:r w:rsidRPr="003A49E3">
        <w:rPr>
          <w:sz w:val="16"/>
        </w:rPr>
        <w:t>.</w:t>
      </w:r>
      <w:r w:rsidRPr="003A49E3">
        <w:rPr>
          <w:sz w:val="12"/>
        </w:rPr>
        <w:t>¶</w:t>
      </w:r>
      <w:r w:rsidRPr="003A49E3">
        <w:rPr>
          <w:sz w:val="16"/>
        </w:rPr>
        <w:t xml:space="preserve"> Democratic peace theorists generally agree that</w:t>
      </w:r>
      <w:r w:rsidRPr="003A49E3">
        <w:rPr>
          <w:sz w:val="12"/>
        </w:rPr>
        <w:t>¶</w:t>
      </w:r>
      <w:r w:rsidRPr="003A49E3">
        <w:rPr>
          <w:sz w:val="16"/>
        </w:rPr>
        <w:t xml:space="preserve"> these interventions are examples of a democracy using</w:t>
      </w:r>
      <w:r w:rsidRPr="003A49E3">
        <w:rPr>
          <w:sz w:val="12"/>
        </w:rPr>
        <w:t>¶</w:t>
      </w:r>
      <w:r w:rsidRPr="003A49E3">
        <w:rPr>
          <w:sz w:val="16"/>
        </w:rPr>
        <w:t xml:space="preserve"> force against other democracies, but they offer two reasons why covert interventions should not count against</w:t>
      </w:r>
      <w:r w:rsidRPr="003A49E3">
        <w:rPr>
          <w:sz w:val="12"/>
        </w:rPr>
        <w:t>¶</w:t>
      </w:r>
      <w:r w:rsidRPr="003A49E3">
        <w:rPr>
          <w:sz w:val="16"/>
        </w:rPr>
        <w:t xml:space="preserve"> the normative logic. The ﬁrst reason is </w:t>
      </w:r>
      <w:r w:rsidRPr="003A49E3">
        <w:rPr>
          <w:rStyle w:val="StyleUnderline"/>
        </w:rPr>
        <w:t>that the target</w:t>
      </w:r>
      <w:r w:rsidRPr="003A49E3">
        <w:rPr>
          <w:rStyle w:val="StyleUnderline"/>
          <w:sz w:val="12"/>
        </w:rPr>
        <w:t>¶</w:t>
      </w:r>
      <w:r w:rsidRPr="003A49E3">
        <w:rPr>
          <w:rStyle w:val="StyleUnderline"/>
        </w:rPr>
        <w:t xml:space="preserve"> states were not democratic enough to be trusted and</w:t>
      </w:r>
      <w:r w:rsidRPr="003A49E3">
        <w:rPr>
          <w:rStyle w:val="StyleUnderline"/>
          <w:sz w:val="12"/>
        </w:rPr>
        <w:t>¶</w:t>
      </w:r>
      <w:r w:rsidRPr="003A49E3">
        <w:rPr>
          <w:rStyle w:val="StyleUnderline"/>
        </w:rPr>
        <w:t xml:space="preserve"> respected </w:t>
      </w:r>
      <w:r w:rsidRPr="003A49E3">
        <w:rPr>
          <w:sz w:val="16"/>
        </w:rPr>
        <w:t>(Forsythe 1992; Russett 1993, 120–24). This</w:t>
      </w:r>
      <w:r w:rsidRPr="003A49E3">
        <w:rPr>
          <w:sz w:val="12"/>
        </w:rPr>
        <w:t>¶</w:t>
      </w:r>
      <w:r w:rsidRPr="003A49E3">
        <w:rPr>
          <w:sz w:val="16"/>
        </w:rPr>
        <w:t xml:space="preserve"> claim </w:t>
      </w:r>
      <w:r w:rsidRPr="003A49E3">
        <w:rPr>
          <w:rStyle w:val="StyleUnderline"/>
        </w:rPr>
        <w:t>is not entirely convincing.</w:t>
      </w:r>
      <w:r w:rsidRPr="003A49E3">
        <w:rPr>
          <w:sz w:val="16"/>
        </w:rPr>
        <w:t xml:space="preserve"> </w:t>
      </w:r>
      <w:r w:rsidRPr="003A49E3">
        <w:rPr>
          <w:rStyle w:val="StyleUnderline"/>
        </w:rPr>
        <w:t>Although the target</w:t>
      </w:r>
      <w:r w:rsidRPr="003A49E3">
        <w:rPr>
          <w:rStyle w:val="StyleUnderline"/>
          <w:sz w:val="12"/>
        </w:rPr>
        <w:t>¶</w:t>
      </w:r>
      <w:r w:rsidRPr="003A49E3">
        <w:rPr>
          <w:rStyle w:val="StyleUnderline"/>
        </w:rPr>
        <w:t xml:space="preserve"> states may not have been fully democratic, they were</w:t>
      </w:r>
      <w:r w:rsidRPr="003A49E3">
        <w:rPr>
          <w:rStyle w:val="StyleUnderline"/>
          <w:sz w:val="12"/>
        </w:rPr>
        <w:t>¶</w:t>
      </w:r>
      <w:r w:rsidRPr="003A49E3">
        <w:rPr>
          <w:rStyle w:val="StyleUnderline"/>
        </w:rPr>
        <w:t xml:space="preserve"> more democratic than the regimes that preceded and</w:t>
      </w:r>
      <w:r w:rsidRPr="003A49E3">
        <w:rPr>
          <w:rStyle w:val="StyleUnderline"/>
          <w:sz w:val="12"/>
        </w:rPr>
        <w:t>¶</w:t>
      </w:r>
      <w:r w:rsidRPr="003A49E3">
        <w:rPr>
          <w:rStyle w:val="StyleUnderline"/>
        </w:rPr>
        <w:t xml:space="preserve"> succeeded them and were democratizing further</w:t>
      </w:r>
      <w:r w:rsidRPr="003A49E3">
        <w:rPr>
          <w:sz w:val="16"/>
        </w:rPr>
        <w:t>. Indeed, in every case American action brought more autocratic regimes to power.</w:t>
      </w:r>
      <w:r w:rsidRPr="003A49E3">
        <w:rPr>
          <w:sz w:val="12"/>
        </w:rPr>
        <w:t>¶</w:t>
      </w:r>
      <w:r w:rsidRPr="003A49E3">
        <w:rPr>
          <w:sz w:val="16"/>
        </w:rPr>
        <w:t xml:space="preserve"> </w:t>
      </w:r>
      <w:r w:rsidRPr="003A49E3">
        <w:rPr>
          <w:rStyle w:val="StyleUnderline"/>
        </w:rPr>
        <w:t>The second reason is that these interventions were</w:t>
      </w:r>
      <w:r w:rsidRPr="003A49E3">
        <w:rPr>
          <w:rStyle w:val="StyleUnderline"/>
          <w:sz w:val="12"/>
        </w:rPr>
        <w:t>¶</w:t>
      </w:r>
      <w:r w:rsidRPr="003A49E3">
        <w:rPr>
          <w:rStyle w:val="StyleUnderline"/>
        </w:rPr>
        <w:t xml:space="preserve"> covert</w:t>
      </w:r>
      <w:r w:rsidRPr="003A49E3">
        <w:rPr>
          <w:sz w:val="16"/>
        </w:rPr>
        <w:t>, a fact believed by democratic peace theorists</w:t>
      </w:r>
      <w:r w:rsidRPr="003A49E3">
        <w:rPr>
          <w:sz w:val="12"/>
        </w:rPr>
        <w:t>¶</w:t>
      </w:r>
      <w:r w:rsidRPr="003A49E3">
        <w:rPr>
          <w:sz w:val="16"/>
        </w:rPr>
        <w:t xml:space="preserve"> to reveal the strength of their normative argument. It</w:t>
      </w:r>
      <w:r w:rsidRPr="003A49E3">
        <w:rPr>
          <w:sz w:val="12"/>
        </w:rPr>
        <w:t>¶</w:t>
      </w:r>
      <w:r w:rsidRPr="003A49E3">
        <w:rPr>
          <w:sz w:val="16"/>
        </w:rPr>
        <w:t xml:space="preserve"> was precisely because these states were democratic that</w:t>
      </w:r>
      <w:r w:rsidRPr="003A49E3">
        <w:rPr>
          <w:sz w:val="12"/>
        </w:rPr>
        <w:t>¶</w:t>
      </w:r>
      <w:r w:rsidRPr="003A49E3">
        <w:rPr>
          <w:sz w:val="16"/>
        </w:rPr>
        <w:t xml:space="preserve"> successive administrations had to act covertly rather</w:t>
      </w:r>
      <w:r w:rsidRPr="003A49E3">
        <w:rPr>
          <w:sz w:val="12"/>
        </w:rPr>
        <w:t>¶</w:t>
      </w:r>
      <w:r w:rsidRPr="003A49E3">
        <w:rPr>
          <w:sz w:val="16"/>
        </w:rPr>
        <w:t xml:space="preserve"> than openly initiate military operations. Knowing that</w:t>
      </w:r>
      <w:r w:rsidRPr="003A49E3">
        <w:rPr>
          <w:sz w:val="12"/>
        </w:rPr>
        <w:t>¶</w:t>
      </w:r>
      <w:r w:rsidRPr="003A49E3">
        <w:rPr>
          <w:sz w:val="16"/>
        </w:rPr>
        <w:t xml:space="preserve"> their actions were illegitimate, and fearing a public</w:t>
      </w:r>
      <w:r w:rsidRPr="003A49E3">
        <w:rPr>
          <w:sz w:val="12"/>
        </w:rPr>
        <w:t>¶</w:t>
      </w:r>
      <w:r w:rsidRPr="003A49E3">
        <w:rPr>
          <w:sz w:val="16"/>
        </w:rPr>
        <w:t xml:space="preserve"> backlash, American ofﬁcials decided on covert action</w:t>
      </w:r>
      <w:r w:rsidRPr="003A49E3">
        <w:rPr>
          <w:sz w:val="12"/>
        </w:rPr>
        <w:t>¶</w:t>
      </w:r>
      <w:r w:rsidRPr="003A49E3">
        <w:rPr>
          <w:sz w:val="16"/>
        </w:rPr>
        <w:t xml:space="preserve"> (Forsythe 1992; Russett 1993, 120–24). </w:t>
      </w:r>
      <w:r w:rsidRPr="003A49E3">
        <w:rPr>
          <w:rStyle w:val="StyleUnderline"/>
        </w:rPr>
        <w:t>This defense</w:t>
      </w:r>
      <w:r w:rsidRPr="003A49E3">
        <w:rPr>
          <w:rStyle w:val="StyleUnderline"/>
          <w:sz w:val="12"/>
        </w:rPr>
        <w:t>¶</w:t>
      </w:r>
      <w:r w:rsidRPr="003A49E3">
        <w:rPr>
          <w:rStyle w:val="StyleUnderline"/>
        </w:rPr>
        <w:t xml:space="preserve"> fails to address some important issues. To begin with, it</w:t>
      </w:r>
      <w:r w:rsidRPr="003A49E3">
        <w:rPr>
          <w:rStyle w:val="StyleUnderline"/>
          <w:sz w:val="12"/>
        </w:rPr>
        <w:t>¶</w:t>
      </w:r>
      <w:r w:rsidRPr="003A49E3">
        <w:rPr>
          <w:rStyle w:val="StyleUnderline"/>
        </w:rPr>
        <w:t xml:space="preserve"> ignores the fact that American public ofﬁcials, that is,</w:t>
      </w:r>
      <w:r w:rsidRPr="003A49E3">
        <w:rPr>
          <w:rStyle w:val="StyleUnderline"/>
          <w:sz w:val="12"/>
        </w:rPr>
        <w:t>¶</w:t>
      </w:r>
      <w:r w:rsidRPr="003A49E3">
        <w:rPr>
          <w:rStyle w:val="StyleUnderline"/>
        </w:rPr>
        <w:t xml:space="preserve"> the individuals that democratic peace theory claims are</w:t>
      </w:r>
      <w:r w:rsidRPr="003A49E3">
        <w:rPr>
          <w:rStyle w:val="StyleUnderline"/>
          <w:sz w:val="12"/>
        </w:rPr>
        <w:t>¶</w:t>
      </w:r>
      <w:r w:rsidRPr="003A49E3">
        <w:rPr>
          <w:rStyle w:val="StyleUnderline"/>
        </w:rPr>
        <w:t xml:space="preserve"> most likely to abide by liberal norms, showed no respect</w:t>
      </w:r>
      <w:r w:rsidRPr="003A49E3">
        <w:rPr>
          <w:rStyle w:val="StyleUnderline"/>
          <w:sz w:val="12"/>
        </w:rPr>
        <w:t>¶</w:t>
      </w:r>
      <w:r w:rsidRPr="003A49E3">
        <w:rPr>
          <w:rStyle w:val="StyleUnderline"/>
        </w:rPr>
        <w:t xml:space="preserve"> for fellow democracies</w:t>
      </w:r>
      <w:r w:rsidRPr="003A49E3">
        <w:rPr>
          <w:sz w:val="16"/>
        </w:rPr>
        <w:t>. Democratic peace theorists will</w:t>
      </w:r>
      <w:r w:rsidRPr="003A49E3">
        <w:rPr>
          <w:sz w:val="12"/>
        </w:rPr>
        <w:t>¶</w:t>
      </w:r>
      <w:r w:rsidRPr="003A49E3">
        <w:rPr>
          <w:sz w:val="16"/>
        </w:rPr>
        <w:t xml:space="preserve"> respond that the logic holds, however, because these</w:t>
      </w:r>
      <w:r w:rsidRPr="003A49E3">
        <w:rPr>
          <w:sz w:val="12"/>
        </w:rPr>
        <w:t>¶</w:t>
      </w:r>
      <w:r w:rsidRPr="003A49E3">
        <w:rPr>
          <w:sz w:val="16"/>
        </w:rPr>
        <w:t xml:space="preserve"> ofﬁcials were restrained from using open and massive</w:t>
      </w:r>
      <w:r w:rsidRPr="003A49E3">
        <w:rPr>
          <w:sz w:val="12"/>
        </w:rPr>
        <w:t>¶</w:t>
      </w:r>
      <w:r w:rsidRPr="003A49E3">
        <w:rPr>
          <w:sz w:val="16"/>
        </w:rPr>
        <w:t xml:space="preserve"> force by the liberal attitudes of the mass public. This</w:t>
      </w:r>
      <w:r w:rsidRPr="003A49E3">
        <w:rPr>
          <w:sz w:val="12"/>
        </w:rPr>
        <w:t>¶</w:t>
      </w:r>
      <w:r w:rsidRPr="003A49E3">
        <w:rPr>
          <w:sz w:val="16"/>
        </w:rPr>
        <w:t xml:space="preserve"> is a debatable assertion; after all, ofﬁcials may have</w:t>
      </w:r>
      <w:r w:rsidRPr="003A49E3">
        <w:rPr>
          <w:sz w:val="12"/>
        </w:rPr>
        <w:t>¶</w:t>
      </w:r>
      <w:r w:rsidRPr="003A49E3">
        <w:rPr>
          <w:sz w:val="16"/>
        </w:rPr>
        <w:t xml:space="preserve"> opted for covert and limited force for a variety of reasons other than public opinion, such as operational</w:t>
      </w:r>
      <w:r w:rsidRPr="003A49E3">
        <w:rPr>
          <w:sz w:val="12"/>
        </w:rPr>
        <w:t>¶</w:t>
      </w:r>
      <w:r w:rsidRPr="003A49E3">
        <w:rPr>
          <w:sz w:val="16"/>
        </w:rPr>
        <w:t xml:space="preserve"> costs and the expected international reaction. Simply</w:t>
      </w:r>
      <w:r w:rsidRPr="003A49E3">
        <w:rPr>
          <w:sz w:val="12"/>
        </w:rPr>
        <w:t>¶</w:t>
      </w:r>
      <w:r w:rsidRPr="003A49E3">
        <w:rPr>
          <w:sz w:val="16"/>
        </w:rPr>
        <w:t xml:space="preserve"> because the use of force was covert and limited, this</w:t>
      </w:r>
      <w:r w:rsidRPr="003A49E3">
        <w:rPr>
          <w:sz w:val="12"/>
        </w:rPr>
        <w:t>¶</w:t>
      </w:r>
      <w:r w:rsidRPr="003A49E3">
        <w:rPr>
          <w:sz w:val="16"/>
        </w:rPr>
        <w:t xml:space="preserve"> does not mean that its nature was determined by public</w:t>
      </w:r>
      <w:r w:rsidRPr="003A49E3">
        <w:rPr>
          <w:sz w:val="12"/>
        </w:rPr>
        <w:t>¶</w:t>
      </w:r>
      <w:r w:rsidRPr="003A49E3">
        <w:rPr>
          <w:sz w:val="16"/>
        </w:rPr>
        <w:t xml:space="preserve"> opinion.</w:t>
      </w:r>
      <w:r w:rsidRPr="003A49E3">
        <w:rPr>
          <w:sz w:val="12"/>
        </w:rPr>
        <w:t>¶</w:t>
      </w:r>
      <w:r w:rsidRPr="003A49E3">
        <w:rPr>
          <w:sz w:val="16"/>
        </w:rPr>
        <w:t xml:space="preserve"> But </w:t>
      </w:r>
      <w:r w:rsidRPr="003A49E3">
        <w:rPr>
          <w:rStyle w:val="StyleUnderline"/>
        </w:rPr>
        <w:t>even if it is true that ofﬁcials adopted a covert</w:t>
      </w:r>
      <w:r w:rsidRPr="003A49E3">
        <w:rPr>
          <w:rStyle w:val="StyleUnderline"/>
          <w:sz w:val="12"/>
        </w:rPr>
        <w:t>¶</w:t>
      </w:r>
      <w:r w:rsidRPr="003A49E3">
        <w:rPr>
          <w:rStyle w:val="StyleUnderline"/>
        </w:rPr>
        <w:t xml:space="preserve"> policy to shield themselves from a potential public</w:t>
      </w:r>
      <w:r w:rsidRPr="003A49E3">
        <w:rPr>
          <w:rStyle w:val="StyleUnderline"/>
          <w:sz w:val="12"/>
        </w:rPr>
        <w:t>¶</w:t>
      </w:r>
      <w:r w:rsidRPr="003A49E3">
        <w:rPr>
          <w:rStyle w:val="StyleUnderline"/>
        </w:rPr>
        <w:t xml:space="preserve"> backlash, the logic still has a crucial weakness: The</w:t>
      </w:r>
      <w:r w:rsidRPr="003A49E3">
        <w:rPr>
          <w:rStyle w:val="StyleUnderline"/>
          <w:sz w:val="12"/>
        </w:rPr>
        <w:t>¶</w:t>
      </w:r>
      <w:r w:rsidRPr="003A49E3">
        <w:rPr>
          <w:rStyle w:val="StyleUnderline"/>
        </w:rPr>
        <w:t xml:space="preserve"> fact remains that the United States did not treat fellow</w:t>
      </w:r>
      <w:r w:rsidRPr="003A49E3">
        <w:rPr>
          <w:rStyle w:val="StyleUnderline"/>
          <w:sz w:val="12"/>
        </w:rPr>
        <w:t>¶</w:t>
      </w:r>
      <w:r w:rsidRPr="003A49E3">
        <w:rPr>
          <w:rStyle w:val="StyleUnderline"/>
        </w:rPr>
        <w:t xml:space="preserve"> democracies with trust or respect.</w:t>
      </w:r>
      <w:r w:rsidRPr="003A49E3">
        <w:rPr>
          <w:sz w:val="16"/>
        </w:rPr>
        <w:t xml:space="preserve"> Ultimately, the logic</w:t>
      </w:r>
      <w:r w:rsidRPr="003A49E3">
        <w:rPr>
          <w:sz w:val="12"/>
        </w:rPr>
        <w:t>¶</w:t>
      </w:r>
      <w:r w:rsidRPr="003A49E3">
        <w:rPr>
          <w:sz w:val="16"/>
        </w:rPr>
        <w:t xml:space="preserve"> stands or falls by its predictive power, that is, whether</w:t>
      </w:r>
      <w:r w:rsidRPr="003A49E3">
        <w:rPr>
          <w:sz w:val="12"/>
        </w:rPr>
        <w:t>¶</w:t>
      </w:r>
      <w:r w:rsidRPr="003A49E3">
        <w:rPr>
          <w:sz w:val="16"/>
        </w:rPr>
        <w:t xml:space="preserve"> democracies treat each other with respect. If they do,</w:t>
      </w:r>
      <w:r w:rsidRPr="003A49E3">
        <w:rPr>
          <w:sz w:val="12"/>
        </w:rPr>
        <w:t>¶</w:t>
      </w:r>
      <w:r w:rsidRPr="003A49E3">
        <w:rPr>
          <w:sz w:val="16"/>
        </w:rPr>
        <w:t xml:space="preserve"> it is powerful; if they do not, it is weakened. It does not</w:t>
      </w:r>
      <w:r w:rsidRPr="003A49E3">
        <w:rPr>
          <w:sz w:val="12"/>
        </w:rPr>
        <w:t>¶</w:t>
      </w:r>
      <w:r w:rsidRPr="003A49E3">
        <w:rPr>
          <w:sz w:val="16"/>
        </w:rPr>
        <w:t xml:space="preserve"> matter why they do not treat each other with respect,</w:t>
      </w:r>
      <w:r w:rsidRPr="003A49E3">
        <w:rPr>
          <w:sz w:val="12"/>
        </w:rPr>
        <w:t>¶</w:t>
      </w:r>
      <w:r w:rsidRPr="003A49E3">
        <w:rPr>
          <w:sz w:val="16"/>
        </w:rPr>
        <w:t xml:space="preserve"> nor does it matter if some or all of the population wants</w:t>
      </w:r>
      <w:r w:rsidRPr="003A49E3">
        <w:rPr>
          <w:sz w:val="12"/>
        </w:rPr>
        <w:t>¶</w:t>
      </w:r>
      <w:r w:rsidRPr="003A49E3">
        <w:rPr>
          <w:sz w:val="16"/>
        </w:rPr>
        <w:t xml:space="preserve"> to treat the other state with respect; all that matters</w:t>
      </w:r>
      <w:r w:rsidRPr="003A49E3">
        <w:rPr>
          <w:sz w:val="12"/>
        </w:rPr>
        <w:t>¶</w:t>
      </w:r>
      <w:r w:rsidRPr="003A49E3">
        <w:rPr>
          <w:sz w:val="16"/>
        </w:rPr>
        <w:t xml:space="preserve"> is whether respect is extended. To put it another way,</w:t>
      </w:r>
      <w:r w:rsidRPr="003A49E3">
        <w:rPr>
          <w:sz w:val="12"/>
        </w:rPr>
        <w:t>¶</w:t>
      </w:r>
      <w:r w:rsidRPr="003A49E3">
        <w:rPr>
          <w:sz w:val="16"/>
        </w:rPr>
        <w:t xml:space="preserve"> we can come up with several reasons to explain why</w:t>
      </w:r>
      <w:r w:rsidRPr="003A49E3">
        <w:rPr>
          <w:sz w:val="12"/>
        </w:rPr>
        <w:t>¶</w:t>
      </w:r>
      <w:r w:rsidRPr="003A49E3">
        <w:rPr>
          <w:sz w:val="16"/>
        </w:rPr>
        <w:t xml:space="preserve"> respect is not extended, and we can always ﬁnd social</w:t>
      </w:r>
      <w:r w:rsidRPr="003A49E3">
        <w:rPr>
          <w:sz w:val="12"/>
        </w:rPr>
        <w:t>¶</w:t>
      </w:r>
      <w:r w:rsidRPr="003A49E3">
        <w:rPr>
          <w:sz w:val="16"/>
        </w:rPr>
        <w:t xml:space="preserve"> groups that oppose the use of military force against</w:t>
      </w:r>
      <w:r w:rsidRPr="003A49E3">
        <w:rPr>
          <w:sz w:val="12"/>
        </w:rPr>
        <w:t>¶</w:t>
      </w:r>
      <w:r w:rsidRPr="003A49E3">
        <w:rPr>
          <w:sz w:val="16"/>
        </w:rPr>
        <w:t xml:space="preserve"> another democracy, but whenever we ﬁnd several examples of a democracy using military force against</w:t>
      </w:r>
      <w:r w:rsidRPr="003A49E3">
        <w:rPr>
          <w:sz w:val="12"/>
        </w:rPr>
        <w:t>¶</w:t>
      </w:r>
      <w:r w:rsidRPr="003A49E3">
        <w:rPr>
          <w:sz w:val="16"/>
        </w:rPr>
        <w:t xml:space="preserve"> other democracies, the trust and respect mechanism,</w:t>
      </w:r>
      <w:r w:rsidRPr="003A49E3">
        <w:rPr>
          <w:sz w:val="12"/>
        </w:rPr>
        <w:t>¶</w:t>
      </w:r>
      <w:r w:rsidRPr="003A49E3">
        <w:rPr>
          <w:sz w:val="16"/>
        </w:rPr>
        <w:t xml:space="preserve"> and therefore the normative logic, fails an important</w:t>
      </w:r>
      <w:r w:rsidRPr="003A49E3">
        <w:rPr>
          <w:sz w:val="12"/>
        </w:rPr>
        <w:t>¶</w:t>
      </w:r>
      <w:r w:rsidRPr="003A49E3">
        <w:rPr>
          <w:sz w:val="16"/>
        </w:rPr>
        <w:t xml:space="preserve"> test.6</w:t>
      </w:r>
      <w:r w:rsidRPr="003A49E3">
        <w:rPr>
          <w:sz w:val="12"/>
        </w:rPr>
        <w:t>¶</w:t>
      </w:r>
      <w:r w:rsidRPr="003A49E3">
        <w:rPr>
          <w:sz w:val="16"/>
        </w:rPr>
        <w:t xml:space="preserve"> Great Powers. </w:t>
      </w:r>
      <w:r w:rsidRPr="00E55230">
        <w:rPr>
          <w:rStyle w:val="StyleUnderline"/>
        </w:rPr>
        <w:t>Layne</w:t>
      </w:r>
      <w:r w:rsidRPr="003A49E3">
        <w:rPr>
          <w:rStyle w:val="StyleUnderline"/>
        </w:rPr>
        <w:t xml:space="preserve"> (1994) </w:t>
      </w:r>
      <w:r w:rsidRPr="00E55230">
        <w:rPr>
          <w:rStyle w:val="StyleUnderline"/>
        </w:rPr>
        <w:t>and Rock</w:t>
      </w:r>
      <w:r w:rsidRPr="003A49E3">
        <w:rPr>
          <w:rStyle w:val="StyleUnderline"/>
        </w:rPr>
        <w:t xml:space="preserve"> (1997) </w:t>
      </w:r>
      <w:r w:rsidRPr="00E55230">
        <w:rPr>
          <w:rStyle w:val="StyleUnderline"/>
        </w:rPr>
        <w:t>have</w:t>
      </w:r>
      <w:r w:rsidRPr="00E55230">
        <w:rPr>
          <w:rStyle w:val="StyleUnderline"/>
          <w:sz w:val="12"/>
        </w:rPr>
        <w:t>¶</w:t>
      </w:r>
      <w:r w:rsidRPr="00E55230">
        <w:rPr>
          <w:rStyle w:val="StyleUnderline"/>
        </w:rPr>
        <w:t xml:space="preserve"> found further evidence that democracies do not treat</w:t>
      </w:r>
      <w:r w:rsidRPr="00E55230">
        <w:rPr>
          <w:rStyle w:val="StyleUnderline"/>
          <w:sz w:val="12"/>
        </w:rPr>
        <w:t>¶</w:t>
      </w:r>
      <w:r w:rsidRPr="00E55230">
        <w:rPr>
          <w:rStyle w:val="StyleUnderline"/>
        </w:rPr>
        <w:t xml:space="preserve"> each other with trust</w:t>
      </w:r>
      <w:r w:rsidRPr="003A49E3">
        <w:rPr>
          <w:rStyle w:val="StyleUnderline"/>
        </w:rPr>
        <w:t xml:space="preserve"> and respect </w:t>
      </w:r>
      <w:r w:rsidRPr="00E55230">
        <w:rPr>
          <w:rStyle w:val="StyleUnderline"/>
        </w:rPr>
        <w:t>in their analyses of</w:t>
      </w:r>
      <w:r w:rsidRPr="00E55230">
        <w:rPr>
          <w:rStyle w:val="StyleUnderline"/>
          <w:sz w:val="12"/>
        </w:rPr>
        <w:t>¶</w:t>
      </w:r>
      <w:r w:rsidRPr="00E55230">
        <w:rPr>
          <w:rStyle w:val="StyleUnderline"/>
        </w:rPr>
        <w:t xml:space="preserve"> diplomatic crises</w:t>
      </w:r>
      <w:r w:rsidRPr="003A49E3">
        <w:rPr>
          <w:rStyle w:val="StyleUnderline"/>
        </w:rPr>
        <w:t xml:space="preserve"> involving Britain, France, Germany,</w:t>
      </w:r>
      <w:r w:rsidRPr="003A49E3">
        <w:rPr>
          <w:rStyle w:val="StyleUnderline"/>
          <w:sz w:val="12"/>
        </w:rPr>
        <w:t>¶</w:t>
      </w:r>
      <w:r w:rsidRPr="003A49E3">
        <w:rPr>
          <w:rStyle w:val="StyleUnderline"/>
        </w:rPr>
        <w:t xml:space="preserve"> and the United States. Layne examines four prominent</w:t>
      </w:r>
      <w:r w:rsidRPr="003A49E3">
        <w:rPr>
          <w:rStyle w:val="StyleUnderline"/>
          <w:sz w:val="12"/>
        </w:rPr>
        <w:t>¶</w:t>
      </w:r>
      <w:r w:rsidRPr="003A49E3">
        <w:rPr>
          <w:rStyle w:val="StyleUnderline"/>
        </w:rPr>
        <w:t xml:space="preserve"> cases in which rival democracies almost went to war</w:t>
      </w:r>
      <w:r w:rsidRPr="003A49E3">
        <w:rPr>
          <w:rStyle w:val="StyleUnderline"/>
          <w:sz w:val="12"/>
        </w:rPr>
        <w:t>¶</w:t>
      </w:r>
      <w:r w:rsidRPr="003A49E3">
        <w:rPr>
          <w:rStyle w:val="StyleUnderline"/>
        </w:rPr>
        <w:t xml:space="preserve"> with one another</w:t>
      </w:r>
      <w:r w:rsidRPr="003A49E3">
        <w:rPr>
          <w:sz w:val="16"/>
        </w:rPr>
        <w:t xml:space="preserve"> and asks whether the crises were resolved because of mutual trust and respect. </w:t>
      </w:r>
      <w:r w:rsidRPr="003A49E3">
        <w:rPr>
          <w:rStyle w:val="StyleUnderline"/>
        </w:rPr>
        <w:t>His conclusion offers scant support for the normative logic:</w:t>
      </w:r>
      <w:r w:rsidRPr="003A49E3">
        <w:rPr>
          <w:rStyle w:val="StyleUnderline"/>
          <w:sz w:val="12"/>
        </w:rPr>
        <w:t>¶</w:t>
      </w:r>
      <w:r w:rsidRPr="003A49E3">
        <w:rPr>
          <w:rStyle w:val="StyleUnderline"/>
        </w:rPr>
        <w:t xml:space="preserve"> “</w:t>
      </w:r>
      <w:r w:rsidRPr="00E55230">
        <w:rPr>
          <w:rStyle w:val="StyleUnderline"/>
        </w:rPr>
        <w:t>In each of these crises, at least one of the democratic</w:t>
      </w:r>
      <w:r w:rsidRPr="00E55230">
        <w:rPr>
          <w:rStyle w:val="StyleUnderline"/>
          <w:sz w:val="12"/>
        </w:rPr>
        <w:t>¶</w:t>
      </w:r>
      <w:r w:rsidRPr="00E55230">
        <w:rPr>
          <w:rStyle w:val="StyleUnderline"/>
        </w:rPr>
        <w:t xml:space="preserve"> states involved was prepared to go to war. ... In each</w:t>
      </w:r>
      <w:r w:rsidRPr="00E55230">
        <w:rPr>
          <w:rStyle w:val="StyleUnderline"/>
          <w:sz w:val="12"/>
        </w:rPr>
        <w:t>¶</w:t>
      </w:r>
      <w:r w:rsidRPr="00E55230">
        <w:rPr>
          <w:rStyle w:val="StyleUnderline"/>
        </w:rPr>
        <w:t xml:space="preserve"> of the four crises, war was</w:t>
      </w:r>
      <w:r w:rsidRPr="003A49E3">
        <w:rPr>
          <w:rStyle w:val="StyleUnderline"/>
        </w:rPr>
        <w:t xml:space="preserve"> </w:t>
      </w:r>
      <w:r w:rsidRPr="00E55230">
        <w:rPr>
          <w:rStyle w:val="StyleUnderline"/>
        </w:rPr>
        <w:t>avoided</w:t>
      </w:r>
      <w:r w:rsidRPr="003A49E3">
        <w:rPr>
          <w:rStyle w:val="StyleUnderline"/>
        </w:rPr>
        <w:t xml:space="preserve"> not because of the</w:t>
      </w:r>
      <w:r w:rsidRPr="003A49E3">
        <w:rPr>
          <w:rStyle w:val="StyleUnderline"/>
          <w:sz w:val="12"/>
        </w:rPr>
        <w:t>¶</w:t>
      </w:r>
      <w:r w:rsidRPr="003A49E3">
        <w:rPr>
          <w:rStyle w:val="StyleUnderline"/>
        </w:rPr>
        <w:t xml:space="preserve"> ‘live and let live’spirit of peaceful dispute resolution at</w:t>
      </w:r>
      <w:r w:rsidRPr="003A49E3">
        <w:rPr>
          <w:rStyle w:val="StyleUnderline"/>
          <w:sz w:val="12"/>
        </w:rPr>
        <w:t>¶</w:t>
      </w:r>
      <w:r w:rsidRPr="003A49E3">
        <w:rPr>
          <w:rStyle w:val="StyleUnderline"/>
        </w:rPr>
        <w:t xml:space="preserve"> democratic peace theory’s core, but </w:t>
      </w:r>
      <w:r w:rsidRPr="00E55230">
        <w:rPr>
          <w:rStyle w:val="StyleUnderline"/>
        </w:rPr>
        <w:t>because of realist</w:t>
      </w:r>
      <w:r w:rsidRPr="00E55230">
        <w:rPr>
          <w:rStyle w:val="StyleUnderline"/>
          <w:sz w:val="12"/>
        </w:rPr>
        <w:t>¶</w:t>
      </w:r>
      <w:r w:rsidRPr="00E55230">
        <w:rPr>
          <w:rStyle w:val="StyleUnderline"/>
        </w:rPr>
        <w:t xml:space="preserve"> factors</w:t>
      </w:r>
      <w:r w:rsidRPr="003A49E3">
        <w:rPr>
          <w:rStyle w:val="StyleUnderline"/>
        </w:rPr>
        <w:t xml:space="preserve">” </w:t>
      </w:r>
      <w:r w:rsidRPr="003A49E3">
        <w:rPr>
          <w:sz w:val="16"/>
        </w:rPr>
        <w:t>(Layne 1994, 38).7</w:t>
      </w:r>
      <w:r w:rsidRPr="003A49E3">
        <w:rPr>
          <w:sz w:val="12"/>
        </w:rPr>
        <w:t>¶</w:t>
      </w:r>
      <w:r w:rsidRPr="003A49E3">
        <w:rPr>
          <w:sz w:val="16"/>
        </w:rPr>
        <w:t xml:space="preserve"> Similarly, </w:t>
      </w:r>
      <w:r w:rsidRPr="00E55230">
        <w:rPr>
          <w:rStyle w:val="StyleUnderline"/>
        </w:rPr>
        <w:t>Rock ﬁnds little evidence that shared liberal values helped resolve any of the crises</w:t>
      </w:r>
      <w:r w:rsidRPr="003A49E3">
        <w:rPr>
          <w:rStyle w:val="StyleUnderline"/>
        </w:rPr>
        <w:t xml:space="preserve"> </w:t>
      </w:r>
      <w:r w:rsidRPr="003A49E3">
        <w:rPr>
          <w:sz w:val="16"/>
        </w:rPr>
        <w:t>between</w:t>
      </w:r>
      <w:r w:rsidRPr="003A49E3">
        <w:rPr>
          <w:sz w:val="12"/>
        </w:rPr>
        <w:t>¶</w:t>
      </w:r>
      <w:r w:rsidRPr="003A49E3">
        <w:rPr>
          <w:sz w:val="16"/>
        </w:rPr>
        <w:t xml:space="preserve"> Britain and the United States in the nineteenth century. In addition, his analyses of the turn-of-the-century</w:t>
      </w:r>
      <w:r w:rsidRPr="003A49E3">
        <w:rPr>
          <w:sz w:val="12"/>
        </w:rPr>
        <w:t>¶</w:t>
      </w:r>
      <w:r w:rsidRPr="003A49E3">
        <w:rPr>
          <w:sz w:val="16"/>
        </w:rPr>
        <w:t xml:space="preserve"> “great rapprochement” and naval arms control during</w:t>
      </w:r>
      <w:r w:rsidRPr="003A49E3">
        <w:rPr>
          <w:sz w:val="12"/>
        </w:rPr>
        <w:t>¶</w:t>
      </w:r>
      <w:r w:rsidRPr="003A49E3">
        <w:rPr>
          <w:sz w:val="16"/>
        </w:rPr>
        <w:t xml:space="preserve"> the 1920s show that even in cases where liberal states resolved potentially divisive issues in a spirit of accommodation, shared liberal values had only a limited effect.</w:t>
      </w:r>
      <w:r w:rsidRPr="003A49E3">
        <w:rPr>
          <w:sz w:val="12"/>
        </w:rPr>
        <w:t>¶</w:t>
      </w:r>
      <w:r w:rsidRPr="003A49E3">
        <w:rPr>
          <w:sz w:val="16"/>
        </w:rPr>
        <w:t xml:space="preserve"> </w:t>
      </w:r>
      <w:r w:rsidRPr="003A49E3">
        <w:rPr>
          <w:rStyle w:val="StyleUnderline"/>
        </w:rPr>
        <w:t>In both cases peace was overdetermined and “liberal</w:t>
      </w:r>
      <w:r w:rsidRPr="003A49E3">
        <w:rPr>
          <w:rStyle w:val="StyleUnderline"/>
          <w:sz w:val="12"/>
        </w:rPr>
        <w:t>¶</w:t>
      </w:r>
      <w:r w:rsidRPr="003A49E3">
        <w:rPr>
          <w:rStyle w:val="StyleUnderline"/>
        </w:rPr>
        <w:t xml:space="preserve"> values and </w:t>
      </w:r>
      <w:r w:rsidRPr="00E55230">
        <w:rPr>
          <w:rStyle w:val="StyleUnderline"/>
        </w:rPr>
        <w:t>democratic institutions were not the only</w:t>
      </w:r>
      <w:r w:rsidRPr="00E55230">
        <w:rPr>
          <w:rStyle w:val="StyleUnderline"/>
          <w:sz w:val="12"/>
        </w:rPr>
        <w:t>¶</w:t>
      </w:r>
      <w:r w:rsidRPr="00E55230">
        <w:rPr>
          <w:rStyle w:val="StyleUnderline"/>
        </w:rPr>
        <w:t xml:space="preserve"> factors inclining</w:t>
      </w:r>
      <w:r w:rsidRPr="003A49E3">
        <w:rPr>
          <w:rStyle w:val="StyleUnderline"/>
        </w:rPr>
        <w:t xml:space="preserve"> Britain and the United States </w:t>
      </w:r>
      <w:r w:rsidRPr="00E55230">
        <w:rPr>
          <w:rStyle w:val="StyleUnderline"/>
        </w:rPr>
        <w:t>toward</w:t>
      </w:r>
      <w:r w:rsidRPr="00E55230">
        <w:rPr>
          <w:rStyle w:val="StyleUnderline"/>
          <w:sz w:val="12"/>
        </w:rPr>
        <w:t>¶</w:t>
      </w:r>
      <w:r w:rsidRPr="00E55230">
        <w:rPr>
          <w:rStyle w:val="StyleUnderline"/>
        </w:rPr>
        <w:t xml:space="preserve"> peace, and</w:t>
      </w:r>
      <w:r w:rsidRPr="003A49E3">
        <w:rPr>
          <w:rStyle w:val="StyleUnderline"/>
        </w:rPr>
        <w:t xml:space="preserve"> perhaps </w:t>
      </w:r>
      <w:r w:rsidRPr="00E55230">
        <w:rPr>
          <w:rStyle w:val="StyleUnderline"/>
        </w:rPr>
        <w:t>not even the dominant ones”</w:t>
      </w:r>
      <w:r w:rsidRPr="003A49E3">
        <w:rPr>
          <w:sz w:val="16"/>
        </w:rPr>
        <w:t>(Rock</w:t>
      </w:r>
      <w:r w:rsidRPr="003A49E3">
        <w:rPr>
          <w:sz w:val="12"/>
        </w:rPr>
        <w:t>¶</w:t>
      </w:r>
      <w:r w:rsidRPr="003A49E3">
        <w:rPr>
          <w:sz w:val="16"/>
        </w:rPr>
        <w:t xml:space="preserve"> 1997, 146).8</w:t>
      </w:r>
      <w:r w:rsidRPr="003A49E3">
        <w:rPr>
          <w:sz w:val="12"/>
        </w:rPr>
        <w:t>¶</w:t>
      </w:r>
      <w:r w:rsidRPr="003A49E3">
        <w:rPr>
          <w:sz w:val="16"/>
        </w:rPr>
        <w:t xml:space="preserve"> In sum, the trust and respect mechanism does not</w:t>
      </w:r>
      <w:r w:rsidRPr="003A49E3">
        <w:rPr>
          <w:sz w:val="12"/>
        </w:rPr>
        <w:t>¶</w:t>
      </w:r>
      <w:r w:rsidRPr="003A49E3">
        <w:rPr>
          <w:sz w:val="16"/>
        </w:rPr>
        <w:t xml:space="preserve"> appear to work as speciﬁed. </w:t>
      </w:r>
      <w:r w:rsidRPr="003A49E3">
        <w:rPr>
          <w:rStyle w:val="StyleUnderline"/>
        </w:rPr>
        <w:t>Shared democratic values</w:t>
      </w:r>
      <w:r w:rsidRPr="003A49E3">
        <w:rPr>
          <w:rStyle w:val="StyleUnderline"/>
          <w:sz w:val="12"/>
        </w:rPr>
        <w:t>¶</w:t>
      </w:r>
      <w:r w:rsidRPr="003A49E3">
        <w:rPr>
          <w:rStyle w:val="StyleUnderline"/>
        </w:rPr>
        <w:t xml:space="preserve"> provide no guarantee that states will both trust and</w:t>
      </w:r>
      <w:r w:rsidRPr="003A49E3">
        <w:rPr>
          <w:rStyle w:val="StyleUnderline"/>
          <w:sz w:val="12"/>
        </w:rPr>
        <w:t>¶</w:t>
      </w:r>
      <w:r w:rsidRPr="003A49E3">
        <w:rPr>
          <w:rStyle w:val="StyleUnderline"/>
        </w:rPr>
        <w:t xml:space="preserve"> respect one another</w:t>
      </w:r>
      <w:r w:rsidRPr="003A49E3">
        <w:rPr>
          <w:sz w:val="16"/>
        </w:rPr>
        <w:t xml:space="preserve">. Instead, and contrary to the normative logic’s claims, </w:t>
      </w:r>
      <w:r w:rsidRPr="00E55230">
        <w:rPr>
          <w:rStyle w:val="StyleUnderline"/>
        </w:rPr>
        <w:t>when serious conﬂicts of interest</w:t>
      </w:r>
      <w:r w:rsidRPr="00E55230">
        <w:rPr>
          <w:rStyle w:val="StyleUnderline"/>
          <w:sz w:val="12"/>
        </w:rPr>
        <w:t>¶</w:t>
      </w:r>
      <w:r w:rsidRPr="00E55230">
        <w:rPr>
          <w:rStyle w:val="StyleUnderline"/>
        </w:rPr>
        <w:t xml:space="preserve"> arise between democracies there is little evidence that</w:t>
      </w:r>
      <w:r w:rsidRPr="00E55230">
        <w:rPr>
          <w:rStyle w:val="StyleUnderline"/>
          <w:sz w:val="12"/>
        </w:rPr>
        <w:t>¶</w:t>
      </w:r>
      <w:r w:rsidRPr="00E55230">
        <w:rPr>
          <w:rStyle w:val="StyleUnderline"/>
        </w:rPr>
        <w:t xml:space="preserve"> they will be inclined to accommodate each other’s demands or refrain from engaging in hard line policies.</w:t>
      </w:r>
    </w:p>
    <w:p w:rsidR="000C7A59" w:rsidRPr="003A49E3" w:rsidRDefault="000C7A59" w:rsidP="000C7A59"/>
    <w:p w:rsidR="000C7A59" w:rsidRDefault="000C7A59" w:rsidP="000C7A59">
      <w:pPr>
        <w:pStyle w:val="Heading2"/>
      </w:pPr>
      <w:r w:rsidRPr="003A49E3">
        <w:t>Case – Disruptive Federalism</w:t>
      </w:r>
    </w:p>
    <w:p w:rsidR="000C7A59" w:rsidRDefault="000C7A59" w:rsidP="000C7A59">
      <w:pPr>
        <w:pStyle w:val="Heading3"/>
      </w:pPr>
      <w:r>
        <w:t>AT: Econ – No Impact</w:t>
      </w:r>
    </w:p>
    <w:p w:rsidR="000C7A59" w:rsidRPr="00CB66F4" w:rsidRDefault="000C7A59" w:rsidP="000C7A59">
      <w:pPr>
        <w:pStyle w:val="Heading4"/>
      </w:pPr>
      <w:r>
        <w:t>Economic downturns don’t cause conflict---stats prove</w:t>
      </w:r>
    </w:p>
    <w:p w:rsidR="000C7A59" w:rsidRDefault="000C7A59" w:rsidP="000C7A59">
      <w:r>
        <w:t xml:space="preserve">Christopher </w:t>
      </w:r>
      <w:r w:rsidRPr="00E34FB6">
        <w:rPr>
          <w:rStyle w:val="Style13ptBold"/>
        </w:rPr>
        <w:t>Clary 15</w:t>
      </w:r>
      <w:r>
        <w:t>, Ph.D. in Political Science from MIT, Postdoctoral Fellow, Watson Institute for International Studies, Brown University, “Economic Stress and International Cooperation: Evidence from International Rivalries,” April 22, 2015, http://papers.ssrn.com/sol3/papers.cfm?abstract_id=2597712</w:t>
      </w:r>
    </w:p>
    <w:p w:rsidR="000C7A59" w:rsidRDefault="000C7A59" w:rsidP="000C7A59">
      <w:pPr>
        <w:rPr>
          <w:sz w:val="14"/>
        </w:rPr>
      </w:pPr>
      <w:r w:rsidRPr="00E55230">
        <w:rPr>
          <w:rStyle w:val="StyleUnderline"/>
        </w:rPr>
        <w:t>Do economic downturns generate</w:t>
      </w:r>
      <w:r w:rsidRPr="00E34FB6">
        <w:rPr>
          <w:rStyle w:val="StyleUnderline"/>
        </w:rPr>
        <w:t xml:space="preserve"> pressure for diversionary </w:t>
      </w:r>
      <w:r w:rsidRPr="00E55230">
        <w:rPr>
          <w:rStyle w:val="StyleUnderline"/>
        </w:rPr>
        <w:t>conflict?</w:t>
      </w:r>
      <w:r w:rsidRPr="00E34FB6">
        <w:rPr>
          <w:sz w:val="14"/>
        </w:rPr>
        <w:t xml:space="preserve"> Or might downturns encourage austerity and economizing behavior in foreign policy? </w:t>
      </w:r>
      <w:r w:rsidRPr="00E34FB6">
        <w:rPr>
          <w:rStyle w:val="StyleUnderline"/>
        </w:rPr>
        <w:t xml:space="preserve">This paper provides new evidence that </w:t>
      </w:r>
      <w:r w:rsidRPr="00E55230">
        <w:rPr>
          <w:rStyle w:val="StyleUnderline"/>
        </w:rPr>
        <w:t xml:space="preserve">economic stress is associated with </w:t>
      </w:r>
      <w:r w:rsidRPr="00E55230">
        <w:rPr>
          <w:rStyle w:val="Emphasis"/>
        </w:rPr>
        <w:t>conciliatory policies</w:t>
      </w:r>
      <w:r w:rsidRPr="00E34FB6">
        <w:rPr>
          <w:rStyle w:val="Emphasis"/>
        </w:rPr>
        <w:t xml:space="preserve"> between strategic rivals.</w:t>
      </w:r>
      <w:r w:rsidRPr="00E34FB6">
        <w:rPr>
          <w:sz w:val="14"/>
        </w:rPr>
        <w:t xml:space="preserve"> For states that view each other as military threats, the biggest step possible toward bilateral cooperation is to terminate the rivalry by taking political steps to manage the competition. </w:t>
      </w:r>
      <w:r w:rsidRPr="00E55230">
        <w:rPr>
          <w:rStyle w:val="StyleUnderline"/>
        </w:rPr>
        <w:t xml:space="preserve">Drawing on data from </w:t>
      </w:r>
      <w:r w:rsidRPr="00E55230">
        <w:rPr>
          <w:rStyle w:val="Emphasis"/>
        </w:rPr>
        <w:t>109 distinct rival dyads</w:t>
      </w:r>
      <w:r w:rsidRPr="00E34FB6">
        <w:rPr>
          <w:rStyle w:val="StyleUnderline"/>
        </w:rPr>
        <w:t xml:space="preserve"> since 1950, </w:t>
      </w:r>
      <w:r w:rsidRPr="00E55230">
        <w:rPr>
          <w:rStyle w:val="Emphasis"/>
        </w:rPr>
        <w:t>67 of which terminated,</w:t>
      </w:r>
      <w:r w:rsidRPr="00E34FB6">
        <w:rPr>
          <w:rStyle w:val="StyleUnderline"/>
        </w:rPr>
        <w:t xml:space="preserve"> the </w:t>
      </w:r>
      <w:r w:rsidRPr="00E55230">
        <w:rPr>
          <w:rStyle w:val="StyleUnderline"/>
        </w:rPr>
        <w:t>evidence suggests rivalries were</w:t>
      </w:r>
      <w:r w:rsidRPr="00E34FB6">
        <w:rPr>
          <w:rStyle w:val="StyleUnderline"/>
        </w:rPr>
        <w:t xml:space="preserve"> approximately </w:t>
      </w:r>
      <w:r w:rsidRPr="00E55230">
        <w:rPr>
          <w:rStyle w:val="Emphasis"/>
        </w:rPr>
        <w:t xml:space="preserve">twice as likely to terminate during </w:t>
      </w:r>
      <w:r w:rsidRPr="00CB66F4">
        <w:rPr>
          <w:rStyle w:val="Emphasis"/>
        </w:rPr>
        <w:t xml:space="preserve">economic </w:t>
      </w:r>
      <w:r w:rsidRPr="00E55230">
        <w:rPr>
          <w:rStyle w:val="Emphasis"/>
        </w:rPr>
        <w:t>downturns</w:t>
      </w:r>
      <w:r w:rsidRPr="00E34FB6">
        <w:rPr>
          <w:sz w:val="14"/>
        </w:rPr>
        <w:t xml:space="preserve"> than they were during periods of economic normalcy. </w:t>
      </w:r>
      <w:r w:rsidRPr="00E34FB6">
        <w:rPr>
          <w:rStyle w:val="StyleUnderline"/>
        </w:rPr>
        <w:t xml:space="preserve">This is true </w:t>
      </w:r>
      <w:r w:rsidRPr="00E55230">
        <w:rPr>
          <w:rStyle w:val="StyleUnderline"/>
        </w:rPr>
        <w:t xml:space="preserve">controlling for </w:t>
      </w:r>
      <w:r w:rsidRPr="00E55230">
        <w:rPr>
          <w:rStyle w:val="Emphasis"/>
        </w:rPr>
        <w:t xml:space="preserve">all </w:t>
      </w:r>
      <w:r w:rsidRPr="00CB66F4">
        <w:rPr>
          <w:rStyle w:val="Emphasis"/>
        </w:rPr>
        <w:t xml:space="preserve">of the </w:t>
      </w:r>
      <w:r w:rsidRPr="00E55230">
        <w:rPr>
          <w:rStyle w:val="Emphasis"/>
        </w:rPr>
        <w:t>main alternative explanations for peaceful relations</w:t>
      </w:r>
      <w:r w:rsidRPr="00E34FB6">
        <w:rPr>
          <w:rStyle w:val="Emphasis"/>
        </w:rPr>
        <w:t xml:space="preserve"> between foes</w:t>
      </w:r>
      <w:r w:rsidRPr="00E34FB6">
        <w:rPr>
          <w:sz w:val="14"/>
        </w:rPr>
        <w:t xml:space="preserve"> (democratic status, nuclear weapons possession, capability imbalance, common enemies, and international </w:t>
      </w:r>
      <w:r w:rsidRPr="00E55230">
        <w:rPr>
          <w:rStyle w:val="Emphasis"/>
        </w:rPr>
        <w:t>systemic changes),</w:t>
      </w:r>
      <w:r w:rsidRPr="00E34FB6">
        <w:rPr>
          <w:sz w:val="14"/>
        </w:rPr>
        <w:t xml:space="preserve"> </w:t>
      </w:r>
      <w:r w:rsidRPr="00E55230">
        <w:rPr>
          <w:rStyle w:val="StyleUnderline"/>
        </w:rPr>
        <w:t xml:space="preserve">as well as </w:t>
      </w:r>
      <w:r w:rsidRPr="00CB66F4">
        <w:rPr>
          <w:rStyle w:val="Emphasis"/>
        </w:rPr>
        <w:t>many</w:t>
      </w:r>
      <w:r w:rsidRPr="00E34FB6">
        <w:rPr>
          <w:rStyle w:val="StyleUnderline"/>
        </w:rPr>
        <w:t xml:space="preserve"> </w:t>
      </w:r>
      <w:r w:rsidRPr="00E55230">
        <w:rPr>
          <w:rStyle w:val="Emphasis"/>
        </w:rPr>
        <w:t>other</w:t>
      </w:r>
      <w:r w:rsidRPr="00E34FB6">
        <w:rPr>
          <w:rStyle w:val="StyleUnderline"/>
        </w:rPr>
        <w:t xml:space="preserve"> possible </w:t>
      </w:r>
      <w:r w:rsidRPr="00E55230">
        <w:rPr>
          <w:rStyle w:val="Emphasis"/>
        </w:rPr>
        <w:t>confounding variables</w:t>
      </w:r>
      <w:r w:rsidRPr="00E55230">
        <w:rPr>
          <w:rStyle w:val="StyleUnderline"/>
        </w:rPr>
        <w:t>. This</w:t>
      </w:r>
      <w:r w:rsidRPr="00E34FB6">
        <w:rPr>
          <w:sz w:val="14"/>
        </w:rPr>
        <w:t xml:space="preserve"> research </w:t>
      </w:r>
      <w:r w:rsidRPr="00E55230">
        <w:rPr>
          <w:rStyle w:val="Emphasis"/>
        </w:rPr>
        <w:t>questions existing theories</w:t>
      </w:r>
      <w:r w:rsidRPr="00E55230">
        <w:rPr>
          <w:sz w:val="14"/>
        </w:rPr>
        <w:t xml:space="preserve"> </w:t>
      </w:r>
      <w:r w:rsidRPr="00E55230">
        <w:rPr>
          <w:rStyle w:val="StyleUnderline"/>
        </w:rPr>
        <w:t>claiming</w:t>
      </w:r>
      <w:r w:rsidRPr="00E34FB6">
        <w:rPr>
          <w:sz w:val="14"/>
        </w:rPr>
        <w:t xml:space="preserve"> that </w:t>
      </w:r>
      <w:r w:rsidRPr="00E34FB6">
        <w:rPr>
          <w:rStyle w:val="StyleUnderline"/>
        </w:rPr>
        <w:t xml:space="preserve">economic </w:t>
      </w:r>
      <w:r w:rsidRPr="00E55230">
        <w:rPr>
          <w:rStyle w:val="StyleUnderline"/>
        </w:rPr>
        <w:t xml:space="preserve">downturns are associated with </w:t>
      </w:r>
      <w:r w:rsidRPr="00E55230">
        <w:rPr>
          <w:rStyle w:val="Emphasis"/>
        </w:rPr>
        <w:t>diversionary war</w:t>
      </w:r>
      <w:r w:rsidRPr="00E55230">
        <w:rPr>
          <w:rStyle w:val="StyleUnderline"/>
        </w:rPr>
        <w:t>, and</w:t>
      </w:r>
      <w:r w:rsidRPr="00E34FB6">
        <w:rPr>
          <w:rStyle w:val="StyleUnderline"/>
        </w:rPr>
        <w:t xml:space="preserve"> instead </w:t>
      </w:r>
      <w:r w:rsidRPr="00E55230">
        <w:rPr>
          <w:rStyle w:val="StyleUnderline"/>
        </w:rPr>
        <w:t>argues</w:t>
      </w:r>
      <w:r w:rsidRPr="00E34FB6">
        <w:rPr>
          <w:sz w:val="14"/>
        </w:rPr>
        <w:t xml:space="preserve"> that in certain circumstances </w:t>
      </w:r>
      <w:r w:rsidRPr="00E55230">
        <w:rPr>
          <w:rStyle w:val="Emphasis"/>
        </w:rPr>
        <w:t>peace may result from economic troubles</w:t>
      </w:r>
      <w:r w:rsidRPr="00E34FB6">
        <w:rPr>
          <w:sz w:val="14"/>
        </w:rPr>
        <w:t>.</w:t>
      </w:r>
    </w:p>
    <w:p w:rsidR="000C7A59" w:rsidRPr="00EA64AF" w:rsidRDefault="000C7A59" w:rsidP="000C7A59">
      <w:pPr>
        <w:pStyle w:val="Heading4"/>
      </w:pPr>
      <w:r>
        <w:rPr>
          <w:u w:val="single"/>
        </w:rPr>
        <w:t>Aggregate data</w:t>
      </w:r>
      <w:r>
        <w:t xml:space="preserve"> from the recession refutes all of their warrants</w:t>
      </w:r>
    </w:p>
    <w:p w:rsidR="000C7A59" w:rsidRPr="00F70310" w:rsidRDefault="000C7A59" w:rsidP="000C7A59">
      <w:r>
        <w:t xml:space="preserve">Daniel </w:t>
      </w:r>
      <w:r w:rsidRPr="00882730">
        <w:rPr>
          <w:rStyle w:val="Style13ptBold"/>
        </w:rPr>
        <w:t>Drezner 14</w:t>
      </w:r>
      <w:r>
        <w:t>, professor of international politics at the Fletcher School of Law and Diplomacy at Tufts University, “The System Worked: Global Economic Governance during the Great Recession,” World Politics 66, No 1 (January 2014), 123-64</w:t>
      </w:r>
    </w:p>
    <w:p w:rsidR="000C7A59" w:rsidRDefault="000C7A59" w:rsidP="000C7A59">
      <w:pPr>
        <w:rPr>
          <w:sz w:val="16"/>
        </w:rPr>
      </w:pPr>
      <w:r w:rsidRPr="00882730">
        <w:rPr>
          <w:sz w:val="16"/>
        </w:rPr>
        <w:t xml:space="preserve">The final significant outcome addresses </w:t>
      </w:r>
      <w:r w:rsidRPr="00882730">
        <w:rPr>
          <w:rStyle w:val="StyleUnderline"/>
        </w:rPr>
        <w:t xml:space="preserve">a dog that hasn’t barked: the effect of the Great Recession on cross-border conflict and violence. During the initial stages of the crisis, multiple </w:t>
      </w:r>
      <w:r w:rsidRPr="00E55230">
        <w:rPr>
          <w:rStyle w:val="StyleUnderline"/>
        </w:rPr>
        <w:t>analysts asserted</w:t>
      </w:r>
      <w:r w:rsidRPr="00882730">
        <w:rPr>
          <w:rStyle w:val="StyleUnderline"/>
        </w:rPr>
        <w:t xml:space="preserve"> that the financial </w:t>
      </w:r>
      <w:r w:rsidRPr="00E55230">
        <w:rPr>
          <w:rStyle w:val="StyleUnderline"/>
        </w:rPr>
        <w:t>crisis would lead</w:t>
      </w:r>
      <w:r w:rsidRPr="00882730">
        <w:rPr>
          <w:rStyle w:val="StyleUnderline"/>
        </w:rPr>
        <w:t xml:space="preserve"> states </w:t>
      </w:r>
      <w:r w:rsidRPr="00E55230">
        <w:rPr>
          <w:rStyle w:val="StyleUnderline"/>
        </w:rPr>
        <w:t>to</w:t>
      </w:r>
      <w:r w:rsidRPr="00882730">
        <w:rPr>
          <w:rStyle w:val="StyleUnderline"/>
        </w:rPr>
        <w:t xml:space="preserve"> increase</w:t>
      </w:r>
      <w:r w:rsidRPr="00882730">
        <w:rPr>
          <w:sz w:val="16"/>
        </w:rPr>
        <w:t xml:space="preserve"> their </w:t>
      </w:r>
      <w:r w:rsidRPr="00E55230">
        <w:rPr>
          <w:rStyle w:val="Emphasis"/>
        </w:rPr>
        <w:t>use of force as a tool for staying in power</w:t>
      </w:r>
      <w:r w:rsidRPr="00882730">
        <w:rPr>
          <w:sz w:val="16"/>
        </w:rPr>
        <w:t xml:space="preserve">.42 They voiced genuine concern that the </w:t>
      </w:r>
      <w:r w:rsidRPr="00882730">
        <w:rPr>
          <w:rStyle w:val="StyleUnderline"/>
        </w:rPr>
        <w:t xml:space="preserve">global </w:t>
      </w:r>
      <w:r w:rsidRPr="00E55230">
        <w:rPr>
          <w:rStyle w:val="StyleUnderline"/>
        </w:rPr>
        <w:t>economic downturn would</w:t>
      </w:r>
      <w:r w:rsidRPr="00882730">
        <w:rPr>
          <w:rStyle w:val="StyleUnderline"/>
        </w:rPr>
        <w:t xml:space="preserve"> lead to an </w:t>
      </w:r>
      <w:r w:rsidRPr="00E55230">
        <w:rPr>
          <w:rStyle w:val="StyleUnderline"/>
        </w:rPr>
        <w:t>increase</w:t>
      </w:r>
      <w:r w:rsidRPr="00882730">
        <w:rPr>
          <w:rStyle w:val="StyleUnderline"/>
        </w:rPr>
        <w:t xml:space="preserve"> in </w:t>
      </w:r>
      <w:r w:rsidRPr="00E55230">
        <w:rPr>
          <w:rStyle w:val="StyleUnderline"/>
        </w:rPr>
        <w:t>conflict</w:t>
      </w:r>
      <w:r w:rsidRPr="00882730">
        <w:rPr>
          <w:sz w:val="16"/>
        </w:rPr>
        <w:t xml:space="preserve">—whether </w:t>
      </w:r>
      <w:r w:rsidRPr="00E55230">
        <w:rPr>
          <w:rStyle w:val="StyleUnderline"/>
        </w:rPr>
        <w:t>through</w:t>
      </w:r>
      <w:r w:rsidRPr="00882730">
        <w:rPr>
          <w:sz w:val="16"/>
        </w:rPr>
        <w:t xml:space="preserve"> greater </w:t>
      </w:r>
      <w:r w:rsidRPr="00E55230">
        <w:rPr>
          <w:rStyle w:val="Emphasis"/>
        </w:rPr>
        <w:t>internal repression, diversionary wars, arms races, or</w:t>
      </w:r>
      <w:r w:rsidRPr="00882730">
        <w:rPr>
          <w:rStyle w:val="Emphasis"/>
        </w:rPr>
        <w:t xml:space="preserve"> a ratcheting up of </w:t>
      </w:r>
      <w:r w:rsidRPr="00E55230">
        <w:rPr>
          <w:rStyle w:val="Emphasis"/>
        </w:rPr>
        <w:t>great power conflict</w:t>
      </w:r>
      <w:r w:rsidRPr="00882730">
        <w:rPr>
          <w:rStyle w:val="Emphasis"/>
        </w:rPr>
        <w:t>.</w:t>
      </w:r>
      <w:r w:rsidRPr="00882730">
        <w:rPr>
          <w:sz w:val="16"/>
        </w:rPr>
        <w:t xml:space="preserve"> </w:t>
      </w:r>
      <w:r w:rsidRPr="00882730">
        <w:rPr>
          <w:rStyle w:val="StyleUnderline"/>
        </w:rPr>
        <w:t>Violence in the Middle East</w:t>
      </w:r>
      <w:r w:rsidRPr="00882730">
        <w:rPr>
          <w:sz w:val="16"/>
        </w:rPr>
        <w:t xml:space="preserve">, border disputes in the </w:t>
      </w:r>
      <w:r w:rsidRPr="00882730">
        <w:rPr>
          <w:rStyle w:val="StyleUnderline"/>
        </w:rPr>
        <w:t>South China Sea, and</w:t>
      </w:r>
      <w:r w:rsidRPr="00882730">
        <w:rPr>
          <w:sz w:val="16"/>
        </w:rPr>
        <w:t xml:space="preserve"> even the disruptions of the </w:t>
      </w:r>
      <w:r w:rsidRPr="00882730">
        <w:rPr>
          <w:rStyle w:val="StyleUnderline"/>
        </w:rPr>
        <w:t>Occupy</w:t>
      </w:r>
      <w:r w:rsidRPr="00882730">
        <w:rPr>
          <w:sz w:val="16"/>
        </w:rPr>
        <w:t xml:space="preserve"> movement </w:t>
      </w:r>
      <w:r w:rsidRPr="00882730">
        <w:rPr>
          <w:rStyle w:val="StyleUnderline"/>
        </w:rPr>
        <w:t>fueled impressions of</w:t>
      </w:r>
      <w:r w:rsidRPr="00882730">
        <w:rPr>
          <w:sz w:val="16"/>
        </w:rPr>
        <w:t xml:space="preserve"> a surge in global </w:t>
      </w:r>
      <w:r w:rsidRPr="00882730">
        <w:rPr>
          <w:rStyle w:val="StyleUnderline"/>
        </w:rPr>
        <w:t>public disorder</w:t>
      </w:r>
      <w:r w:rsidRPr="00882730">
        <w:rPr>
          <w:sz w:val="16"/>
        </w:rPr>
        <w:t>.</w:t>
      </w:r>
      <w:r w:rsidRPr="00882730">
        <w:rPr>
          <w:sz w:val="12"/>
        </w:rPr>
        <w:t>¶</w:t>
      </w:r>
      <w:r w:rsidRPr="00882730">
        <w:rPr>
          <w:sz w:val="16"/>
        </w:rPr>
        <w:t xml:space="preserve"> The </w:t>
      </w:r>
      <w:r w:rsidRPr="00E55230">
        <w:rPr>
          <w:rStyle w:val="Emphasis"/>
        </w:rPr>
        <w:t>aggregate data suggest otherwise</w:t>
      </w:r>
      <w:r w:rsidRPr="00882730">
        <w:rPr>
          <w:sz w:val="16"/>
        </w:rPr>
        <w:t xml:space="preserve">, however. The Institute for Economics and Peace has concluded that “the </w:t>
      </w:r>
      <w:r w:rsidRPr="00885080">
        <w:rPr>
          <w:rStyle w:val="StyleUnderline"/>
        </w:rPr>
        <w:t>average</w:t>
      </w:r>
      <w:r w:rsidRPr="00882730">
        <w:rPr>
          <w:sz w:val="16"/>
        </w:rPr>
        <w:t xml:space="preserve"> level of </w:t>
      </w:r>
      <w:r w:rsidRPr="00E55230">
        <w:rPr>
          <w:rStyle w:val="StyleUnderline"/>
        </w:rPr>
        <w:t xml:space="preserve">peacefulness in 2012 is </w:t>
      </w:r>
      <w:r w:rsidRPr="00885080">
        <w:rPr>
          <w:rStyle w:val="Emphasis"/>
        </w:rPr>
        <w:t xml:space="preserve">approximately </w:t>
      </w:r>
      <w:r w:rsidRPr="00E55230">
        <w:rPr>
          <w:rStyle w:val="Emphasis"/>
        </w:rPr>
        <w:t>the same as</w:t>
      </w:r>
      <w:r w:rsidRPr="00882730">
        <w:rPr>
          <w:sz w:val="16"/>
        </w:rPr>
        <w:t xml:space="preserve"> it was </w:t>
      </w:r>
      <w:r w:rsidRPr="00E55230">
        <w:rPr>
          <w:rStyle w:val="StyleUnderline"/>
        </w:rPr>
        <w:t>in</w:t>
      </w:r>
      <w:r w:rsidRPr="00882730">
        <w:rPr>
          <w:sz w:val="16"/>
        </w:rPr>
        <w:t xml:space="preserve"> 20</w:t>
      </w:r>
      <w:r w:rsidRPr="00E55230">
        <w:rPr>
          <w:rStyle w:val="Emphasis"/>
        </w:rPr>
        <w:t>07</w:t>
      </w:r>
      <w:r w:rsidRPr="00882730">
        <w:rPr>
          <w:sz w:val="16"/>
        </w:rPr>
        <w:t xml:space="preserve">.”43 </w:t>
      </w:r>
      <w:r w:rsidRPr="00E55230">
        <w:rPr>
          <w:rStyle w:val="Emphasis"/>
        </w:rPr>
        <w:t>Interstate violence</w:t>
      </w:r>
      <w:r w:rsidRPr="00882730">
        <w:rPr>
          <w:sz w:val="16"/>
        </w:rPr>
        <w:t xml:space="preserve"> in particular </w:t>
      </w:r>
      <w:r w:rsidRPr="00E55230">
        <w:rPr>
          <w:rStyle w:val="Emphasis"/>
        </w:rPr>
        <w:t>has declined</w:t>
      </w:r>
      <w:r w:rsidRPr="00882730">
        <w:rPr>
          <w:rStyle w:val="StyleUnderline"/>
        </w:rPr>
        <w:t xml:space="preserve"> since the start of the financial crisis, as have military expenditures in most sampled countries. Other studies confirm that </w:t>
      </w:r>
      <w:r w:rsidRPr="00E55230">
        <w:rPr>
          <w:rStyle w:val="StyleUnderline"/>
        </w:rPr>
        <w:t>the</w:t>
      </w:r>
      <w:r w:rsidRPr="00882730">
        <w:rPr>
          <w:rStyle w:val="StyleUnderline"/>
        </w:rPr>
        <w:t xml:space="preserve"> Great </w:t>
      </w:r>
      <w:r w:rsidRPr="00E55230">
        <w:rPr>
          <w:rStyle w:val="StyleUnderline"/>
        </w:rPr>
        <w:t xml:space="preserve">Recession has not triggered </w:t>
      </w:r>
      <w:r w:rsidRPr="00E55230">
        <w:rPr>
          <w:rStyle w:val="Emphasis"/>
        </w:rPr>
        <w:t>any increase in violent conflict</w:t>
      </w:r>
      <w:r w:rsidRPr="00885080">
        <w:rPr>
          <w:rStyle w:val="Emphasis"/>
        </w:rPr>
        <w:t>,</w:t>
      </w:r>
      <w:r w:rsidRPr="00882730">
        <w:rPr>
          <w:sz w:val="16"/>
        </w:rPr>
        <w:t xml:space="preserve"> as Lotta Themnér and Peter Wallensteen conclude: “[T]he pattern is one of relative stability when we consider the trend for the past five years.”44 The secular decline in violence that started with the end of the Cold War has not been reversed. Rogers Brubaker observes that “</w:t>
      </w:r>
      <w:r w:rsidRPr="00882730">
        <w:rPr>
          <w:rStyle w:val="StyleUnderline"/>
        </w:rPr>
        <w:t xml:space="preserve">the crisis has not to date generated the surge in </w:t>
      </w:r>
      <w:r w:rsidRPr="00E55230">
        <w:rPr>
          <w:rStyle w:val="StyleUnderline"/>
        </w:rPr>
        <w:t>protectionist nationalism or ethnic exclusion</w:t>
      </w:r>
      <w:r w:rsidRPr="00882730">
        <w:rPr>
          <w:sz w:val="16"/>
        </w:rPr>
        <w:t xml:space="preserve"> that might have been expected.”45</w:t>
      </w:r>
    </w:p>
    <w:p w:rsidR="000C7A59" w:rsidRPr="00A32974" w:rsidRDefault="000C7A59" w:rsidP="000C7A59">
      <w:pPr>
        <w:pStyle w:val="Heading4"/>
      </w:pPr>
      <w:r>
        <w:t>Interdependence is wrong</w:t>
      </w:r>
    </w:p>
    <w:p w:rsidR="000C7A59" w:rsidRPr="00EE3393" w:rsidRDefault="000C7A59" w:rsidP="000C7A59">
      <w:r>
        <w:t xml:space="preserve">Omar M. G. </w:t>
      </w:r>
      <w:r w:rsidRPr="00C41C2A">
        <w:rPr>
          <w:rStyle w:val="Style13ptBold"/>
        </w:rPr>
        <w:t>Keshk 10</w:t>
      </w:r>
      <w:r>
        <w:t>, senior lecturer in the Political Science Department at, and PhD in Political Science from, Ohio State University; Rafael Reuveny, prof of international political economy and ecological economics at and PhD from Indiana University; and Brian M. Pollins, emeritus Associate Prof of Political Science at Ohio State; “Trade and Conflict: Proximity, Country Size, and Measures,” Conflict Management and Peace Science 2010 27: 3, SAGE journals</w:t>
      </w:r>
    </w:p>
    <w:p w:rsidR="000C7A59" w:rsidRPr="000663E7" w:rsidRDefault="000C7A59" w:rsidP="000C7A59">
      <w:pPr>
        <w:rPr>
          <w:sz w:val="10"/>
        </w:rPr>
      </w:pPr>
      <w:r w:rsidRPr="00E07F97">
        <w:rPr>
          <w:sz w:val="10"/>
        </w:rPr>
        <w:t xml:space="preserve">In all, </w:t>
      </w:r>
      <w:r w:rsidRPr="00E55230">
        <w:rPr>
          <w:rStyle w:val="Emphasis"/>
        </w:rPr>
        <w:t>any signal</w:t>
      </w:r>
      <w:r w:rsidRPr="00E07F97">
        <w:rPr>
          <w:rStyle w:val="StyleUnderline"/>
        </w:rPr>
        <w:t xml:space="preserve"> that “</w:t>
      </w:r>
      <w:r w:rsidRPr="00E55230">
        <w:rPr>
          <w:rStyle w:val="StyleUnderline"/>
        </w:rPr>
        <w:t xml:space="preserve">trade brings peace” remains </w:t>
      </w:r>
      <w:r w:rsidRPr="00E55230">
        <w:rPr>
          <w:rStyle w:val="Emphasis"/>
        </w:rPr>
        <w:t>weak and inconsistent</w:t>
      </w:r>
      <w:r w:rsidRPr="00E55230">
        <w:rPr>
          <w:sz w:val="10"/>
        </w:rPr>
        <w:t xml:space="preserve">, </w:t>
      </w:r>
      <w:r w:rsidRPr="00E55230">
        <w:rPr>
          <w:rStyle w:val="StyleUnderline"/>
        </w:rPr>
        <w:t>regardless of</w:t>
      </w:r>
      <w:r w:rsidRPr="00E07F97">
        <w:rPr>
          <w:rStyle w:val="StyleUnderline"/>
        </w:rPr>
        <w:t xml:space="preserve"> the</w:t>
      </w:r>
      <w:r w:rsidRPr="00E07F97">
        <w:rPr>
          <w:sz w:val="10"/>
        </w:rPr>
        <w:t xml:space="preserve"> way proximity is </w:t>
      </w:r>
      <w:r w:rsidRPr="00E55230">
        <w:rPr>
          <w:rStyle w:val="StyleUnderline"/>
        </w:rPr>
        <w:t>model</w:t>
      </w:r>
      <w:r w:rsidRPr="00E07F97">
        <w:rPr>
          <w:sz w:val="10"/>
        </w:rPr>
        <w:t xml:space="preserve">ed in the conflict equation. </w:t>
      </w:r>
      <w:r w:rsidRPr="00E55230">
        <w:rPr>
          <w:rStyle w:val="StyleUnderline"/>
        </w:rPr>
        <w:t>The signal that conflict reduces trade</w:t>
      </w:r>
      <w:r w:rsidRPr="00E07F97">
        <w:rPr>
          <w:sz w:val="10"/>
        </w:rPr>
        <w:t>, in contrast</w:t>
      </w:r>
      <w:r w:rsidRPr="00E07F97">
        <w:rPr>
          <w:rStyle w:val="StyleUnderline"/>
        </w:rPr>
        <w:t xml:space="preserve">, </w:t>
      </w:r>
      <w:r w:rsidRPr="00E55230">
        <w:rPr>
          <w:rStyle w:val="StyleUnderline"/>
        </w:rPr>
        <w:t xml:space="preserve">is </w:t>
      </w:r>
      <w:r w:rsidRPr="00E55230">
        <w:rPr>
          <w:rStyle w:val="Emphasis"/>
        </w:rPr>
        <w:t>strong and consistent</w:t>
      </w:r>
      <w:r w:rsidRPr="00E07F97">
        <w:rPr>
          <w:sz w:val="10"/>
        </w:rPr>
        <w:t xml:space="preserve">. Thus, </w:t>
      </w:r>
      <w:r w:rsidRPr="00E07F97">
        <w:rPr>
          <w:rStyle w:val="StyleUnderline"/>
        </w:rPr>
        <w:t xml:space="preserve">international politics are </w:t>
      </w:r>
      <w:r w:rsidRPr="00E07F97">
        <w:rPr>
          <w:rStyle w:val="Emphasis"/>
        </w:rPr>
        <w:t>clearly</w:t>
      </w:r>
      <w:r w:rsidRPr="00E07F97">
        <w:rPr>
          <w:rStyle w:val="StyleUnderline"/>
        </w:rPr>
        <w:t xml:space="preserve"> affecting dyadic trade, while it is far less obvious whether trade</w:t>
      </w:r>
      <w:r w:rsidRPr="00E07F97">
        <w:rPr>
          <w:sz w:val="10"/>
        </w:rPr>
        <w:t xml:space="preserve"> systematically affects dyadic politics, and if it does, whether that effect </w:t>
      </w:r>
      <w:r w:rsidRPr="00E07F97">
        <w:rPr>
          <w:rStyle w:val="StyleUnderline"/>
        </w:rPr>
        <w:t>is conflict dampening</w:t>
      </w:r>
      <w:r w:rsidRPr="00E07F97">
        <w:rPr>
          <w:sz w:val="10"/>
        </w:rPr>
        <w:t xml:space="preserve"> or conflict amplifying. This is what we have termed in KPR (2004) “The Primacy of Politics.” </w:t>
      </w:r>
      <w:r w:rsidRPr="00E07F97">
        <w:rPr>
          <w:sz w:val="12"/>
        </w:rPr>
        <w:t>¶</w:t>
      </w:r>
      <w:r w:rsidRPr="00E07F97">
        <w:rPr>
          <w:sz w:val="10"/>
        </w:rPr>
        <w:t xml:space="preserve"> 7. Conclusion</w:t>
      </w:r>
      <w:r w:rsidRPr="00E07F97">
        <w:rPr>
          <w:sz w:val="12"/>
        </w:rPr>
        <w:t>¶</w:t>
      </w:r>
      <w:r w:rsidRPr="00E07F97">
        <w:rPr>
          <w:sz w:val="10"/>
        </w:rPr>
        <w:t xml:space="preserve"> This study revisited the simultaneous equations model we presented in KPR (2004) and subjected it to four important challenges. Two of these challenges concerned The specification of the conflict equation in our model regarding the role of inter- capital distance and the sizes of both sides in a dyad; one questioned the bilateral trade data assumptions used in the treatment of zero and missing values, and one challenge suggested a focus on fatal MIDs as an alternative indicator to the widely used all-MID measure </w:t>
      </w:r>
      <w:r w:rsidRPr="00E07F97">
        <w:rPr>
          <w:sz w:val="12"/>
        </w:rPr>
        <w:t>¶</w:t>
      </w:r>
      <w:r w:rsidRPr="00E07F97">
        <w:rPr>
          <w:sz w:val="10"/>
        </w:rPr>
        <w:t xml:space="preserve"> The theoretical and empirical analyses used to explore proposed alternatives to our original work were instructive and the empirical results were informative, but there are certainly other legitimate issues that the trade and conflict research community may continue to ponder. For example, researchers may continue to work on questions of missing bilateral trade data, attempt to move beyond the near- exclusive use of the MIDs data as we contemplate the meaning of “military conflict,” and use, and extend the scope of, the Harvey Starr GIS-based border data as one way to treat contiguity with more sophistication than the typical binary variable.</w:t>
      </w:r>
      <w:r w:rsidRPr="00E07F97">
        <w:rPr>
          <w:sz w:val="12"/>
        </w:rPr>
        <w:t>¶</w:t>
      </w:r>
      <w:r w:rsidRPr="00E07F97">
        <w:rPr>
          <w:sz w:val="10"/>
        </w:rPr>
        <w:t xml:space="preserve"> The single greatest lesson of this study is that future work studying the effect of international trade on international military conflict needs to employ a simultaneous specification of the relationship between the two forces. </w:t>
      </w:r>
      <w:r w:rsidRPr="00621CF1">
        <w:rPr>
          <w:rStyle w:val="StyleUnderline"/>
        </w:rPr>
        <w:t xml:space="preserve">The </w:t>
      </w:r>
      <w:r w:rsidRPr="00E55230">
        <w:rPr>
          <w:rStyle w:val="StyleUnderline"/>
        </w:rPr>
        <w:t xml:space="preserve">results </w:t>
      </w:r>
      <w:r w:rsidRPr="00E07F97">
        <w:rPr>
          <w:rStyle w:val="StyleUnderline"/>
        </w:rPr>
        <w:t>we obtained</w:t>
      </w:r>
      <w:r w:rsidRPr="00E07F97">
        <w:rPr>
          <w:sz w:val="10"/>
        </w:rPr>
        <w:t xml:space="preserve"> under </w:t>
      </w:r>
      <w:r w:rsidRPr="00E55230">
        <w:rPr>
          <w:rStyle w:val="Emphasis"/>
        </w:rPr>
        <w:t>all</w:t>
      </w:r>
      <w:r w:rsidRPr="00E07F97">
        <w:rPr>
          <w:sz w:val="10"/>
        </w:rPr>
        <w:t xml:space="preserve"> the 36 SEM alternatives we estimated </w:t>
      </w:r>
      <w:r w:rsidRPr="00E55230">
        <w:rPr>
          <w:rStyle w:val="StyleUnderline"/>
        </w:rPr>
        <w:t>yielded an important</w:t>
      </w:r>
      <w:r w:rsidRPr="00E07F97">
        <w:rPr>
          <w:rStyle w:val="StyleUnderline"/>
        </w:rPr>
        <w:t xml:space="preserve">, measurable </w:t>
      </w:r>
      <w:r w:rsidRPr="00E55230">
        <w:rPr>
          <w:rStyle w:val="StyleUnderline"/>
        </w:rPr>
        <w:t xml:space="preserve">effect of conflict </w:t>
      </w:r>
      <w:r w:rsidRPr="00E55230">
        <w:rPr>
          <w:rStyle w:val="Emphasis"/>
        </w:rPr>
        <w:t>on trade</w:t>
      </w:r>
      <w:r w:rsidRPr="00E07F97">
        <w:rPr>
          <w:sz w:val="10"/>
        </w:rPr>
        <w:t xml:space="preserve">. Henceforth, we would say with high confidence that </w:t>
      </w:r>
      <w:r w:rsidRPr="00E55230">
        <w:rPr>
          <w:rStyle w:val="StyleUnderline"/>
        </w:rPr>
        <w:t xml:space="preserve">any study </w:t>
      </w:r>
      <w:r w:rsidRPr="00E07F97">
        <w:rPr>
          <w:rStyle w:val="StyleUnderline"/>
        </w:rPr>
        <w:t xml:space="preserve">of the effect of trade on conflict </w:t>
      </w:r>
      <w:r w:rsidRPr="00E55230">
        <w:rPr>
          <w:rStyle w:val="StyleUnderline"/>
        </w:rPr>
        <w:t>that ignores this</w:t>
      </w:r>
      <w:r w:rsidRPr="00E07F97">
        <w:rPr>
          <w:rStyle w:val="StyleUnderline"/>
        </w:rPr>
        <w:t xml:space="preserve"> reverse fact </w:t>
      </w:r>
      <w:r w:rsidRPr="00E55230">
        <w:rPr>
          <w:rStyle w:val="StyleUnderline"/>
        </w:rPr>
        <w:t>is</w:t>
      </w:r>
      <w:r w:rsidRPr="00E07F97">
        <w:rPr>
          <w:rStyle w:val="StyleUnderline"/>
        </w:rPr>
        <w:t xml:space="preserve"> practically </w:t>
      </w:r>
      <w:r w:rsidRPr="00E55230">
        <w:rPr>
          <w:rStyle w:val="Emphasis"/>
        </w:rPr>
        <w:t>guaranteed</w:t>
      </w:r>
      <w:r w:rsidRPr="00E55230">
        <w:rPr>
          <w:rStyle w:val="StyleUnderline"/>
        </w:rPr>
        <w:t xml:space="preserve"> to produce</w:t>
      </w:r>
      <w:r w:rsidRPr="00E07F97">
        <w:rPr>
          <w:rStyle w:val="StyleUnderline"/>
        </w:rPr>
        <w:t xml:space="preserve"> estimates that contain </w:t>
      </w:r>
      <w:r w:rsidRPr="00E55230">
        <w:rPr>
          <w:rStyle w:val="StyleUnderline"/>
        </w:rPr>
        <w:t xml:space="preserve">simultaneity bias. </w:t>
      </w:r>
      <w:r w:rsidRPr="00E55230">
        <w:rPr>
          <w:rStyle w:val="Emphasis"/>
        </w:rPr>
        <w:t>Such studies will claim</w:t>
      </w:r>
      <w:r w:rsidRPr="00E55230">
        <w:rPr>
          <w:rStyle w:val="StyleUnderline"/>
        </w:rPr>
        <w:t xml:space="preserve"> </w:t>
      </w:r>
      <w:r w:rsidRPr="00E07F97">
        <w:rPr>
          <w:rStyle w:val="StyleUnderline"/>
        </w:rPr>
        <w:t xml:space="preserve">that </w:t>
      </w:r>
      <w:r w:rsidRPr="00E55230">
        <w:rPr>
          <w:rStyle w:val="StyleUnderline"/>
        </w:rPr>
        <w:t xml:space="preserve">“trade brings peace,” when we </w:t>
      </w:r>
      <w:r w:rsidRPr="00E55230">
        <w:rPr>
          <w:rStyle w:val="Emphasis"/>
        </w:rPr>
        <w:t>now know</w:t>
      </w:r>
      <w:r w:rsidRPr="00E55230">
        <w:rPr>
          <w:rStyle w:val="StyleUnderline"/>
        </w:rPr>
        <w:t xml:space="preserve"> that</w:t>
      </w:r>
      <w:r w:rsidRPr="00E07F97">
        <w:rPr>
          <w:rStyle w:val="StyleUnderline"/>
        </w:rPr>
        <w:t xml:space="preserve"> in a much broader range of circumstances, </w:t>
      </w:r>
      <w:r w:rsidRPr="00E55230">
        <w:rPr>
          <w:rStyle w:val="Emphasis"/>
        </w:rPr>
        <w:t>it is “peace that brings trade</w:t>
      </w:r>
      <w:r w:rsidRPr="00E07F97">
        <w:rPr>
          <w:rStyle w:val="StyleUnderline"/>
        </w:rPr>
        <w:t>.”</w:t>
      </w:r>
      <w:r w:rsidRPr="00E07F97">
        <w:rPr>
          <w:rStyle w:val="StyleUnderline"/>
          <w:sz w:val="12"/>
        </w:rPr>
        <w:t xml:space="preserve">¶ </w:t>
      </w:r>
      <w:r w:rsidRPr="00E07F97">
        <w:rPr>
          <w:sz w:val="10"/>
        </w:rPr>
        <w:t>Our message to those who would use conflict as one factor in a single-equation model of trade is only slightly less cautionary. They too face dangers in ignoring the other side of the coin. In one half of the 36 permutations we explored, the likelihood of dyadic military conflict was influenced by trade flows. In most tests where this effect surfaced, it was positive, that is, trade made conflict more likely. But the direction of this effect is of no consequence for the larger lesson: trade modelers ignore the simultaneity between international commerce and political enmity at their peril. They too run no small risk of finding themselves deceived by simultaneity bias.</w:t>
      </w:r>
      <w:r w:rsidRPr="00E07F97">
        <w:rPr>
          <w:sz w:val="12"/>
        </w:rPr>
        <w:t>¶</w:t>
      </w:r>
      <w:r w:rsidRPr="00E07F97">
        <w:rPr>
          <w:sz w:val="10"/>
        </w:rPr>
        <w:t xml:space="preserve"> Our empirical findings show clearly that international politics pushes commerce in a much broader range of circumstances than the reverse. In fact, we could find no combination of model choices, indicators, or data assumptions that failed to yield the result that dyadic conflict reduces dyadic trade. </w:t>
      </w:r>
      <w:r w:rsidRPr="00E55230">
        <w:rPr>
          <w:rStyle w:val="StyleUnderline"/>
        </w:rPr>
        <w:t xml:space="preserve">Liberal claims regarding the effect of </w:t>
      </w:r>
      <w:r w:rsidRPr="00621CF1">
        <w:rPr>
          <w:rStyle w:val="StyleUnderline"/>
        </w:rPr>
        <w:t xml:space="preserve">dyadic </w:t>
      </w:r>
      <w:r w:rsidRPr="00E55230">
        <w:rPr>
          <w:rStyle w:val="StyleUnderline"/>
        </w:rPr>
        <w:t xml:space="preserve">trade on </w:t>
      </w:r>
      <w:r w:rsidRPr="00621CF1">
        <w:rPr>
          <w:rStyle w:val="StyleUnderline"/>
        </w:rPr>
        <w:t xml:space="preserve">dyadic </w:t>
      </w:r>
      <w:r w:rsidRPr="00E55230">
        <w:rPr>
          <w:rStyle w:val="StyleUnderline"/>
        </w:rPr>
        <w:t xml:space="preserve">conflict </w:t>
      </w:r>
      <w:r w:rsidRPr="00E55230">
        <w:rPr>
          <w:rStyle w:val="Emphasis"/>
        </w:rPr>
        <w:t xml:space="preserve">simply were not robust </w:t>
      </w:r>
      <w:r w:rsidRPr="00621CF1">
        <w:rPr>
          <w:rStyle w:val="Emphasis"/>
        </w:rPr>
        <w:t>in our findings</w:t>
      </w:r>
      <w:r w:rsidRPr="00E07F97">
        <w:rPr>
          <w:sz w:val="10"/>
        </w:rPr>
        <w:t>. They survived in only 8 of the 36 tests we ran, and failed to hold up when certain data assumptions were altered, and were seriously vulnerable to indicator choices regarding inter-capital distance, conflict, and national size.</w:t>
      </w:r>
    </w:p>
    <w:p w:rsidR="000C7A59" w:rsidRPr="003D596B" w:rsidRDefault="000C7A59" w:rsidP="000C7A59"/>
    <w:p w:rsidR="000C7A59" w:rsidRDefault="000C7A59" w:rsidP="000C7A59">
      <w:pPr>
        <w:pStyle w:val="Heading3"/>
      </w:pPr>
      <w:r>
        <w:t>AT: Competitiveness – No Impact</w:t>
      </w:r>
    </w:p>
    <w:p w:rsidR="000C7A59" w:rsidRPr="00037C53" w:rsidRDefault="000C7A59" w:rsidP="000C7A59">
      <w:pPr>
        <w:pStyle w:val="Heading4"/>
      </w:pPr>
      <w:r>
        <w:t>No impact to loss of competitiveness – doesn’t cause war</w:t>
      </w:r>
    </w:p>
    <w:p w:rsidR="000C7A59" w:rsidRPr="00A26ED6" w:rsidRDefault="000C7A59" w:rsidP="000C7A59">
      <w:pPr>
        <w:rPr>
          <w:rFonts w:ascii="Georgia" w:hAnsi="Georgia"/>
          <w:b/>
          <w:sz w:val="24"/>
          <w:u w:val="single"/>
        </w:rPr>
      </w:pPr>
      <w:r w:rsidRPr="00A26ED6">
        <w:rPr>
          <w:rStyle w:val="Style13ptBold"/>
        </w:rPr>
        <w:t>Salam 9</w:t>
      </w:r>
      <w:r>
        <w:rPr>
          <w:rStyle w:val="StyleDate"/>
        </w:rPr>
        <w:t xml:space="preserve"> </w:t>
      </w:r>
      <w:r>
        <w:t>(Reihan Salam, Research Associate at the Council on foreign Relations</w:t>
      </w:r>
      <w:r w:rsidRPr="00A26ED6">
        <w:t>, Jan. 21, The American Scene, “Robert Pape Is Overheated”, http://www.theamericanscene.com/2009/01/21/</w:t>
      </w:r>
      <w:r>
        <w:t xml:space="preserve"> </w:t>
      </w:r>
      <w:r w:rsidRPr="00A26ED6">
        <w:t>robert-pape-is-overheated)</w:t>
      </w:r>
    </w:p>
    <w:p w:rsidR="000C7A59" w:rsidRPr="00A26ED6" w:rsidRDefault="000C7A59" w:rsidP="000C7A59">
      <w:pPr>
        <w:pStyle w:val="Nothing"/>
        <w:rPr>
          <w:rFonts w:ascii="Calibri" w:hAnsi="Calibri" w:cs="Calibri"/>
          <w:sz w:val="16"/>
        </w:rPr>
      </w:pPr>
      <w:r w:rsidRPr="00A26ED6">
        <w:rPr>
          <w:rStyle w:val="StyleUnderline"/>
          <w:rFonts w:ascii="Calibri" w:hAnsi="Calibri" w:cs="Calibri"/>
        </w:rPr>
        <w:t>Pape spends a lot of time demonstrating that U.S. economic output represents a declining share of global output, which is hardly a surprise</w:t>
      </w:r>
      <w:r w:rsidRPr="00A26ED6">
        <w:rPr>
          <w:rFonts w:ascii="Calibri" w:hAnsi="Calibri" w:cs="Calibri"/>
          <w:sz w:val="16"/>
        </w:rPr>
        <w:t xml:space="preserve">. Yet as Pape surely understands, the more relevant question is </w:t>
      </w:r>
      <w:r w:rsidRPr="00A26ED6">
        <w:rPr>
          <w:rStyle w:val="StyleUnderline"/>
          <w:rFonts w:ascii="Calibri" w:hAnsi="Calibri" w:cs="Calibri"/>
        </w:rPr>
        <w:t xml:space="preserve">how much and </w:t>
      </w:r>
      <w:r w:rsidRPr="00E55230">
        <w:rPr>
          <w:rStyle w:val="StyleUnderline"/>
          <w:rFonts w:ascii="Calibri" w:hAnsi="Calibri" w:cs="Calibri"/>
        </w:rPr>
        <w:t>how readily can economic output be translated into military power? The E</w:t>
      </w:r>
      <w:r w:rsidRPr="00A26ED6">
        <w:rPr>
          <w:rFonts w:ascii="Calibri" w:hAnsi="Calibri" w:cs="Calibri"/>
          <w:sz w:val="16"/>
        </w:rPr>
        <w:t xml:space="preserve">uropean </w:t>
      </w:r>
      <w:r w:rsidRPr="00E55230">
        <w:rPr>
          <w:rStyle w:val="StyleUnderline"/>
          <w:rFonts w:ascii="Calibri" w:hAnsi="Calibri" w:cs="Calibri"/>
        </w:rPr>
        <w:t>U</w:t>
      </w:r>
      <w:r w:rsidRPr="00A26ED6">
        <w:rPr>
          <w:rFonts w:ascii="Calibri" w:hAnsi="Calibri" w:cs="Calibri"/>
          <w:sz w:val="16"/>
        </w:rPr>
        <w:t xml:space="preserve">nion, for example, </w:t>
      </w:r>
      <w:r w:rsidRPr="00A26ED6">
        <w:rPr>
          <w:rStyle w:val="StyleUnderline"/>
          <w:rFonts w:ascii="Calibri" w:hAnsi="Calibri" w:cs="Calibri"/>
        </w:rPr>
        <w:t xml:space="preserve">has many state-like features, yet it </w:t>
      </w:r>
      <w:r w:rsidRPr="00E55230">
        <w:rPr>
          <w:rStyle w:val="StyleUnderline"/>
          <w:rFonts w:ascii="Calibri" w:hAnsi="Calibri" w:cs="Calibri"/>
        </w:rPr>
        <w:t>doesn’t have the advantages of a traditional state when it comes to raising an army</w:t>
      </w:r>
      <w:r w:rsidRPr="00A26ED6">
        <w:rPr>
          <w:rFonts w:ascii="Calibri" w:hAnsi="Calibri" w:cs="Calibri"/>
          <w:sz w:val="16"/>
        </w:rPr>
        <w:t xml:space="preserve">. </w:t>
      </w:r>
      <w:r w:rsidRPr="00E55230">
        <w:rPr>
          <w:rStyle w:val="StyleUnderline"/>
          <w:rFonts w:ascii="Calibri" w:hAnsi="Calibri" w:cs="Calibri"/>
        </w:rPr>
        <w:t>The Indian economy is taxed in a highly uneven manner, and much of the economy is black</w:t>
      </w:r>
      <w:r w:rsidRPr="00A26ED6">
        <w:rPr>
          <w:rStyle w:val="StyleUnderline"/>
          <w:rFonts w:ascii="Calibri" w:hAnsi="Calibri" w:cs="Calibri"/>
        </w:rPr>
        <w:t xml:space="preserve"> — the same is true across the developing world</w:t>
      </w:r>
      <w:r w:rsidRPr="00A26ED6">
        <w:rPr>
          <w:rFonts w:ascii="Calibri" w:hAnsi="Calibri" w:cs="Calibri"/>
          <w:sz w:val="16"/>
        </w:rPr>
        <w:t xml:space="preserve">. </w:t>
      </w:r>
      <w:r w:rsidRPr="00A26ED6">
        <w:rPr>
          <w:rStyle w:val="StyleUnderline"/>
          <w:rFonts w:ascii="Calibri" w:hAnsi="Calibri" w:cs="Calibri"/>
        </w:rPr>
        <w:t xml:space="preserve">As for </w:t>
      </w:r>
      <w:r w:rsidRPr="00E55230">
        <w:rPr>
          <w:rStyle w:val="StyleUnderline"/>
          <w:rFonts w:ascii="Calibri" w:hAnsi="Calibri" w:cs="Calibri"/>
        </w:rPr>
        <w:t>China</w:t>
      </w:r>
      <w:r w:rsidRPr="00A26ED6">
        <w:rPr>
          <w:rFonts w:ascii="Calibri" w:hAnsi="Calibri" w:cs="Calibri"/>
          <w:sz w:val="16"/>
        </w:rPr>
        <w:t xml:space="preserve">, both </w:t>
      </w:r>
      <w:r w:rsidRPr="00A26ED6">
        <w:rPr>
          <w:rStyle w:val="StyleUnderline"/>
          <w:rFonts w:ascii="Calibri" w:hAnsi="Calibri" w:cs="Calibri"/>
        </w:rPr>
        <w:t xml:space="preserve">the shape of the </w:t>
      </w:r>
      <w:r w:rsidRPr="00E55230">
        <w:rPr>
          <w:rStyle w:val="StyleUnderline"/>
          <w:rFonts w:ascii="Calibri" w:hAnsi="Calibri" w:cs="Calibri"/>
        </w:rPr>
        <w:t>economy</w:t>
      </w:r>
      <w:r w:rsidRPr="00A26ED6">
        <w:rPr>
          <w:rFonts w:ascii="Calibri" w:hAnsi="Calibri" w:cs="Calibri"/>
          <w:sz w:val="16"/>
        </w:rPr>
        <w:t xml:space="preserve">, as Yasheng Huang suggests, </w:t>
      </w:r>
      <w:r w:rsidRPr="00E55230">
        <w:rPr>
          <w:rStyle w:val="StyleUnderline"/>
          <w:rFonts w:ascii="Calibri" w:hAnsi="Calibri" w:cs="Calibri"/>
        </w:rPr>
        <w:t>and</w:t>
      </w:r>
      <w:r w:rsidRPr="00A26ED6">
        <w:rPr>
          <w:rStyle w:val="StyleUnderline"/>
          <w:rFonts w:ascii="Calibri" w:hAnsi="Calibri" w:cs="Calibri"/>
        </w:rPr>
        <w:t xml:space="preserve"> its long </w:t>
      </w:r>
      <w:r w:rsidRPr="00E55230">
        <w:rPr>
          <w:rStyle w:val="StyleUnderline"/>
          <w:rFonts w:ascii="Calibri" w:hAnsi="Calibri" w:cs="Calibri"/>
        </w:rPr>
        <w:t>frontiers</w:t>
      </w:r>
      <w:r w:rsidRPr="00A26ED6">
        <w:rPr>
          <w:rFonts w:ascii="Calibri" w:hAnsi="Calibri" w:cs="Calibri"/>
          <w:sz w:val="16"/>
        </w:rPr>
        <w:t xml:space="preserve">, as Andrew Nathan has long argued, </w:t>
      </w:r>
      <w:r w:rsidRPr="00E55230">
        <w:rPr>
          <w:rStyle w:val="StyleUnderline"/>
          <w:rFonts w:ascii="Calibri" w:hAnsi="Calibri" w:cs="Calibri"/>
        </w:rPr>
        <w:t>pose serious barriers to translating potential power into effective power</w:t>
      </w:r>
      <w:r w:rsidRPr="00A26ED6">
        <w:rPr>
          <w:rFonts w:ascii="Calibri" w:hAnsi="Calibri" w:cs="Calibri"/>
          <w:sz w:val="16"/>
        </w:rPr>
        <w:t xml:space="preserve">. (Wohlforth and Brooks give Stephen Walt’s balance-of-threat its due.) </w:t>
      </w:r>
      <w:r w:rsidRPr="00A26ED6">
        <w:rPr>
          <w:rStyle w:val="StyleUnderline"/>
          <w:rFonts w:ascii="Calibri" w:hAnsi="Calibri" w:cs="Calibri"/>
        </w:rPr>
        <w:t xml:space="preserve">So </w:t>
      </w:r>
      <w:r w:rsidRPr="00E55230">
        <w:rPr>
          <w:rStyle w:val="StyleUnderline"/>
          <w:rFonts w:ascii="Calibri" w:hAnsi="Calibri" w:cs="Calibri"/>
        </w:rPr>
        <w:t>while this hardly obviates the broader point that relative American economic power is eroding</w:t>
      </w:r>
      <w:r w:rsidRPr="00A26ED6">
        <w:rPr>
          <w:rFonts w:ascii="Calibri" w:hAnsi="Calibri" w:cs="Calibri"/>
          <w:sz w:val="16"/>
        </w:rPr>
        <w:t xml:space="preserve"> — that was the whole idea of America’s postwar grand strategy — it is worth keeping in mind. </w:t>
      </w:r>
      <w:r w:rsidRPr="00A26ED6">
        <w:rPr>
          <w:rStyle w:val="StyleUnderline"/>
          <w:rFonts w:ascii="Calibri" w:hAnsi="Calibri" w:cs="Calibri"/>
        </w:rPr>
        <w:t xml:space="preserve">This is part of the reason why sclerotic, </w:t>
      </w:r>
      <w:r w:rsidRPr="00E55230">
        <w:rPr>
          <w:rStyle w:val="StyleUnderline"/>
          <w:rFonts w:ascii="Calibri" w:hAnsi="Calibri" w:cs="Calibri"/>
        </w:rPr>
        <w:t>statist economies can punch above their weight militarily</w:t>
      </w:r>
      <w:r w:rsidRPr="00A26ED6">
        <w:rPr>
          <w:rStyle w:val="StyleUnderline"/>
          <w:rFonts w:ascii="Calibri" w:hAnsi="Calibri" w:cs="Calibri"/>
        </w:rPr>
        <w:t xml:space="preserve">, at least </w:t>
      </w:r>
      <w:r w:rsidRPr="00E55230">
        <w:rPr>
          <w:rStyle w:val="StyleUnderline"/>
          <w:rFonts w:ascii="Calibri" w:hAnsi="Calibri" w:cs="Calibri"/>
        </w:rPr>
        <w:t>for a time</w:t>
      </w:r>
      <w:r w:rsidRPr="00A26ED6">
        <w:rPr>
          <w:rStyle w:val="StyleUnderline"/>
          <w:rFonts w:ascii="Calibri" w:hAnsi="Calibri" w:cs="Calibri"/>
        </w:rPr>
        <w:t xml:space="preserve"> — they are “better” at marshaling resources. Over the long run, the Singapores will beat the Soviets. </w:t>
      </w:r>
      <w:r w:rsidRPr="00E55230">
        <w:rPr>
          <w:rStyle w:val="StyleUnderline"/>
          <w:rFonts w:ascii="Calibri" w:hAnsi="Calibri" w:cs="Calibri"/>
        </w:rPr>
        <w:t>But in the long run, we’re all dead.</w:t>
      </w:r>
      <w:r w:rsidRPr="00A26ED6">
        <w:rPr>
          <w:rFonts w:ascii="Calibri" w:hAnsi="Calibri" w:cs="Calibri"/>
          <w:sz w:val="16"/>
        </w:rPr>
        <w:t xml:space="preserve"> And given that this literature is rooted in the bogey of long-term coalition warfare, </w:t>
      </w:r>
      <w:r w:rsidRPr="00E55230">
        <w:rPr>
          <w:rStyle w:val="StyleUnderline"/>
          <w:rFonts w:ascii="Calibri" w:hAnsi="Calibri" w:cs="Calibri"/>
        </w:rPr>
        <w:t>you can see why the unipolarity argument holds water</w:t>
      </w:r>
      <w:r w:rsidRPr="00A26ED6">
        <w:rPr>
          <w:rFonts w:ascii="Calibri" w:hAnsi="Calibri" w:cs="Calibri"/>
          <w:sz w:val="16"/>
        </w:rPr>
        <w:t xml:space="preserve">. At the risk of sounding overly harsh, </w:t>
      </w:r>
      <w:r w:rsidRPr="00A26ED6">
        <w:rPr>
          <w:rStyle w:val="StyleUnderline"/>
          <w:rFonts w:ascii="Calibri" w:hAnsi="Calibri" w:cs="Calibri"/>
        </w:rPr>
        <w:t>Pape’s understanding of “innovativeness” — based on the number of patents file</w:t>
      </w:r>
      <w:r w:rsidRPr="00A26ED6">
        <w:rPr>
          <w:rFonts w:ascii="Calibri" w:hAnsi="Calibri" w:cs="Calibri"/>
          <w:sz w:val="16"/>
        </w:rPr>
        <w:t xml:space="preserve">d, it seems — </w:t>
      </w:r>
      <w:r w:rsidRPr="00A26ED6">
        <w:rPr>
          <w:rStyle w:val="StyleUnderline"/>
          <w:rFonts w:ascii="Calibri" w:hAnsi="Calibri" w:cs="Calibri"/>
        </w:rPr>
        <w:t>is crude</w:t>
      </w:r>
      <w:r w:rsidRPr="00A26ED6">
        <w:rPr>
          <w:rFonts w:ascii="Calibri" w:hAnsi="Calibri" w:cs="Calibri"/>
          <w:sz w:val="16"/>
        </w:rPr>
        <w:t xml:space="preserve"> to say the least. I recommend Amar Bhidé‘s brilliant critique of Richard Freeman, which I’ll be talking about a lot. Pape cites Zakaria, who was relying on slightly shopworn ideas that Bhidé demolishes in The Venturesome Economy. </w:t>
      </w:r>
      <w:r w:rsidRPr="00E55230">
        <w:rPr>
          <w:rStyle w:val="StyleUnderline"/>
          <w:rFonts w:ascii="Calibri" w:hAnsi="Calibri" w:cs="Calibri"/>
        </w:rPr>
        <w:t>The “global diffusion of technology”</w:t>
      </w:r>
      <w:r w:rsidRPr="00A26ED6">
        <w:rPr>
          <w:rStyle w:val="StyleUnderline"/>
          <w:rFonts w:ascii="Calibri" w:hAnsi="Calibri" w:cs="Calibri"/>
        </w:rPr>
        <w:t xml:space="preserve"> is real, and if anything it </w:t>
      </w:r>
      <w:r w:rsidRPr="00E55230">
        <w:rPr>
          <w:rStyle w:val="StyleUnderline"/>
          <w:rFonts w:ascii="Calibri" w:hAnsi="Calibri" w:cs="Calibri"/>
        </w:rPr>
        <w:t>magnifies U.S. economic power</w:t>
      </w:r>
      <w:r w:rsidRPr="00A26ED6">
        <w:rPr>
          <w:rFonts w:ascii="Calibri" w:hAnsi="Calibri" w:cs="Calibri"/>
          <w:sz w:val="16"/>
        </w:rPr>
        <w:t xml:space="preserve">. “Ah, but we’re talking about the prospect of coalition warfare!” </w:t>
      </w:r>
      <w:r w:rsidRPr="00A26ED6">
        <w:rPr>
          <w:rStyle w:val="StyleUnderline"/>
          <w:rFonts w:ascii="Calibri" w:hAnsi="Calibri" w:cs="Calibri"/>
        </w:rPr>
        <w:t xml:space="preserve">The global diffusion of technology is indeed sharply </w:t>
      </w:r>
      <w:r w:rsidRPr="00E55230">
        <w:rPr>
          <w:rStyle w:val="StyleUnderline"/>
          <w:rFonts w:ascii="Calibri" w:hAnsi="Calibri" w:cs="Calibri"/>
        </w:rPr>
        <w:t>raising the costs of military conquest</w:t>
      </w:r>
      <w:r w:rsidRPr="00A26ED6">
        <w:rPr>
          <w:rStyle w:val="StyleUnderline"/>
          <w:rFonts w:ascii="Calibri" w:hAnsi="Calibri" w:cs="Calibri"/>
        </w:rPr>
        <w:t>, as the U</w:t>
      </w:r>
      <w:r w:rsidRPr="00A26ED6">
        <w:rPr>
          <w:rFonts w:ascii="Calibri" w:hAnsi="Calibri" w:cs="Calibri"/>
          <w:sz w:val="16"/>
        </w:rPr>
        <w:t xml:space="preserve">nited </w:t>
      </w:r>
      <w:r w:rsidRPr="00A26ED6">
        <w:rPr>
          <w:rStyle w:val="StyleUnderline"/>
          <w:rFonts w:ascii="Calibri" w:hAnsi="Calibri" w:cs="Calibri"/>
        </w:rPr>
        <w:t>S</w:t>
      </w:r>
      <w:r w:rsidRPr="00A26ED6">
        <w:rPr>
          <w:rFonts w:ascii="Calibri" w:hAnsi="Calibri" w:cs="Calibri"/>
          <w:sz w:val="16"/>
        </w:rPr>
        <w:t xml:space="preserve">tates </w:t>
      </w:r>
      <w:r w:rsidRPr="00A26ED6">
        <w:rPr>
          <w:rStyle w:val="StyleUnderline"/>
          <w:rFonts w:ascii="Calibri" w:hAnsi="Calibri" w:cs="Calibri"/>
        </w:rPr>
        <w:t>discovered</w:t>
      </w:r>
      <w:r w:rsidRPr="00A26ED6">
        <w:rPr>
          <w:rFonts w:ascii="Calibri" w:hAnsi="Calibri" w:cs="Calibri"/>
          <w:sz w:val="16"/>
        </w:rPr>
        <w:t xml:space="preserve"> in Iraq. </w:t>
      </w:r>
      <w:r w:rsidRPr="00E55230">
        <w:rPr>
          <w:rStyle w:val="StyleUnderline"/>
          <w:rFonts w:ascii="Calibri" w:hAnsi="Calibri" w:cs="Calibri"/>
        </w:rPr>
        <w:t>The declining utility of military power means that a unipolar distribution of military power is more likely to persist</w:t>
      </w:r>
      <w:r w:rsidRPr="00A26ED6">
        <w:rPr>
          <w:rFonts w:ascii="Calibri" w:hAnsi="Calibri" w:cs="Calibri"/>
          <w:sz w:val="16"/>
        </w:rPr>
        <w:t>. And yes, it also means that unipolar military power is less valuable than it was in 1945.</w:t>
      </w:r>
    </w:p>
    <w:p w:rsidR="000C7A59" w:rsidRPr="00340A33" w:rsidRDefault="000C7A59" w:rsidP="000C7A59">
      <w:pPr>
        <w:pStyle w:val="Heading4"/>
        <w:rPr>
          <w:rStyle w:val="Style13ptBold"/>
          <w:b/>
        </w:rPr>
      </w:pPr>
      <w:r w:rsidRPr="00340A33">
        <w:rPr>
          <w:rStyle w:val="Style13ptBold"/>
          <w:b/>
          <w:bCs w:val="0"/>
        </w:rPr>
        <w:t xml:space="preserve">Competitiveness </w:t>
      </w:r>
      <w:r>
        <w:rPr>
          <w:rStyle w:val="Style13ptBold"/>
          <w:b/>
          <w:bCs w:val="0"/>
        </w:rPr>
        <w:t xml:space="preserve">doesn’t matter </w:t>
      </w:r>
    </w:p>
    <w:p w:rsidR="000C7A59" w:rsidRPr="006C7F4D" w:rsidRDefault="000C7A59" w:rsidP="000C7A59">
      <w:pPr>
        <w:rPr>
          <w:sz w:val="16"/>
          <w:szCs w:val="16"/>
        </w:rPr>
      </w:pPr>
      <w:r w:rsidRPr="006C7F4D">
        <w:rPr>
          <w:rStyle w:val="Style13ptBold"/>
        </w:rPr>
        <w:t>Krugman 94</w:t>
      </w:r>
      <w:r w:rsidRPr="006C7F4D">
        <w:rPr>
          <w:sz w:val="16"/>
          <w:szCs w:val="16"/>
        </w:rPr>
        <w:sym w:font="Symbol" w:char="F0BE"/>
      </w:r>
      <w:r w:rsidRPr="006C7F4D">
        <w:rPr>
          <w:sz w:val="16"/>
          <w:szCs w:val="16"/>
        </w:rPr>
        <w:t>Paul Krugman, B.A. in Economics from Yale, Ph.D. from MIT, former professor at Yale, MIT, UC Berkeley, and Stanford, Nobel Prize in Economics, Professor of Economics and International Affairs at Woodrow Wilson School of Public and International Affairs, Princeton University, Centenary Professor at the London School of Economics, and columnist for The New York Times, Mar/Apr 1994 (“Competitiveness: A Dangerous Obsession,” Foreign Affairs, Vol. 73, No. 2)</w:t>
      </w:r>
    </w:p>
    <w:p w:rsidR="000C7A59" w:rsidRPr="006C7F4D" w:rsidRDefault="000C7A59" w:rsidP="000C7A59">
      <w:pPr>
        <w:rPr>
          <w:sz w:val="16"/>
        </w:rPr>
      </w:pPr>
      <w:r w:rsidRPr="006C7F4D">
        <w:rPr>
          <w:sz w:val="16"/>
        </w:rPr>
        <w:t>But isn't it a fact that the stagnation of U.S. living standards has been in large part due to a failure to compete effectively on world markets? No, it's not a fact</w:t>
      </w:r>
      <w:r w:rsidRPr="006C7F4D">
        <w:rPr>
          <w:sz w:val="14"/>
          <w:szCs w:val="14"/>
        </w:rPr>
        <w:t xml:space="preserve">. </w:t>
      </w:r>
      <w:r w:rsidRPr="00E55230">
        <w:rPr>
          <w:rStyle w:val="StyleUnderline"/>
        </w:rPr>
        <w:t>From 1979 to 1989 the</w:t>
      </w:r>
      <w:r w:rsidRPr="006C7F4D">
        <w:rPr>
          <w:rStyle w:val="StyleUnderline"/>
        </w:rPr>
        <w:t xml:space="preserve"> real </w:t>
      </w:r>
      <w:r w:rsidRPr="00E55230">
        <w:rPr>
          <w:rStyle w:val="StyleUnderline"/>
        </w:rPr>
        <w:t>compensation of</w:t>
      </w:r>
      <w:r w:rsidRPr="006C7F4D">
        <w:rPr>
          <w:rStyle w:val="StyleUnderline"/>
        </w:rPr>
        <w:t xml:space="preserve"> all </w:t>
      </w:r>
      <w:r w:rsidRPr="00E55230">
        <w:rPr>
          <w:rStyle w:val="StyleUnderline"/>
        </w:rPr>
        <w:t>U.S. workers rose 5.8%, while productivity rose 5.1%.</w:t>
      </w:r>
      <w:r w:rsidRPr="006C7F4D">
        <w:rPr>
          <w:sz w:val="14"/>
          <w:szCs w:val="14"/>
        </w:rPr>
        <w:t xml:space="preserve"> These are purely domestic variables -- that is,</w:t>
      </w:r>
      <w:r w:rsidRPr="006C7F4D">
        <w:rPr>
          <w:sz w:val="16"/>
          <w:szCs w:val="26"/>
        </w:rPr>
        <w:t xml:space="preserve"> </w:t>
      </w:r>
      <w:r w:rsidRPr="00E55230">
        <w:rPr>
          <w:b/>
          <w:u w:val="single"/>
        </w:rPr>
        <w:t>productivity is not measured relative to other countries</w:t>
      </w:r>
      <w:r w:rsidRPr="006C7F4D">
        <w:rPr>
          <w:sz w:val="14"/>
          <w:szCs w:val="14"/>
        </w:rPr>
        <w:t xml:space="preserve">, and no data about global market shares or anything that involves the global economy are taken into account. Yet the two series rose by almost exactly the same (disappointing) amount. So </w:t>
      </w:r>
      <w:r w:rsidRPr="00E55230">
        <w:rPr>
          <w:rStyle w:val="StyleUnderline"/>
        </w:rPr>
        <w:t>we got</w:t>
      </w:r>
      <w:r w:rsidRPr="006C7F4D">
        <w:rPr>
          <w:sz w:val="14"/>
          <w:szCs w:val="14"/>
        </w:rPr>
        <w:t xml:space="preserve"> almost </w:t>
      </w:r>
      <w:r w:rsidRPr="006C7F4D">
        <w:rPr>
          <w:rStyle w:val="StyleUnderline"/>
        </w:rPr>
        <w:t xml:space="preserve">exactly </w:t>
      </w:r>
      <w:r w:rsidRPr="00E55230">
        <w:rPr>
          <w:rStyle w:val="StyleUnderline"/>
        </w:rPr>
        <w:t>the growth in living standards we would have gotten if the U.S. were alone in the world</w:t>
      </w:r>
      <w:r w:rsidRPr="006C7F4D">
        <w:rPr>
          <w:rStyle w:val="StyleUnderline"/>
        </w:rPr>
        <w:t xml:space="preserve"> and we had no international trade at all.</w:t>
      </w:r>
      <w:r w:rsidRPr="006C7F4D">
        <w:rPr>
          <w:sz w:val="14"/>
          <w:szCs w:val="14"/>
        </w:rPr>
        <w:t xml:space="preserve">(3) "High productivity." Just about everyone now agrees that the U.S. economy needs higher productivity. Most people, however, are confused about why. </w:t>
      </w:r>
      <w:r w:rsidRPr="006C7F4D">
        <w:rPr>
          <w:b/>
          <w:sz w:val="14"/>
          <w:szCs w:val="14"/>
          <w:u w:val="single"/>
        </w:rPr>
        <w:t xml:space="preserve">The most popular explanation is </w:t>
      </w:r>
      <w:r w:rsidRPr="00E55230">
        <w:rPr>
          <w:b/>
          <w:u w:val="single"/>
        </w:rPr>
        <w:t>that we need to be productive in order to compete in the global economy</w:t>
      </w:r>
      <w:r w:rsidRPr="006C7F4D">
        <w:rPr>
          <w:sz w:val="16"/>
        </w:rPr>
        <w:t xml:space="preserve">. That was the explanation President Clinton gave in February 1993, when he tried to justify an economic package that included painful tax increases. </w:t>
      </w:r>
      <w:r w:rsidRPr="006C7F4D">
        <w:rPr>
          <w:b/>
          <w:sz w:val="14"/>
          <w:szCs w:val="14"/>
          <w:u w:val="single"/>
        </w:rPr>
        <w:t>But</w:t>
      </w:r>
      <w:r w:rsidRPr="006C7F4D">
        <w:rPr>
          <w:b/>
          <w:u w:val="single"/>
        </w:rPr>
        <w:t xml:space="preserve"> </w:t>
      </w:r>
      <w:r w:rsidRPr="00E55230">
        <w:rPr>
          <w:b/>
          <w:u w:val="single"/>
        </w:rPr>
        <w:t>i</w:t>
      </w:r>
      <w:r w:rsidRPr="006C7F4D">
        <w:rPr>
          <w:b/>
          <w:sz w:val="12"/>
          <w:szCs w:val="12"/>
          <w:u w:val="single"/>
        </w:rPr>
        <w:t>t'</w:t>
      </w:r>
      <w:r w:rsidRPr="00E55230">
        <w:rPr>
          <w:b/>
          <w:u w:val="single"/>
        </w:rPr>
        <w:t>s wrong</w:t>
      </w:r>
      <w:r w:rsidRPr="006C7F4D">
        <w:rPr>
          <w:sz w:val="16"/>
          <w:szCs w:val="26"/>
        </w:rPr>
        <w:t xml:space="preserve">. </w:t>
      </w:r>
      <w:r w:rsidRPr="006C7F4D">
        <w:rPr>
          <w:sz w:val="16"/>
        </w:rPr>
        <w:t xml:space="preserve">We need to be more productive in order to produce more, and this would be true even if the U.S. were completely without foreign competitors or customers. To illustrate, let's consider three questions. First, what happens to a country whose productivity is inferior to that of the countries it trades with? The common view is that it will suffer. After all, if you aren't better than your rivals in something, how can you sell anything on world markets? The right answer is that </w:t>
      </w:r>
      <w:r w:rsidRPr="00E55230">
        <w:rPr>
          <w:b/>
          <w:u w:val="single"/>
        </w:rPr>
        <w:t>being less productive than your trading partners poses no</w:t>
      </w:r>
      <w:r w:rsidRPr="006C7F4D">
        <w:rPr>
          <w:sz w:val="16"/>
        </w:rPr>
        <w:t xml:space="preserve"> special </w:t>
      </w:r>
      <w:r w:rsidRPr="00E55230">
        <w:rPr>
          <w:b/>
          <w:u w:val="single"/>
        </w:rPr>
        <w:t>problems</w:t>
      </w:r>
      <w:r w:rsidRPr="006C7F4D">
        <w:rPr>
          <w:sz w:val="16"/>
        </w:rPr>
        <w:t xml:space="preserve">. Of course, a country whose productivity is low across the board is not going to have a high standard of living; but that has nothing to do with the fact that it must coexist with more productive nations. In fact, the option of exporting to those superior "competitors" the things you don't make too badly, and importing from them the things you do, delivers a somewhat higher living standard than a country with very low domestic productivity might otherwise enjoy. This is the basic point David Ricardo made in 1817 when he first expounded the principle of comparative advantage -- a principle that every student learns in Economics 101 and that most politicians persist in ignoring. Second question: What happens to a country whose productivity growth lags behind that of its rivals? The common view is that it is in big trouble -- after all, a corporation that systematically fails to match competitors' productivity gains is not going to stay in business. The right answer, however, is that </w:t>
      </w:r>
      <w:r w:rsidRPr="00E55230">
        <w:rPr>
          <w:b/>
          <w:u w:val="single"/>
        </w:rPr>
        <w:t>how fast productivity is growing abroad, and whether we are ahead of or behind</w:t>
      </w:r>
      <w:r w:rsidRPr="006C7F4D">
        <w:rPr>
          <w:sz w:val="16"/>
          <w:szCs w:val="26"/>
        </w:rPr>
        <w:t xml:space="preserve"> </w:t>
      </w:r>
      <w:r w:rsidRPr="006C7F4D">
        <w:rPr>
          <w:sz w:val="16"/>
        </w:rPr>
        <w:t xml:space="preserve">the pack, </w:t>
      </w:r>
      <w:r w:rsidRPr="00E55230">
        <w:rPr>
          <w:b/>
          <w:u w:val="single"/>
        </w:rPr>
        <w:t>is irrelevant</w:t>
      </w:r>
      <w:r w:rsidRPr="006C7F4D">
        <w:rPr>
          <w:sz w:val="16"/>
        </w:rPr>
        <w:t xml:space="preserve">. </w:t>
      </w:r>
      <w:r w:rsidRPr="006C7F4D">
        <w:rPr>
          <w:sz w:val="14"/>
          <w:szCs w:val="14"/>
        </w:rPr>
        <w:t xml:space="preserve">From World War II until 1973, </w:t>
      </w:r>
      <w:r w:rsidRPr="006C7F4D">
        <w:rPr>
          <w:rStyle w:val="StyleUnderline"/>
        </w:rPr>
        <w:t>productivity in the U.S</w:t>
      </w:r>
      <w:r w:rsidRPr="006C7F4D">
        <w:rPr>
          <w:sz w:val="14"/>
          <w:szCs w:val="14"/>
        </w:rPr>
        <w:t xml:space="preserve">. rose 2.8% annually. </w:t>
      </w:r>
      <w:r w:rsidRPr="006C7F4D">
        <w:rPr>
          <w:rStyle w:val="StyleUnderline"/>
        </w:rPr>
        <w:t>After 1973, it rose only 0.9% annually, a rate</w:t>
      </w:r>
      <w:r w:rsidRPr="006C7F4D">
        <w:rPr>
          <w:sz w:val="14"/>
          <w:szCs w:val="14"/>
        </w:rPr>
        <w:t xml:space="preserve"> generally </w:t>
      </w:r>
      <w:r w:rsidRPr="006C7F4D">
        <w:rPr>
          <w:rStyle w:val="StyleUnderline"/>
        </w:rPr>
        <w:t>slower than in other advanced nations</w:t>
      </w:r>
      <w:r w:rsidRPr="006C7F4D">
        <w:rPr>
          <w:sz w:val="14"/>
          <w:szCs w:val="14"/>
        </w:rPr>
        <w:t xml:space="preserve">. If the rest of the world did not exist, this slowdown would have reduced growth in U.S. incomes by 1.9% per year. </w:t>
      </w:r>
      <w:r w:rsidRPr="006C7F4D">
        <w:rPr>
          <w:rStyle w:val="StyleUnderline"/>
        </w:rPr>
        <w:t>Any effects from lagging behind foreign competitors contributed at most</w:t>
      </w:r>
      <w:r w:rsidRPr="006C7F4D">
        <w:rPr>
          <w:sz w:val="14"/>
          <w:szCs w:val="14"/>
        </w:rPr>
        <w:t xml:space="preserve"> another </w:t>
      </w:r>
      <w:r w:rsidRPr="006C7F4D">
        <w:rPr>
          <w:rStyle w:val="StyleUnderline"/>
        </w:rPr>
        <w:t>0.1 percentage point</w:t>
      </w:r>
      <w:r w:rsidRPr="006C7F4D">
        <w:rPr>
          <w:sz w:val="14"/>
          <w:szCs w:val="14"/>
        </w:rPr>
        <w:t>. The moral: What matters for the trend in U.S. living standards is our domestic rate of productivity growth – period.</w:t>
      </w:r>
    </w:p>
    <w:p w:rsidR="000C7A59" w:rsidRPr="00A26ED6" w:rsidRDefault="000C7A59" w:rsidP="000C7A59"/>
    <w:p w:rsidR="000C7A59" w:rsidRDefault="000C7A59" w:rsidP="000C7A59">
      <w:pPr>
        <w:pStyle w:val="Heading3"/>
      </w:pPr>
      <w:r>
        <w:t>AT: Competitiveness – States Better</w:t>
      </w:r>
    </w:p>
    <w:p w:rsidR="000C7A59" w:rsidRPr="00347E0F" w:rsidRDefault="000C7A59" w:rsidP="000C7A59">
      <w:pPr>
        <w:pStyle w:val="Heading4"/>
      </w:pPr>
      <w:r>
        <w:t>States solve competitiveness better</w:t>
      </w:r>
    </w:p>
    <w:p w:rsidR="000C7A59" w:rsidRPr="00F5760D" w:rsidRDefault="000C7A59" w:rsidP="000C7A59">
      <w:r>
        <w:rPr>
          <w:rStyle w:val="Style13ptBold"/>
        </w:rPr>
        <w:t xml:space="preserve">Tucker </w:t>
      </w:r>
      <w:r w:rsidRPr="00BE512F">
        <w:rPr>
          <w:rStyle w:val="Style13ptBold"/>
        </w:rPr>
        <w:t>13</w:t>
      </w:r>
      <w:r>
        <w:t xml:space="preserve"> - president of the National Center on Education and the Economy</w:t>
      </w:r>
      <w:r>
        <w:br/>
        <w:t>Marc, "Governing American Education," May 2013, https://www.americanprogress.org/wp-content/uploads/2013/05/TuckerGoverningReport.pdf</w:t>
      </w:r>
    </w:p>
    <w:p w:rsidR="000C7A59" w:rsidRPr="003D596B" w:rsidRDefault="000C7A59" w:rsidP="000C7A59">
      <w:pPr>
        <w:rPr>
          <w:sz w:val="16"/>
        </w:rPr>
      </w:pPr>
      <w:r w:rsidRPr="003D596B">
        <w:rPr>
          <w:sz w:val="16"/>
        </w:rPr>
        <w:t xml:space="preserve">This is by far this report’s most important recommendation. </w:t>
      </w:r>
      <w:r w:rsidRPr="00347E0F">
        <w:rPr>
          <w:rStyle w:val="StyleUnderline"/>
        </w:rPr>
        <w:t>The United States will</w:t>
      </w:r>
      <w:r>
        <w:rPr>
          <w:rStyle w:val="StyleUnderline"/>
        </w:rPr>
        <w:t xml:space="preserve"> </w:t>
      </w:r>
      <w:r w:rsidRPr="00347E0F">
        <w:rPr>
          <w:rStyle w:val="StyleUnderline"/>
        </w:rPr>
        <w:t>not reach the top ranks of the international league tables for education unless some</w:t>
      </w:r>
      <w:r>
        <w:rPr>
          <w:rStyle w:val="StyleUnderline"/>
        </w:rPr>
        <w:t xml:space="preserve"> </w:t>
      </w:r>
      <w:r w:rsidRPr="00347E0F">
        <w:rPr>
          <w:rStyle w:val="StyleUnderline"/>
        </w:rPr>
        <w:t>agency of government at some level has the authority</w:t>
      </w:r>
      <w:r w:rsidRPr="003D596B">
        <w:rPr>
          <w:sz w:val="16"/>
        </w:rPr>
        <w:t xml:space="preserve">, responsibility, </w:t>
      </w:r>
      <w:r w:rsidRPr="00347E0F">
        <w:rPr>
          <w:rStyle w:val="StyleUnderline"/>
        </w:rPr>
        <w:t>and legitimacy</w:t>
      </w:r>
      <w:r>
        <w:rPr>
          <w:rStyle w:val="StyleUnderline"/>
        </w:rPr>
        <w:t xml:space="preserve"> </w:t>
      </w:r>
      <w:r w:rsidRPr="00347E0F">
        <w:rPr>
          <w:rStyle w:val="StyleUnderline"/>
        </w:rPr>
        <w:t>of the typical ministry of education at the state or national level in the top-performing</w:t>
      </w:r>
      <w:r>
        <w:rPr>
          <w:rStyle w:val="StyleUnderline"/>
        </w:rPr>
        <w:t xml:space="preserve"> </w:t>
      </w:r>
      <w:r w:rsidRPr="00347E0F">
        <w:rPr>
          <w:rStyle w:val="StyleUnderline"/>
        </w:rPr>
        <w:t>countries</w:t>
      </w:r>
      <w:r w:rsidRPr="003D596B">
        <w:rPr>
          <w:sz w:val="16"/>
        </w:rPr>
        <w:t xml:space="preserve">. Certainly, </w:t>
      </w:r>
      <w:r w:rsidRPr="00347E0F">
        <w:rPr>
          <w:rStyle w:val="StyleUnderline"/>
        </w:rPr>
        <w:t>no one wants the federal government to have this job nor</w:t>
      </w:r>
      <w:r>
        <w:rPr>
          <w:rStyle w:val="StyleUnderline"/>
        </w:rPr>
        <w:t xml:space="preserve"> </w:t>
      </w:r>
      <w:r w:rsidRPr="00347E0F">
        <w:rPr>
          <w:rStyle w:val="StyleUnderline"/>
        </w:rPr>
        <w:t>would it work to have that role played at the local level</w:t>
      </w:r>
      <w:r w:rsidRPr="003D596B">
        <w:rPr>
          <w:sz w:val="16"/>
        </w:rPr>
        <w:t xml:space="preserve">. That leaves the state level. I pointed out above that our state education agencies have much fewer—often less than half—personnel then they had 15 years ago but much more responsibility. As a result these agencies cannot do their job. Moreover, the authority of the education agency was never sufficiently broadly defined to provide the scope needed to develop the strategies and implementation plans required to compete effectively with their counterparts elsewhere in the world. </w:t>
      </w:r>
      <w:r w:rsidRPr="00347E0F">
        <w:rPr>
          <w:rStyle w:val="StyleUnderline"/>
        </w:rPr>
        <w:t>State legislatures need to redesign their education agencies to enable them to lead</w:t>
      </w:r>
      <w:r>
        <w:rPr>
          <w:rStyle w:val="StyleUnderline"/>
        </w:rPr>
        <w:t xml:space="preserve"> </w:t>
      </w:r>
      <w:r w:rsidRPr="00347E0F">
        <w:rPr>
          <w:rStyle w:val="StyleUnderline"/>
        </w:rPr>
        <w:t>their states to world-class education performance</w:t>
      </w:r>
      <w:r w:rsidRPr="003D596B">
        <w:rPr>
          <w:sz w:val="16"/>
        </w:rPr>
        <w:t xml:space="preserve">. If they need to see examples of what is needed, they need only look at the structures, functions, authority, staffing levels, and compensation levels of the ministries of education in the world’s top-performing countries. </w:t>
      </w:r>
      <w:r w:rsidRPr="00347E0F">
        <w:rPr>
          <w:rStyle w:val="StyleUnderline"/>
        </w:rPr>
        <w:t>Functions now widely distributed to independent bodies need to be consolidated</w:t>
      </w:r>
      <w:r>
        <w:rPr>
          <w:rStyle w:val="StyleUnderline"/>
        </w:rPr>
        <w:t xml:space="preserve"> </w:t>
      </w:r>
      <w:r w:rsidRPr="00347E0F">
        <w:rPr>
          <w:rStyle w:val="StyleUnderline"/>
        </w:rPr>
        <w:t>in the state departments of education. These include recruitment and licensing of</w:t>
      </w:r>
      <w:r>
        <w:rPr>
          <w:rStyle w:val="StyleUnderline"/>
        </w:rPr>
        <w:t xml:space="preserve"> </w:t>
      </w:r>
      <w:r w:rsidRPr="00347E0F">
        <w:rPr>
          <w:rStyle w:val="StyleUnderline"/>
        </w:rPr>
        <w:t>teachers, standards for admission to schools of education, approval of the programs</w:t>
      </w:r>
      <w:r>
        <w:rPr>
          <w:rStyle w:val="StyleUnderline"/>
        </w:rPr>
        <w:t xml:space="preserve"> </w:t>
      </w:r>
      <w:r w:rsidRPr="00347E0F">
        <w:rPr>
          <w:rStyle w:val="StyleUnderline"/>
        </w:rPr>
        <w:t>of the schools of education,</w:t>
      </w:r>
      <w:r w:rsidRPr="003D596B">
        <w:rPr>
          <w:sz w:val="16"/>
        </w:rPr>
        <w:t xml:space="preserve"> student-performance standards, curriculum standards, textbook approval, state testing, accountability, and improving the performance of low-performing schools. </w:t>
      </w:r>
    </w:p>
    <w:p w:rsidR="000C7A59" w:rsidRPr="003D596B" w:rsidRDefault="000C7A59" w:rsidP="000C7A59"/>
    <w:p w:rsidR="000C7A59" w:rsidRDefault="000C7A59" w:rsidP="000C7A59">
      <w:pPr>
        <w:pStyle w:val="Heading3"/>
      </w:pPr>
      <w:r>
        <w:t>AT: Federalism – No Spillover</w:t>
      </w:r>
    </w:p>
    <w:p w:rsidR="000C7A59" w:rsidRPr="003D596B" w:rsidRDefault="000C7A59" w:rsidP="000C7A59">
      <w:pPr>
        <w:pStyle w:val="Heading4"/>
        <w:rPr>
          <w:rStyle w:val="Style13ptBold"/>
          <w:b/>
        </w:rPr>
      </w:pPr>
      <w:r w:rsidRPr="003D596B">
        <w:rPr>
          <w:rStyle w:val="Style13ptBold"/>
          <w:b/>
        </w:rPr>
        <w:t>Federalism isn’t zero-sum – issues don’t spill over.</w:t>
      </w:r>
    </w:p>
    <w:p w:rsidR="000C7A59" w:rsidRDefault="000C7A59" w:rsidP="000C7A59">
      <w:r w:rsidRPr="00982806">
        <w:rPr>
          <w:rStyle w:val="Style13ptBold"/>
        </w:rPr>
        <w:t xml:space="preserve">Ryan 12 </w:t>
      </w:r>
      <w:r>
        <w:t>(Erin Ryan is currently a Fulbright Scholar in China. She is a professor of law at Lewis and Clark Law School,  7-3-2012, "Spending power bargaining after Obamacare, "OUPblog, )https://blog.oup.com/2012/07/spending-power-bargaining-after-obamacare/</w:t>
      </w:r>
    </w:p>
    <w:p w:rsidR="000C7A59" w:rsidRPr="003D596B" w:rsidRDefault="000C7A59" w:rsidP="000C7A59">
      <w:pPr>
        <w:rPr>
          <w:sz w:val="16"/>
        </w:rPr>
      </w:pPr>
      <w:r w:rsidRPr="003D596B">
        <w:rPr>
          <w:sz w:val="16"/>
        </w:rPr>
        <w:t xml:space="preserve">It’s important to get these things right because an awful lot of American governance really is negotiated between state and federal actors this way. </w:t>
      </w:r>
      <w:r w:rsidRPr="003D596B">
        <w:rPr>
          <w:rStyle w:val="StyleUnderline"/>
        </w:rPr>
        <w:t>Federalism champions often mistakenly assume a “zero-sum” model of American federalism that emphasizes winner-takes-all competition between state and federal actors for power.</w:t>
      </w:r>
      <w:r w:rsidRPr="003D596B">
        <w:rPr>
          <w:sz w:val="16"/>
        </w:rPr>
        <w:t xml:space="preserve"> </w:t>
      </w:r>
      <w:r w:rsidRPr="003D596B">
        <w:rPr>
          <w:rStyle w:val="StyleUnderline"/>
        </w:rPr>
        <w:t xml:space="preserve">But countless real-world examples show that the boundary between state and federal authority is </w:t>
      </w:r>
      <w:r w:rsidRPr="00E87084">
        <w:rPr>
          <w:rStyle w:val="StyleUnderline"/>
        </w:rPr>
        <w:t>really a project of ongoing negotiation, one</w:t>
      </w:r>
      <w:r w:rsidRPr="003D596B">
        <w:rPr>
          <w:rStyle w:val="StyleUnderline"/>
        </w:rPr>
        <w:t xml:space="preserve"> that effectively harnesses the regulatory innovation and interjurisdictional synergy that is the hallmark of our federal system</w:t>
      </w:r>
      <w:r w:rsidRPr="003D596B">
        <w:rPr>
          <w:sz w:val="16"/>
        </w:rPr>
        <w:t xml:space="preserve">. </w:t>
      </w:r>
      <w:r w:rsidRPr="003D596B">
        <w:rPr>
          <w:rStyle w:val="StyleUnderline"/>
        </w:rPr>
        <w:t>Understanding state-federal relations</w:t>
      </w:r>
      <w:r w:rsidRPr="003D596B">
        <w:rPr>
          <w:sz w:val="16"/>
        </w:rPr>
        <w:t xml:space="preserve"> </w:t>
      </w:r>
      <w:r w:rsidRPr="003D596B">
        <w:rPr>
          <w:rStyle w:val="StyleUnderline"/>
        </w:rPr>
        <w:t>as</w:t>
      </w:r>
      <w:r w:rsidRPr="003D596B">
        <w:rPr>
          <w:sz w:val="16"/>
        </w:rPr>
        <w:t xml:space="preserve"> heavily mediated by </w:t>
      </w:r>
      <w:r w:rsidRPr="003D596B">
        <w:rPr>
          <w:rStyle w:val="StyleUnderline"/>
        </w:rPr>
        <w:t>negotiation</w:t>
      </w:r>
      <w:r w:rsidRPr="003D596B">
        <w:rPr>
          <w:sz w:val="16"/>
        </w:rPr>
        <w:t xml:space="preserve"> betrays the growing gap between the rhetoric and reality of </w:t>
      </w:r>
      <w:r w:rsidRPr="003D596B">
        <w:rPr>
          <w:rStyle w:val="StyleUnderline"/>
        </w:rPr>
        <w:t>American federalism</w:t>
      </w:r>
      <w:r w:rsidRPr="003D596B">
        <w:rPr>
          <w:sz w:val="16"/>
        </w:rPr>
        <w:t xml:space="preserve">—and it </w:t>
      </w:r>
      <w:r w:rsidRPr="003D596B">
        <w:rPr>
          <w:rStyle w:val="StyleUnderline"/>
        </w:rPr>
        <w:t>offers hope for moving beyond the paralyzing features of the zero-sum discourse</w:t>
      </w:r>
      <w:r w:rsidRPr="003D596B">
        <w:rPr>
          <w:sz w:val="16"/>
        </w:rPr>
        <w:t>. Still, a core feature making the overall system work is that intergovernmental bargaining must be fairly secured by genuine consent.</w:t>
      </w:r>
    </w:p>
    <w:p w:rsidR="000C7A59" w:rsidRDefault="000C7A59" w:rsidP="000C7A59">
      <w:pPr>
        <w:pStyle w:val="Heading3"/>
      </w:pPr>
      <w:r>
        <w:t>AT: Disasters – Fed Gov Bad</w:t>
      </w:r>
    </w:p>
    <w:p w:rsidR="000C7A59" w:rsidRPr="00BE6825" w:rsidRDefault="000C7A59" w:rsidP="000C7A59">
      <w:pPr>
        <w:pStyle w:val="Heading4"/>
      </w:pPr>
      <w:r>
        <w:t>Federalism is key to disaster response – local control is better.</w:t>
      </w:r>
    </w:p>
    <w:p w:rsidR="000C7A59" w:rsidRPr="00BE6825" w:rsidRDefault="000C7A59" w:rsidP="000C7A59">
      <w:r w:rsidRPr="00BE6825">
        <w:rPr>
          <w:rStyle w:val="Style13ptBold"/>
        </w:rPr>
        <w:t>Carafano &amp; Weitz 6</w:t>
      </w:r>
      <w:r>
        <w:t xml:space="preserve"> [James Carafano (Senior Research Fellow for National Security and Homeland Security in the Douglas and Sarah Allison Center for Foreign Policy Studies) and Richard Weitz (Senior Fellow and Associate Director of the Center for Future Security Strategies at the Hudson Institute), 3-21-2006, "Learning from Disaster: The Role of Federalism and the Importance of Grassroots Response," Heritage Foundation, http://www.heritage.org/homeland-security/report/learning-disaster-the-role-federalism-and-the-importance-grassroots]</w:t>
      </w:r>
    </w:p>
    <w:p w:rsidR="000C7A59" w:rsidRPr="00BE6825" w:rsidRDefault="000C7A59" w:rsidP="000C7A59">
      <w:pPr>
        <w:rPr>
          <w:sz w:val="16"/>
        </w:rPr>
      </w:pPr>
      <w:r w:rsidRPr="00BE6825">
        <w:rPr>
          <w:sz w:val="16"/>
        </w:rPr>
        <w:t xml:space="preserve">In the aftermath of the widespread devastation wrought by Hurricane Katrina and the unsteady response to conditions in New Orleans, some argued to give the federal government a much more intrusive role in meeting future catastrophic emergencies. [1] While improvements in the federal response are nec­essary, </w:t>
      </w:r>
      <w:r w:rsidRPr="00BE6825">
        <w:rPr>
          <w:rStyle w:val="StyleUnderline"/>
        </w:rPr>
        <w:t>turning responsibility for everything over to Washington is a terrible idea.</w:t>
      </w:r>
      <w:r>
        <w:rPr>
          <w:rStyle w:val="StyleUnderline"/>
        </w:rPr>
        <w:t xml:space="preserve"> </w:t>
      </w:r>
      <w:r w:rsidRPr="00BE6825">
        <w:rPr>
          <w:sz w:val="16"/>
        </w:rPr>
        <w:t xml:space="preserve">Homeland security and </w:t>
      </w:r>
      <w:r w:rsidRPr="00BE6825">
        <w:rPr>
          <w:rStyle w:val="StyleUnderline"/>
        </w:rPr>
        <w:t>disaster management are national, not just federal, missions. The right response to domestic emergencies requires effective action from state and local governments</w:t>
      </w:r>
      <w:r w:rsidRPr="00BE6825">
        <w:rPr>
          <w:sz w:val="16"/>
        </w:rPr>
        <w:t xml:space="preserve">, private-sector and volun­tary associations, and communities and individuals, as well as support from federal officials. </w:t>
      </w:r>
      <w:r w:rsidRPr="00BE6825">
        <w:rPr>
          <w:rStyle w:val="StyleUnderline"/>
        </w:rPr>
        <w:t>The best way to ensure cooperation and to meet shared responsibilities is not to put big government in charge.</w:t>
      </w:r>
      <w:r>
        <w:rPr>
          <w:rStyle w:val="StyleUnderline"/>
        </w:rPr>
        <w:t xml:space="preserve"> </w:t>
      </w:r>
      <w:r w:rsidRPr="00BE6825">
        <w:rPr>
          <w:sz w:val="16"/>
        </w:rPr>
        <w:t xml:space="preserve">Federalism has long been the guiding principle for allocating responsibilities to meet the needs of citi­zens after disasters. </w:t>
      </w:r>
      <w:r w:rsidRPr="00BE6825">
        <w:rPr>
          <w:rStyle w:val="StyleUnderline"/>
        </w:rPr>
        <w:t>Remaining committed to a feder­alist approach</w:t>
      </w:r>
      <w:r w:rsidRPr="00BE6825">
        <w:rPr>
          <w:sz w:val="16"/>
        </w:rPr>
        <w:t xml:space="preserve"> is not just being a slave to tradition. It </w:t>
      </w:r>
      <w:r w:rsidRPr="00BE6825">
        <w:rPr>
          <w:rStyle w:val="StyleUnderline"/>
        </w:rPr>
        <w:t xml:space="preserve">is a precedent based on practicality and experience. Both scientific research on disaster response and an analysis of recent emergencies argue that it is still the right approach. </w:t>
      </w:r>
      <w:r w:rsidRPr="00BE6825">
        <w:rPr>
          <w:sz w:val="16"/>
        </w:rPr>
        <w:t xml:space="preserve">Many of the best efforts to save lives and safeguard property highlight the vital role that nongovernmental organizations (NGOs), private-sec­tor initiatives, and individual civic deeds play during extreme emergencies. In fact, they argue that rather than being supplanted by federal oversight, </w:t>
      </w:r>
      <w:r w:rsidRPr="00BE6825">
        <w:rPr>
          <w:rStyle w:val="StyleUnderline"/>
        </w:rPr>
        <w:t>grass­roots responses should be the cornerstone of the national effort.</w:t>
      </w:r>
      <w:r>
        <w:rPr>
          <w:rStyle w:val="StyleUnderline"/>
        </w:rPr>
        <w:t xml:space="preserve"> </w:t>
      </w:r>
      <w:r w:rsidRPr="00BE6825">
        <w:rPr>
          <w:sz w:val="16"/>
        </w:rPr>
        <w:t xml:space="preserve">The federal government can best facilitate estab­lishing an effective national response to catastrophic disaster by meeting its own responsibilities, creating a national response system that promotes collabora­tive effort, and supporting "train the trainer" pro­grams that help communities to build strong grassroots response. The Constitution and Governance Embodied in the U.S. Constitution, the princi­ples of limited government and federalism give cit­izens and local communities the greatest role in shaping their lives. The 10th Amendment states that "powers not delegated to the United States by the Constitution, nor prohibited by it to the States, are reserved to the States respectively, or to the peo­ple." In matters relating to their communities, </w:t>
      </w:r>
      <w:r w:rsidRPr="00BE6825">
        <w:rPr>
          <w:rStyle w:val="StyleUnderline"/>
        </w:rPr>
        <w:t>local jurisdictions have the preponderance of authority and autonomy.</w:t>
      </w:r>
      <w:r w:rsidRPr="00BE6825">
        <w:rPr>
          <w:sz w:val="16"/>
        </w:rPr>
        <w:t xml:space="preserve"> This just makes sense: </w:t>
      </w:r>
      <w:r w:rsidRPr="00BE6825">
        <w:rPr>
          <w:rStyle w:val="StyleUnderline"/>
        </w:rPr>
        <w:t>The people closest to the problem are the ones best equipped to find the best solution.</w:t>
      </w:r>
      <w:r>
        <w:rPr>
          <w:rStyle w:val="StyleUnderline"/>
        </w:rPr>
        <w:t xml:space="preserve"> </w:t>
      </w:r>
      <w:r w:rsidRPr="00BE6825">
        <w:rPr>
          <w:sz w:val="16"/>
        </w:rPr>
        <w:t xml:space="preserve">America's system for disaster response reflects these principles. The core assumption is that inci­dents are typically managed best at the lowest pos­sible geographic, organizational, and jurisdictional levels. Several reasons justify this approach. </w:t>
      </w:r>
      <w:r w:rsidRPr="00BE6825">
        <w:rPr>
          <w:rStyle w:val="StyleUnderline"/>
        </w:rPr>
        <w:t>Every community is unique. Preparedness planning must account for local conditions of culture, geography, language, infrastructure, politics, and numerous other factors.</w:t>
      </w:r>
      <w:r>
        <w:rPr>
          <w:rStyle w:val="StyleUnderline"/>
        </w:rPr>
        <w:t xml:space="preserve"> </w:t>
      </w:r>
      <w:r w:rsidRPr="00BE6825">
        <w:rPr>
          <w:rStyle w:val="StyleUnderline"/>
        </w:rPr>
        <w:t>Local communities have the resources. Since local communities are responsible for public safety, they already have the preponderance of assets that are usually required to deal with prob­lems. Of the millions of emergency responders in the United States</w:t>
      </w:r>
      <w:r w:rsidRPr="00BE6825">
        <w:rPr>
          <w:sz w:val="16"/>
        </w:rPr>
        <w:t>-including fire, police, emer­gency services, utility workers, medical person­nel, and volunteer groups-</w:t>
      </w:r>
      <w:r w:rsidRPr="00BE6825">
        <w:rPr>
          <w:rStyle w:val="StyleUnderline"/>
        </w:rPr>
        <w:t>the vast majority work either for or with local communities.</w:t>
      </w:r>
      <w:r>
        <w:rPr>
          <w:rStyle w:val="StyleUnderline"/>
        </w:rPr>
        <w:t xml:space="preserve"> </w:t>
      </w:r>
      <w:r w:rsidRPr="00BE6825">
        <w:rPr>
          <w:rStyle w:val="StyleUnderline"/>
        </w:rPr>
        <w:t xml:space="preserve">Time matters. In most disasters, the first few hours are critical. </w:t>
      </w:r>
      <w:r w:rsidRPr="00BE6825">
        <w:rPr>
          <w:sz w:val="16"/>
        </w:rPr>
        <w:t xml:space="preserve">Most life-threatening injuries require immediate attention. </w:t>
      </w:r>
      <w:r w:rsidRPr="00BE6825">
        <w:rPr>
          <w:rStyle w:val="StyleUnderline"/>
        </w:rPr>
        <w:t>Since local responders are already in the jurisdiction, they are likely the only personnel that can reach the disaster scene in time to make a difference.</w:t>
      </w:r>
      <w:r>
        <w:rPr>
          <w:rStyle w:val="StyleUnderline"/>
        </w:rPr>
        <w:t xml:space="preserve"> </w:t>
      </w:r>
      <w:r w:rsidRPr="00BE6825">
        <w:rPr>
          <w:rStyle w:val="StyleUnderline"/>
        </w:rPr>
        <w:t>Priorities matter. Large-scale disasters will require states and the federal government to prioritize the allocation of additional resources to help affected communities throughout a region. The more robust the local response, the more aid can be focused on the areas most greatly affected by the disaster.</w:t>
      </w:r>
      <w:r>
        <w:rPr>
          <w:rStyle w:val="StyleUnderline"/>
        </w:rPr>
        <w:t xml:space="preserve"> </w:t>
      </w:r>
      <w:r w:rsidRPr="00BE6825">
        <w:rPr>
          <w:rStyle w:val="StyleUnderline"/>
        </w:rPr>
        <w:t>It encourages preparedness. If local commu­nities are not primarily responsible for disaster response, they will be less likely to invest in the resources and assets needed to safeguard their citizens.</w:t>
      </w:r>
      <w:r>
        <w:rPr>
          <w:rStyle w:val="StyleUnderline"/>
        </w:rPr>
        <w:t xml:space="preserve"> </w:t>
      </w:r>
      <w:r w:rsidRPr="00BE6825">
        <w:rPr>
          <w:rStyle w:val="StyleUnderline"/>
        </w:rPr>
        <w:t>A federalist approach to disaster response for a nation like the United States, with its vast popula­tion, wide geographical area, diverse regional con­ditions, and traditions of strong state and local governments and volunteerism, is the only practi­cal choice.</w:t>
      </w:r>
      <w:r>
        <w:rPr>
          <w:rStyle w:val="StyleUnderline"/>
        </w:rPr>
        <w:t xml:space="preserve"> </w:t>
      </w:r>
      <w:r w:rsidRPr="00BE6825">
        <w:rPr>
          <w:sz w:val="16"/>
        </w:rPr>
        <w:t xml:space="preserve">National planning documents for homeland security adhere to the conviction that </w:t>
      </w:r>
      <w:r w:rsidRPr="00BE6825">
        <w:rPr>
          <w:rStyle w:val="StyleUnderline"/>
        </w:rPr>
        <w:t>the federal government should reinforce-not replace-state, local, and nongovernmental efforts.</w:t>
      </w:r>
      <w:r w:rsidRPr="00BE6825">
        <w:rPr>
          <w:sz w:val="16"/>
        </w:rPr>
        <w:t xml:space="preserve"> Federal law, especially the Robert T. Stafford Emergency and Disaster Assistance Act,[2] and presidential directives embody this tiered approach in which state and local authorities have the initial lead role in manag­ing emergencies within the United States.[3] </w:t>
      </w:r>
      <w:r w:rsidRPr="00BE6825">
        <w:rPr>
          <w:rStyle w:val="StyleUnderline"/>
        </w:rPr>
        <w:t>State and local governments devise the emergency response and evacuation plans for their jurisdictions and authorize their implementation. Each state decides for itself the precise delineation of authori­ties and responsibilities for emergency response between statewide and local public bodies</w:t>
      </w:r>
      <w:r w:rsidRPr="00BE6825">
        <w:rPr>
          <w:sz w:val="16"/>
        </w:rPr>
        <w:t xml:space="preserve"> (e.g., municipalities and counties). The common planning assumption is that </w:t>
      </w:r>
      <w:r w:rsidRPr="00BE6825">
        <w:rPr>
          <w:rStyle w:val="StyleUnderline"/>
        </w:rPr>
        <w:t>communities need to manage a local emergency largely by themselves for up to 72 hours until substantial federal assistance can be mobilized and deployed on the scene.</w:t>
      </w:r>
    </w:p>
    <w:p w:rsidR="000C7A59" w:rsidRPr="00916605" w:rsidRDefault="000C7A59" w:rsidP="000C7A59">
      <w:pPr>
        <w:pStyle w:val="Heading4"/>
        <w:rPr>
          <w:rStyle w:val="Style13ptBold"/>
          <w:b/>
        </w:rPr>
      </w:pPr>
      <w:r w:rsidRPr="00916605">
        <w:rPr>
          <w:rStyle w:val="Style13ptBold"/>
          <w:b/>
        </w:rPr>
        <w:t>Federal control ruins disaster response – red tape, lack of coordination.</w:t>
      </w:r>
    </w:p>
    <w:p w:rsidR="000C7A59" w:rsidRPr="00916605" w:rsidRDefault="000C7A59" w:rsidP="000C7A59">
      <w:r>
        <w:rPr>
          <w:rStyle w:val="Style13ptBold"/>
        </w:rPr>
        <w:t xml:space="preserve">Dehaven 12 </w:t>
      </w:r>
      <w:r>
        <w:t>[</w:t>
      </w:r>
      <w:r w:rsidRPr="00916605">
        <w:t>Tad Dehaven</w:t>
      </w:r>
      <w:r>
        <w:t xml:space="preserve"> (budget analyst on federal and state budget issues for the Cato Institute, deputy director of the Indiana Office of Management and Budget)</w:t>
      </w:r>
      <w:r w:rsidRPr="00916605">
        <w:t>, 10-31-2012, "Disaster Response and Federalism," Cato Institute, https://www.cato.org/blog/disaster-response-federalism</w:t>
      </w:r>
      <w:r>
        <w:t>]</w:t>
      </w:r>
    </w:p>
    <w:p w:rsidR="000C7A59" w:rsidRPr="00916605" w:rsidRDefault="000C7A59" w:rsidP="000C7A59">
      <w:pPr>
        <w:rPr>
          <w:sz w:val="16"/>
        </w:rPr>
      </w:pPr>
      <w:r w:rsidRPr="00916605">
        <w:rPr>
          <w:rStyle w:val="StyleUnderline"/>
        </w:rPr>
        <w:t>Why shouldn’t the states be responsible for paying for disaster response?</w:t>
      </w:r>
      <w:r w:rsidRPr="00916605">
        <w:rPr>
          <w:sz w:val="16"/>
        </w:rPr>
        <w:t xml:space="preserve"> The last time I checked, </w:t>
      </w:r>
      <w:r w:rsidRPr="00916605">
        <w:rPr>
          <w:rStyle w:val="StyleUnderline"/>
        </w:rPr>
        <w:t xml:space="preserve">the federal government was </w:t>
      </w:r>
      <w:r w:rsidRPr="00916605">
        <w:rPr>
          <w:rStyle w:val="Emphasis"/>
        </w:rPr>
        <w:t>also financially strapped</w:t>
      </w:r>
      <w:r w:rsidRPr="00916605">
        <w:rPr>
          <w:rStyle w:val="StyleUnderline"/>
        </w:rPr>
        <w:t>.</w:t>
      </w:r>
      <w:r w:rsidRPr="00916605">
        <w:rPr>
          <w:sz w:val="16"/>
        </w:rPr>
        <w:t xml:space="preserve"> Regardless of which level of government assumes the responsibility of paying for it, the money ultimately comes from taxpayers. Under the current arrangement, taxpayers in, say, Arizona will pay for disaster recovery in Pennsylvania. Is it really more absurd to expect the citizens of Pennsylvania to pay for their own disaster response than people living in, say, the Rockies? Here’s another crazy thought: maybe Pennsylvanians would have more of an incentive to scrutinize the effectiveness and efficiency of relief efforts in their state if they were footing the bill? A 2006 Cato study written by economists Russell Sobel and Peter Leeson argues that </w:t>
      </w:r>
      <w:r w:rsidRPr="00916605">
        <w:rPr>
          <w:rStyle w:val="StyleUnderline"/>
        </w:rPr>
        <w:t xml:space="preserve">the federal government’s top-down disaster system is “fundamentally flawed.” </w:t>
      </w:r>
      <w:r w:rsidRPr="00916605">
        <w:rPr>
          <w:rStyle w:val="Emphasis"/>
        </w:rPr>
        <w:t>Bureaucratic red tape</w:t>
      </w:r>
      <w:r w:rsidRPr="00916605">
        <w:rPr>
          <w:rStyle w:val="StyleUnderline"/>
        </w:rPr>
        <w:t xml:space="preserve"> and the inherent </w:t>
      </w:r>
      <w:r w:rsidRPr="00916605">
        <w:rPr>
          <w:rStyle w:val="Emphasis"/>
        </w:rPr>
        <w:t xml:space="preserve">inability of federal officials to effectively coordinate </w:t>
      </w:r>
      <w:r w:rsidRPr="00916605">
        <w:rPr>
          <w:rStyle w:val="StyleUnderline"/>
        </w:rPr>
        <w:t xml:space="preserve">the delivery of supplies can stymie relief efforts. State and local officials are naturally closest to those affected and thus </w:t>
      </w:r>
      <w:r w:rsidRPr="00916605">
        <w:rPr>
          <w:rStyle w:val="Emphasis"/>
        </w:rPr>
        <w:t>better appreciate the needs of their communities</w:t>
      </w:r>
      <w:r w:rsidRPr="00916605">
        <w:rPr>
          <w:rStyle w:val="StyleUnderline"/>
        </w:rPr>
        <w:t>.</w:t>
      </w:r>
      <w:r w:rsidRPr="00916605">
        <w:rPr>
          <w:sz w:val="16"/>
        </w:rPr>
        <w:t xml:space="preserve"> </w:t>
      </w:r>
      <w:r w:rsidRPr="00916605">
        <w:rPr>
          <w:rStyle w:val="StyleUnderline"/>
        </w:rPr>
        <w:t>However, federal red tape can impede the ability of those on the frontlines to effectively deliver assistance</w:t>
      </w:r>
      <w:r w:rsidRPr="00916605">
        <w:rPr>
          <w:sz w:val="16"/>
        </w:rPr>
        <w:t xml:space="preserve">. Take, for example, FEMA’s interference with the delivery of relief supplies to hospitals during Katrina: </w:t>
      </w:r>
      <w:r w:rsidRPr="00916605">
        <w:rPr>
          <w:rStyle w:val="StyleUnderline"/>
        </w:rPr>
        <w:t xml:space="preserve">The Red Cross “begged to be allowed to go [into New Orleans]” to distribute essential relief supplies but was </w:t>
      </w:r>
      <w:r w:rsidRPr="00916605">
        <w:rPr>
          <w:rStyle w:val="Emphasis"/>
        </w:rPr>
        <w:t>prevented by government officials</w:t>
      </w:r>
      <w:r w:rsidRPr="00916605">
        <w:rPr>
          <w:rStyle w:val="StyleUnderline"/>
        </w:rPr>
        <w:t xml:space="preserve"> from doing so. FEMA confiscated critical emergency supplies</w:t>
      </w:r>
      <w:r w:rsidRPr="00916605">
        <w:rPr>
          <w:sz w:val="16"/>
        </w:rPr>
        <w:t xml:space="preserve">, shipped by the hospital’s out-of-state private owner to assist the hospital’s 137 remaining patients, while the supplies were in transit to Methodist Hospital in New Orleans. “Those supplies were in fact taken from us by FEMA, and we were unable to get them to the hospital,” one hospital representative remarked. To avoid FEMA’s confiscatory actions, the owner sent a second shipment to Lafayette (130 miles from New Orleans) and had a private helicopter fly it directly to the rooftop of the hospital in New Orleans. </w:t>
      </w:r>
      <w:r w:rsidRPr="00916605">
        <w:rPr>
          <w:rStyle w:val="StyleUnderline"/>
        </w:rPr>
        <w:t>Sobel and Leeson recount numerous examples of FEMA’s inability to coordinate the delivery of relief assistance</w:t>
      </w:r>
      <w:r w:rsidRPr="00916605">
        <w:rPr>
          <w:sz w:val="16"/>
        </w:rPr>
        <w:t xml:space="preserve">. Here’s another: Perhaps the most stunning example of how a </w:t>
      </w:r>
      <w:r w:rsidRPr="00916605">
        <w:rPr>
          <w:rStyle w:val="StyleUnderline"/>
        </w:rPr>
        <w:t xml:space="preserve">centralized federal bureaucracy is </w:t>
      </w:r>
      <w:r w:rsidRPr="00916605">
        <w:rPr>
          <w:rStyle w:val="Emphasis"/>
        </w:rPr>
        <w:t>inherently ill-equipped to coordinate the direction of relief resources</w:t>
      </w:r>
      <w:r w:rsidRPr="00916605">
        <w:rPr>
          <w:sz w:val="16"/>
        </w:rPr>
        <w:t xml:space="preserve"> is what has become known as the “odyssey of the ice.” FEMA ordered 182 million pounds of ice to be delivered to stranded families and aid workers. Yet some of the ice ended up in Portland, Maine, more than 1,500 miles away from the disaster area. The cost of shipping and storing the 200-plus truckloads of the Portland-bound ice was $275,000… A truckload of ice even ended up at the Reid Park Zoo in Tucson, Arizona. The driver of the ice truck got so many conflicting commands from government relief officials that he ended up traveling through 22 states without ever delivering a single bag of ice to a hurricane victim. Instead, he ended up donating it to the Tucson zoo to be enjoyed by the polar bears.</w:t>
      </w:r>
    </w:p>
    <w:p w:rsidR="000C7A59" w:rsidRPr="003A49E3" w:rsidRDefault="000C7A59" w:rsidP="000C7A59">
      <w:pPr>
        <w:pStyle w:val="Heading2"/>
      </w:pPr>
      <w:r w:rsidRPr="003A49E3">
        <w:t>Case – Solvency</w:t>
      </w:r>
    </w:p>
    <w:p w:rsidR="000C7A59" w:rsidRPr="003A49E3" w:rsidRDefault="000C7A59" w:rsidP="000C7A59">
      <w:pPr>
        <w:pStyle w:val="Heading3"/>
      </w:pPr>
      <w:r w:rsidRPr="003A49E3">
        <w:t>Title I Fails – Test Scores</w:t>
      </w:r>
    </w:p>
    <w:p w:rsidR="000C7A59" w:rsidRPr="003A49E3" w:rsidRDefault="000C7A59" w:rsidP="000C7A59">
      <w:pPr>
        <w:pStyle w:val="Heading4"/>
        <w:spacing w:before="240" w:after="40"/>
        <w:rPr>
          <w:rFonts w:ascii="Times New Roman" w:hAnsi="Times New Roman"/>
        </w:rPr>
      </w:pPr>
      <w:r w:rsidRPr="003A49E3">
        <w:rPr>
          <w:color w:val="030A13"/>
          <w:sz w:val="28"/>
          <w:szCs w:val="28"/>
          <w:shd w:val="clear" w:color="auto" w:fill="FFFFFF"/>
        </w:rPr>
        <w:t>Title I funds don't reduce the achievement gap and worsen test results</w:t>
      </w:r>
    </w:p>
    <w:p w:rsidR="000C7A59" w:rsidRPr="003A49E3" w:rsidRDefault="000C7A59" w:rsidP="000C7A59">
      <w:pPr>
        <w:pStyle w:val="NormalWeb"/>
        <w:spacing w:before="0" w:beforeAutospacing="0" w:after="0" w:afterAutospacing="0"/>
      </w:pPr>
      <w:r w:rsidRPr="003A49E3">
        <w:rPr>
          <w:rFonts w:ascii="Calibri" w:hAnsi="Calibri"/>
          <w:b/>
          <w:bCs/>
          <w:color w:val="030A13"/>
          <w:shd w:val="clear" w:color="auto" w:fill="FFFFFF"/>
        </w:rPr>
        <w:t>Weinsten, Steifel, Swchartz, and Chalico 9</w:t>
      </w:r>
      <w:r w:rsidRPr="003A49E3">
        <w:rPr>
          <w:rFonts w:ascii="Calibri" w:hAnsi="Calibri"/>
          <w:color w:val="030A13"/>
          <w:sz w:val="22"/>
          <w:szCs w:val="22"/>
          <w:shd w:val="clear" w:color="auto" w:fill="FFFFFF"/>
        </w:rPr>
        <w:t xml:space="preserve"> (Meryle G. Weinstein, Ph.D.</w:t>
      </w:r>
    </w:p>
    <w:p w:rsidR="000C7A59" w:rsidRPr="003A49E3" w:rsidRDefault="000C7A59" w:rsidP="000C7A59">
      <w:pPr>
        <w:pStyle w:val="NormalWeb"/>
        <w:spacing w:before="0" w:beforeAutospacing="0" w:after="0" w:afterAutospacing="0"/>
      </w:pPr>
      <w:r w:rsidRPr="003A49E3">
        <w:rPr>
          <w:rFonts w:ascii="Calibri" w:hAnsi="Calibri"/>
          <w:color w:val="030A13"/>
          <w:sz w:val="22"/>
          <w:szCs w:val="22"/>
          <w:shd w:val="clear" w:color="auto" w:fill="FFFFFF"/>
        </w:rPr>
        <w:t>Research Scientist and Assistant Director,Institute for Education and Social Policy, Leanna Stiefel Professor of Economics and of Education Policy, Wagner and Steinhardt Schools, Amy Ellen Schwartz Professor of Economics, Education and Public Policy Director, Institute for Education and Social Policy Wagner and Steinhardt Schools, Luis Chalico, Ph.D. Candidate, Wagner School, “Does Title I Increase Spending and Improve Performance?”,</w:t>
      </w:r>
      <w:hyperlink r:id="rId10" w:history="1">
        <w:r w:rsidRPr="003A49E3">
          <w:rPr>
            <w:rStyle w:val="Hyperlink"/>
            <w:color w:val="030A13"/>
            <w:sz w:val="22"/>
            <w:szCs w:val="22"/>
            <w:shd w:val="clear" w:color="auto" w:fill="FFFFFF"/>
          </w:rPr>
          <w:t xml:space="preserve"> </w:t>
        </w:r>
        <w:r w:rsidRPr="003A49E3">
          <w:rPr>
            <w:rStyle w:val="Hyperlink"/>
            <w:color w:val="1155CC"/>
            <w:sz w:val="22"/>
            <w:szCs w:val="22"/>
            <w:shd w:val="clear" w:color="auto" w:fill="FFFFFF"/>
          </w:rPr>
          <w:t>http://steinhardt.nyu.edu/scmsAdmin/uploads/003/949/WP%20%2309-09.pdf</w:t>
        </w:r>
      </w:hyperlink>
      <w:r w:rsidRPr="003A49E3">
        <w:rPr>
          <w:rFonts w:ascii="Calibri" w:hAnsi="Calibri"/>
          <w:color w:val="030A13"/>
          <w:sz w:val="22"/>
          <w:szCs w:val="22"/>
          <w:shd w:val="clear" w:color="auto" w:fill="FFFFFF"/>
        </w:rPr>
        <w:t>, page 23-24, Steindhart University)</w:t>
      </w:r>
    </w:p>
    <w:p w:rsidR="000C7A59" w:rsidRPr="003A49E3" w:rsidRDefault="000C7A59" w:rsidP="000C7A59">
      <w:pPr>
        <w:pStyle w:val="NormalWeb"/>
        <w:spacing w:before="0" w:beforeAutospacing="0" w:after="0" w:afterAutospacing="0"/>
      </w:pPr>
    </w:p>
    <w:p w:rsidR="000C7A59" w:rsidRPr="003A49E3" w:rsidRDefault="000C7A59" w:rsidP="000C7A59">
      <w:pPr>
        <w:pStyle w:val="NormalWeb"/>
        <w:spacing w:before="0" w:beforeAutospacing="0" w:after="0" w:afterAutospacing="0"/>
        <w:rPr>
          <w:color w:val="030A13"/>
          <w:u w:val="single"/>
          <w:shd w:val="clear" w:color="auto" w:fill="00FFFF"/>
        </w:rPr>
      </w:pPr>
      <w:r w:rsidRPr="003A49E3">
        <w:rPr>
          <w:rFonts w:ascii="Calibri" w:hAnsi="Calibri"/>
          <w:color w:val="030A13"/>
          <w:sz w:val="22"/>
          <w:szCs w:val="22"/>
          <w:u w:val="single"/>
          <w:shd w:val="clear" w:color="auto" w:fill="FFFFFF"/>
        </w:rPr>
        <w:t xml:space="preserve">Additional amounts of </w:t>
      </w:r>
      <w:r w:rsidRPr="003A49E3">
        <w:rPr>
          <w:rFonts w:ascii="Calibri" w:hAnsi="Calibri"/>
          <w:color w:val="030A13"/>
          <w:sz w:val="22"/>
          <w:szCs w:val="22"/>
          <w:u w:val="single"/>
          <w:shd w:val="clear" w:color="auto" w:fill="00FFFF"/>
        </w:rPr>
        <w:t xml:space="preserve">funds that Title I schools receive, </w:t>
      </w:r>
      <w:r w:rsidRPr="003A49E3">
        <w:rPr>
          <w:rFonts w:ascii="Calibri" w:hAnsi="Calibri"/>
          <w:color w:val="030A13"/>
          <w:sz w:val="22"/>
          <w:szCs w:val="22"/>
          <w:shd w:val="clear" w:color="auto" w:fill="FFFFFF"/>
        </w:rPr>
        <w:t xml:space="preserve">compared to non-Title I schools, </w:t>
      </w:r>
      <w:r w:rsidRPr="003A49E3">
        <w:rPr>
          <w:rFonts w:ascii="Calibri" w:hAnsi="Calibri"/>
          <w:color w:val="030A13"/>
          <w:sz w:val="22"/>
          <w:szCs w:val="22"/>
          <w:u w:val="single"/>
          <w:shd w:val="clear" w:color="auto" w:fill="00FFFF"/>
        </w:rPr>
        <w:t xml:space="preserve">seem not to narrow the achievement gaps between poor student and their more advantaged peers and may even reduce school wide average test scores </w:t>
      </w:r>
      <w:r w:rsidRPr="003A49E3">
        <w:rPr>
          <w:rFonts w:ascii="Calibri" w:hAnsi="Calibri"/>
          <w:color w:val="030A13"/>
          <w:sz w:val="22"/>
          <w:szCs w:val="22"/>
          <w:shd w:val="clear" w:color="auto" w:fill="FFFFFF"/>
        </w:rPr>
        <w:t>somewhat in elementary and middle 23 schools</w:t>
      </w:r>
      <w:r w:rsidRPr="003A49E3">
        <w:rPr>
          <w:rStyle w:val="StyleUnderline"/>
        </w:rPr>
        <w:t xml:space="preserve">. </w:t>
      </w:r>
      <w:r w:rsidRPr="00E55230">
        <w:rPr>
          <w:rStyle w:val="StyleUnderline"/>
        </w:rPr>
        <w:t>These effects for both spending and scores seem to increase the longer schools are Title I and to be stronger for ones that are always Title I versus ones that go in and out of eligibility</w:t>
      </w:r>
      <w:r w:rsidRPr="003A49E3">
        <w:rPr>
          <w:rFonts w:ascii="Calibri" w:hAnsi="Calibri"/>
          <w:color w:val="030A13"/>
          <w:sz w:val="12"/>
          <w:szCs w:val="12"/>
          <w:shd w:val="clear" w:color="auto" w:fill="FFFFFF"/>
        </w:rPr>
        <w:t>.</w:t>
      </w:r>
      <w:r w:rsidRPr="003A49E3">
        <w:rPr>
          <w:rFonts w:ascii="Calibri" w:hAnsi="Calibri"/>
          <w:color w:val="030A13"/>
          <w:sz w:val="12"/>
          <w:szCs w:val="12"/>
          <w:u w:val="single"/>
          <w:shd w:val="clear" w:color="auto" w:fill="FFFFFF"/>
        </w:rPr>
        <w:t xml:space="preserve"> </w:t>
      </w:r>
      <w:r w:rsidRPr="003A49E3">
        <w:rPr>
          <w:rFonts w:ascii="Calibri" w:hAnsi="Calibri"/>
          <w:color w:val="030A13"/>
          <w:sz w:val="12"/>
          <w:szCs w:val="12"/>
          <w:shd w:val="clear" w:color="auto" w:fill="FFFFFF"/>
        </w:rPr>
        <w:t>These findings are important and they also lead to several hypotheses that need to be tested in order to understand why they occur. The results in the RD estimations indicate the local average treatment effect, or what is happening right around the cutoff, but we do not know how the schools near the cutoffs are serving the Title I students</w:t>
      </w:r>
      <w:r w:rsidRPr="003A49E3">
        <w:rPr>
          <w:rFonts w:ascii="Calibri" w:hAnsi="Calibri"/>
          <w:color w:val="030A13"/>
          <w:sz w:val="22"/>
          <w:szCs w:val="22"/>
          <w:shd w:val="clear" w:color="auto" w:fill="FFFFFF"/>
        </w:rPr>
        <w:t>.</w:t>
      </w:r>
      <w:r w:rsidRPr="003A49E3">
        <w:rPr>
          <w:rFonts w:ascii="Calibri" w:hAnsi="Calibri"/>
          <w:color w:val="030A13"/>
          <w:sz w:val="22"/>
          <w:szCs w:val="22"/>
          <w:u w:val="single"/>
          <w:shd w:val="clear" w:color="auto" w:fill="FFFFFF"/>
        </w:rPr>
        <w:t xml:space="preserve"> </w:t>
      </w:r>
      <w:r w:rsidRPr="003A49E3">
        <w:rPr>
          <w:rFonts w:ascii="Calibri" w:hAnsi="Calibri"/>
          <w:color w:val="030A13"/>
          <w:sz w:val="12"/>
          <w:szCs w:val="12"/>
          <w:shd w:val="clear" w:color="auto" w:fill="FFFFFF"/>
        </w:rPr>
        <w:t>There are informal reports that</w:t>
      </w:r>
      <w:r w:rsidRPr="003A49E3">
        <w:rPr>
          <w:rFonts w:ascii="Calibri" w:hAnsi="Calibri"/>
          <w:color w:val="030A13"/>
          <w:sz w:val="22"/>
          <w:szCs w:val="22"/>
          <w:u w:val="single"/>
          <w:shd w:val="clear" w:color="auto" w:fill="FFFFFF"/>
        </w:rPr>
        <w:t xml:space="preserve"> </w:t>
      </w:r>
      <w:r w:rsidRPr="003A49E3">
        <w:rPr>
          <w:rFonts w:ascii="Calibri" w:hAnsi="Calibri"/>
          <w:color w:val="030A13"/>
          <w:sz w:val="22"/>
          <w:szCs w:val="22"/>
          <w:u w:val="single"/>
          <w:shd w:val="clear" w:color="auto" w:fill="00FFFF"/>
        </w:rPr>
        <w:t>a common use of Title I funds is to hire extra personnel</w:t>
      </w:r>
      <w:r w:rsidRPr="003A49E3">
        <w:rPr>
          <w:rFonts w:ascii="Calibri" w:hAnsi="Calibri"/>
          <w:color w:val="030A13"/>
          <w:sz w:val="22"/>
          <w:szCs w:val="22"/>
          <w:shd w:val="clear" w:color="auto" w:fill="FFFFFF"/>
        </w:rPr>
        <w:t xml:space="preserve"> to tutor students who are lagging</w:t>
      </w:r>
      <w:r w:rsidRPr="003A49E3">
        <w:rPr>
          <w:rFonts w:ascii="Calibri" w:hAnsi="Calibri"/>
          <w:color w:val="030A13"/>
          <w:sz w:val="22"/>
          <w:szCs w:val="22"/>
          <w:u w:val="single"/>
          <w:shd w:val="clear" w:color="auto" w:fill="00FFFF"/>
        </w:rPr>
        <w:t>. But this tutoring could remove the students from their regular classroom causing them to miss material or be stigmatized or both.</w:t>
      </w:r>
    </w:p>
    <w:p w:rsidR="000C7A59" w:rsidRPr="003A49E3" w:rsidRDefault="000C7A59" w:rsidP="000C7A59"/>
    <w:p w:rsidR="000C7A59" w:rsidRPr="003A49E3" w:rsidRDefault="000C7A59" w:rsidP="000C7A59">
      <w:pPr>
        <w:pStyle w:val="Heading3"/>
      </w:pPr>
      <w:r w:rsidRPr="003A49E3">
        <w:t>Title I Fails – Bureaucracy</w:t>
      </w:r>
    </w:p>
    <w:p w:rsidR="000C7A59" w:rsidRPr="003A49E3" w:rsidRDefault="000C7A59" w:rsidP="000C7A59">
      <w:pPr>
        <w:pStyle w:val="Heading4"/>
      </w:pPr>
      <w:r w:rsidRPr="003A49E3">
        <w:t>Title I grants fail – excessive bureaucracy</w:t>
      </w:r>
    </w:p>
    <w:p w:rsidR="000C7A59" w:rsidRPr="003A49E3" w:rsidRDefault="000C7A59" w:rsidP="000C7A59">
      <w:pPr>
        <w:rPr>
          <w:rFonts w:cs="Calibri"/>
        </w:rPr>
      </w:pPr>
      <w:r w:rsidRPr="003A49E3">
        <w:rPr>
          <w:rStyle w:val="Style13ptBold"/>
        </w:rPr>
        <w:t>McShane 17</w:t>
      </w:r>
      <w:r w:rsidRPr="003A49E3">
        <w:rPr>
          <w:rFonts w:cs="Calibri"/>
        </w:rPr>
        <w:t xml:space="preserve"> McShane, Michael Q., and Frederick M. Hess. "DeVos Should Take on Education's Reformocracy." National Review. National Review, 22 June 2017. Web. 29 June 2017. &lt;http://www.nationalreview.com/article/448845/besty-devos-education-reform-mandate-take-bureaucratic-establishment&gt;.</w:t>
      </w:r>
    </w:p>
    <w:p w:rsidR="000C7A59" w:rsidRPr="003A49E3" w:rsidRDefault="000C7A59" w:rsidP="000C7A59">
      <w:pPr>
        <w:rPr>
          <w:rFonts w:eastAsia="Times New Roman" w:cs="Calibri"/>
          <w:color w:val="000000" w:themeColor="text1"/>
          <w:sz w:val="16"/>
        </w:rPr>
      </w:pPr>
      <w:r w:rsidRPr="003A49E3">
        <w:rPr>
          <w:rFonts w:eastAsia="Times New Roman" w:cs="Calibri"/>
          <w:color w:val="000000" w:themeColor="text1"/>
          <w:sz w:val="16"/>
        </w:rPr>
        <w:t xml:space="preserve">It’s time to reboot reform and rediscover the conviction that bureaucracy and paperwork are not tools for fostering terrific schools. We need to recognize that timid teachers and compliance-focused administrators are not going to create the environment in which our students can thrive. Secretary DeVos should lead this charge. It is consistent with her vision, and it offers her a chance to address the concerns of educators and district leaders who feel both frustrated with reformocrats and neglected by her single-minded focus on school choice. Here’s how: </w:t>
      </w:r>
      <w:r w:rsidRPr="003A49E3">
        <w:rPr>
          <w:rFonts w:eastAsia="Times New Roman" w:cs="Calibri"/>
          <w:color w:val="000000" w:themeColor="text1"/>
          <w:u w:val="single"/>
        </w:rPr>
        <w:t xml:space="preserve">Take a hard </w:t>
      </w:r>
      <w:r w:rsidRPr="003A49E3">
        <w:rPr>
          <w:rFonts w:eastAsia="Times New Roman" w:cs="Calibri"/>
          <w:b/>
          <w:color w:val="000000" w:themeColor="text1"/>
          <w:u w:val="single"/>
        </w:rPr>
        <w:t>look at strings attached to Title I dollars. Title I provides the aid to low-income students that is the federal government’s single largest K–12 budgetary expense. It touches most schools and school systems, hindering decisions about how to spend local dollars and staff schools. Even esoteric-seeming language governing the reporting of such things as “maintenance of effort” and “time and effort” can mean that schools wind up hiring staff they don’t need, assign kids to ineffectual programs just to satisfy their auditors, or spend thousands of hours managing paperwork instead of planning lessons and teaching.</w:t>
      </w:r>
      <w:r w:rsidRPr="003A49E3">
        <w:rPr>
          <w:rFonts w:eastAsia="Times New Roman" w:cs="Calibri"/>
          <w:color w:val="000000" w:themeColor="text1"/>
          <w:sz w:val="16"/>
        </w:rPr>
        <w:t xml:space="preserve"> The first order of business for DeVos ought to be holding a series of public hearings where teachers and administrators can explain how such requirements play out in practice, documenting the challenges they face and generating recommendations for how to more constructively use Title I funds. </w:t>
      </w:r>
      <w:r w:rsidRPr="003A49E3">
        <w:rPr>
          <w:rFonts w:eastAsia="Times New Roman" w:cs="Calibri"/>
          <w:color w:val="000000" w:themeColor="text1"/>
          <w:u w:val="single"/>
        </w:rPr>
        <w:t>Examine the unwieldy requirements of federal grants. The Department of Education provides grants to colleges and universities, local education agencies, state education agencies, and nonprofit organizations. To describe the bureaucratic red tape that accompanies these grants as Kafkaesque is to insult Kafka. Some of the problem is due to strictures in the statutes authorizing the grant programs, but the secretary has latitude to define what she sees as appropriate evidence that a state is going to live up to its promises. Today, that frequently takes the form of a 50-page narrative that is a salad of buzzwords and big claims. DeVos could convene district leaders, state leaders, nonprofit representatives, and researchers to rethink the federal grant-application process so that successful applications can provide the evidence the department needs without the flowery padding. </w:t>
      </w:r>
    </w:p>
    <w:p w:rsidR="000C7A59" w:rsidRPr="003A49E3" w:rsidRDefault="000C7A59" w:rsidP="000C7A59">
      <w:pPr>
        <w:pStyle w:val="Heading3"/>
      </w:pPr>
      <w:r w:rsidRPr="003A49E3">
        <w:t>Title I Fails – States Misuse $</w:t>
      </w:r>
    </w:p>
    <w:p w:rsidR="000C7A59" w:rsidRPr="003A49E3" w:rsidRDefault="000C7A59" w:rsidP="000C7A59">
      <w:pPr>
        <w:pStyle w:val="Heading4"/>
      </w:pPr>
      <w:r w:rsidRPr="003A49E3">
        <w:t>Title I fails – states misuse federal money</w:t>
      </w:r>
    </w:p>
    <w:p w:rsidR="000C7A59" w:rsidRPr="003A49E3" w:rsidRDefault="000C7A59" w:rsidP="000C7A59">
      <w:r w:rsidRPr="003A49E3">
        <w:rPr>
          <w:rStyle w:val="Style13ptBold"/>
        </w:rPr>
        <w:t>Stadler 17</w:t>
      </w:r>
      <w:r w:rsidRPr="003A49E3">
        <w:t xml:space="preserve"> (New Study Finds States Fail to Deliver on Title I Promise of Extra Funding for Low-Income Students, by Zahava Stadler | Zahava holds master’s degrees in public administration and education policy from the University of Pennsylvania and a bachelor’s degree in politics from Princeton University and contributes to policy research, analysis and communications at EdBuild | The 74 31 May 2017, </w:t>
      </w:r>
      <w:hyperlink r:id="rId11">
        <w:r w:rsidRPr="003A49E3">
          <w:rPr>
            <w:rStyle w:val="Hyperlink"/>
          </w:rPr>
          <w:t>https://www.the74million.org/article/new-study-finds-states-fail-to-deliver-on-title-i-promise-of-extra-funding-for-low-income-students</w:t>
        </w:r>
      </w:hyperlink>
      <w:r w:rsidRPr="003A49E3">
        <w:t>)</w:t>
      </w:r>
    </w:p>
    <w:p w:rsidR="000C7A59" w:rsidRPr="003A49E3" w:rsidRDefault="000C7A59" w:rsidP="000C7A59">
      <w:pPr>
        <w:rPr>
          <w:rFonts w:cs="Calibri"/>
          <w:sz w:val="16"/>
        </w:rPr>
      </w:pPr>
      <w:r w:rsidRPr="003A49E3">
        <w:rPr>
          <w:rFonts w:eastAsia="Arial" w:cs="Calibri"/>
          <w:color w:val="222222"/>
          <w:u w:val="single"/>
        </w:rPr>
        <w:t xml:space="preserve">A long line of </w:t>
      </w:r>
      <w:hyperlink r:id="rId12">
        <w:r w:rsidRPr="003A49E3">
          <w:rPr>
            <w:rStyle w:val="Hyperlink"/>
            <w:rFonts w:eastAsia="Arial" w:cs="Calibri"/>
            <w:color w:val="111111"/>
            <w:u w:val="single"/>
          </w:rPr>
          <w:t>research</w:t>
        </w:r>
      </w:hyperlink>
      <w:r w:rsidRPr="003A49E3">
        <w:rPr>
          <w:rFonts w:eastAsia="Arial" w:cs="Calibri"/>
          <w:color w:val="222222"/>
          <w:u w:val="single"/>
        </w:rPr>
        <w:t xml:space="preserve"> teaches that students in poverty can achieve at higher levels when they’re supported with greater education funding.</w:t>
      </w:r>
      <w:r w:rsidRPr="003A49E3">
        <w:rPr>
          <w:rFonts w:eastAsia="Arial" w:cs="Calibri"/>
          <w:color w:val="222222"/>
          <w:sz w:val="16"/>
        </w:rPr>
        <w:t xml:space="preserve"> In theory, low-income students should be getting this greater funding in every state. That’s because the federal government provides extra dollars for high-poverty schools and districts through the </w:t>
      </w:r>
      <w:hyperlink r:id="rId13">
        <w:r w:rsidRPr="003A49E3">
          <w:rPr>
            <w:rStyle w:val="Hyperlink"/>
            <w:rFonts w:eastAsia="Arial" w:cs="Calibri"/>
            <w:color w:val="111111"/>
            <w:sz w:val="16"/>
          </w:rPr>
          <w:t>Title I program</w:t>
        </w:r>
      </w:hyperlink>
      <w:r w:rsidRPr="003A49E3">
        <w:rPr>
          <w:rFonts w:eastAsia="Arial" w:cs="Calibri"/>
          <w:color w:val="222222"/>
          <w:sz w:val="16"/>
        </w:rPr>
        <w:t xml:space="preserve"> and specifies in law that this money must “supplement, not supplant” state and local dollars — that is, states can’t use the federal money to offset what they would otherwise give to high-poverty districts. Every state receives Title I money. For that money to do its job lifting up low-income students, every state would need to provide its poorer districts with, at the very least, funding equal to what wealthier districts have. Only then could Title I serve as icing on the cake, as intended. In reality, though, </w:t>
      </w:r>
      <w:r w:rsidRPr="003A49E3">
        <w:rPr>
          <w:rFonts w:eastAsia="Arial" w:cs="Calibri"/>
          <w:color w:val="222222"/>
          <w:u w:val="single"/>
        </w:rPr>
        <w:t>a new analysis by EdBuild finds that the highest-poverty school districts in most states have less state and local funding than those serving the fewest students in poverty.</w:t>
      </w:r>
      <w:r w:rsidRPr="003A49E3">
        <w:rPr>
          <w:rFonts w:eastAsia="Arial" w:cs="Calibri"/>
          <w:color w:val="222222"/>
          <w:sz w:val="16"/>
        </w:rPr>
        <w:t xml:space="preserve"> </w:t>
      </w:r>
      <w:r w:rsidRPr="003A49E3">
        <w:rPr>
          <w:rFonts w:eastAsia="Arial" w:cs="Calibri"/>
          <w:bCs/>
          <w:color w:val="222222"/>
          <w:sz w:val="16"/>
        </w:rPr>
        <w:t xml:space="preserve">Falling short of equity — and federal expectations: </w:t>
      </w:r>
      <w:r w:rsidRPr="003A49E3">
        <w:rPr>
          <w:rFonts w:eastAsia="Arial" w:cs="Calibri"/>
          <w:color w:val="222222"/>
          <w:sz w:val="16"/>
        </w:rPr>
        <w:t>Why isn’t the Title I mandate doing its job?</w:t>
      </w:r>
      <w:r w:rsidRPr="003A49E3">
        <w:rPr>
          <w:rFonts w:eastAsia="Arial" w:cs="Calibri"/>
          <w:color w:val="222222"/>
          <w:u w:val="single"/>
        </w:rPr>
        <w:t xml:space="preserve"> Late last year, the outgoing administration tried to back the “supplement, not supplant” rule with a </w:t>
      </w:r>
      <w:hyperlink r:id="rId14">
        <w:r w:rsidRPr="003A49E3">
          <w:rPr>
            <w:rStyle w:val="Hyperlink"/>
            <w:rFonts w:eastAsia="Arial" w:cs="Calibri"/>
            <w:color w:val="111111"/>
            <w:u w:val="single"/>
          </w:rPr>
          <w:t>regulation</w:t>
        </w:r>
      </w:hyperlink>
      <w:r w:rsidRPr="003A49E3">
        <w:rPr>
          <w:rFonts w:eastAsia="Arial" w:cs="Calibri"/>
          <w:color w:val="222222"/>
          <w:u w:val="single"/>
        </w:rPr>
        <w:t xml:space="preserve"> that would have required districts to spend at least as much per pupil in Title I schools as they do in other schools. But states </w:t>
      </w:r>
      <w:hyperlink r:id="rId15">
        <w:r w:rsidRPr="003A49E3">
          <w:rPr>
            <w:rStyle w:val="Hyperlink"/>
            <w:rFonts w:eastAsia="Arial" w:cs="Calibri"/>
            <w:color w:val="111111"/>
            <w:u w:val="single"/>
          </w:rPr>
          <w:t>pushed</w:t>
        </w:r>
      </w:hyperlink>
      <w:hyperlink r:id="rId16">
        <w:r w:rsidRPr="003A49E3">
          <w:rPr>
            <w:rStyle w:val="Hyperlink"/>
            <w:rFonts w:eastAsia="Arial" w:cs="Calibri"/>
            <w:color w:val="111111"/>
            <w:u w:val="single"/>
          </w:rPr>
          <w:t xml:space="preserve"> back</w:t>
        </w:r>
      </w:hyperlink>
      <w:hyperlink r:id="rId17">
        <w:r w:rsidRPr="003A49E3">
          <w:rPr>
            <w:rStyle w:val="Hyperlink"/>
            <w:rFonts w:eastAsia="Arial" w:cs="Calibri"/>
            <w:color w:val="111111"/>
            <w:u w:val="single"/>
          </w:rPr>
          <w:t xml:space="preserve"> hard</w:t>
        </w:r>
      </w:hyperlink>
      <w:hyperlink r:id="rId18">
        <w:r w:rsidRPr="003A49E3">
          <w:rPr>
            <w:rStyle w:val="Hyperlink"/>
            <w:rFonts w:eastAsia="Arial" w:cs="Calibri"/>
            <w:color w:val="111111"/>
            <w:u w:val="single"/>
          </w:rPr>
          <w:t xml:space="preserve"> against</w:t>
        </w:r>
      </w:hyperlink>
      <w:r w:rsidRPr="003A49E3">
        <w:rPr>
          <w:rFonts w:eastAsia="Arial" w:cs="Calibri"/>
          <w:color w:val="222222"/>
          <w:u w:val="single"/>
        </w:rPr>
        <w:t xml:space="preserve"> the proposed rule, and it was </w:t>
      </w:r>
      <w:hyperlink r:id="rId19">
        <w:r w:rsidRPr="003A49E3">
          <w:rPr>
            <w:rStyle w:val="Hyperlink"/>
            <w:rFonts w:eastAsia="Arial" w:cs="Calibri"/>
            <w:color w:val="111111"/>
            <w:u w:val="single"/>
          </w:rPr>
          <w:t>withdrawn</w:t>
        </w:r>
      </w:hyperlink>
      <w:r w:rsidRPr="003A49E3">
        <w:rPr>
          <w:rFonts w:eastAsia="Arial" w:cs="Calibri"/>
          <w:color w:val="222222"/>
          <w:u w:val="single"/>
        </w:rPr>
        <w:t>, leaving it up to the states to ensure funding equity. As the numbers show, they’re falling short.</w:t>
      </w:r>
      <w:r w:rsidRPr="003A49E3">
        <w:rPr>
          <w:rFonts w:cs="Calibri"/>
          <w:sz w:val="16"/>
        </w:rPr>
        <w:t xml:space="preserve"> </w:t>
      </w:r>
      <w:r w:rsidRPr="003A49E3">
        <w:rPr>
          <w:rFonts w:eastAsia="Arial" w:cs="Calibri"/>
          <w:color w:val="222222"/>
          <w:u w:val="single"/>
        </w:rPr>
        <w:t xml:space="preserve">In 2014, 27 states saw less money per pupil in their highest-poverty districts. For example, per-pupil funding in the highest-poverty school districts in Arizona was about $1,100 less than in the state’s least-poor districts, a 13 percent gap. Similarly, in California, the highest-poverty districts had close to $900 less per student than the lowest-poverty ones. Meanwhile, Arizona received almost $330 million in Title I dollars this year, and California got over $1.76 billion. Even more galling, both states received money through the Education Finance Incentive Grant Program, </w:t>
      </w:r>
      <w:hyperlink r:id="rId20">
        <w:r w:rsidRPr="003A49E3">
          <w:rPr>
            <w:rStyle w:val="Hyperlink"/>
            <w:rFonts w:eastAsia="Arial" w:cs="Calibri"/>
            <w:color w:val="111111"/>
            <w:u w:val="single"/>
          </w:rPr>
          <w:t>a subset of Title I</w:t>
        </w:r>
      </w:hyperlink>
      <w:r w:rsidRPr="003A49E3">
        <w:rPr>
          <w:rFonts w:eastAsia="Arial" w:cs="Calibri"/>
          <w:color w:val="222222"/>
          <w:u w:val="single"/>
        </w:rPr>
        <w:t xml:space="preserve"> that is meant to reward states for progressive funding allocations. Much of that money will have to be used to make up the deficits left by state and local underfunding of poor districts, not to give low-income students a boost — exactly the opposite of Congress’s intention.</w:t>
      </w:r>
      <w:r w:rsidRPr="003A49E3">
        <w:rPr>
          <w:rFonts w:eastAsia="Arial" w:cs="Calibri"/>
          <w:color w:val="222222"/>
          <w:sz w:val="16"/>
        </w:rPr>
        <w:t xml:space="preserve"> </w:t>
      </w:r>
      <w:r w:rsidRPr="003A49E3">
        <w:rPr>
          <w:rFonts w:eastAsia="Arial" w:cs="Calibri"/>
          <w:bCs/>
          <w:color w:val="222222"/>
          <w:sz w:val="16"/>
        </w:rPr>
        <w:t xml:space="preserve">The road to inequity is paved with good intention: </w:t>
      </w:r>
      <w:r w:rsidRPr="003A49E3">
        <w:rPr>
          <w:rFonts w:eastAsia="Arial" w:cs="Calibri"/>
          <w:color w:val="222222"/>
          <w:sz w:val="16"/>
        </w:rPr>
        <w:t xml:space="preserve">Many states even fall short of their own policy goals for funding equity. It’s true that in some states, there’s no effort to provide more for low-income students. But in most cases, when a state determines how much funding each district needs, </w:t>
      </w:r>
      <w:hyperlink r:id="rId21">
        <w:r w:rsidRPr="003A49E3">
          <w:rPr>
            <w:rStyle w:val="Hyperlink"/>
            <w:rFonts w:eastAsia="Arial" w:cs="Calibri"/>
            <w:color w:val="111111"/>
            <w:sz w:val="16"/>
          </w:rPr>
          <w:t>the calculation is increased</w:t>
        </w:r>
      </w:hyperlink>
      <w:r w:rsidRPr="003A49E3">
        <w:rPr>
          <w:rFonts w:eastAsia="Arial" w:cs="Calibri"/>
          <w:color w:val="222222"/>
          <w:sz w:val="16"/>
        </w:rPr>
        <w:t xml:space="preserve"> for children in poverty. For example, </w:t>
      </w:r>
      <w:hyperlink r:id="rId22">
        <w:r w:rsidRPr="003A49E3">
          <w:rPr>
            <w:rStyle w:val="Hyperlink"/>
            <w:rFonts w:eastAsia="Arial" w:cs="Calibri"/>
            <w:color w:val="111111"/>
            <w:sz w:val="16"/>
          </w:rPr>
          <w:t>in Louisiana</w:t>
        </w:r>
      </w:hyperlink>
      <w:r w:rsidRPr="003A49E3">
        <w:rPr>
          <w:rFonts w:eastAsia="Arial" w:cs="Calibri"/>
          <w:color w:val="222222"/>
          <w:sz w:val="16"/>
        </w:rPr>
        <w:t xml:space="preserve">, each student generates about $4,000 for her district. But the count of each district’s low-income students is boosted by 22 percent for funding purposes, so a Louisiana district serving all low-income students should have 22 percent more funding than the standard, or a little over $4,800 per student. That’s not how the numbers work out, though: The state’s highest-poverty districts actually have $236 less per student on average than the lowest-poverty districts. Why does Louisiana, like many states that are trying to provide more for students in poverty, fall short? The state falls prey to a common problem: Its state funding formula allocates more money for high-poverty school systems, but wealthier districts can afford to collect extra money from supplemental property taxes — and there’s no state rule limiting how much they can raise. The bonus taxes paid in those richer districts swamp the money that the state is paying poorer communities, and the result is a lopsided system in which the neediest end up with less. </w:t>
      </w:r>
      <w:r w:rsidRPr="003A49E3">
        <w:rPr>
          <w:rFonts w:eastAsia="Arial" w:cs="Calibri"/>
          <w:bCs/>
          <w:color w:val="222222"/>
          <w:sz w:val="16"/>
        </w:rPr>
        <w:t xml:space="preserve">When states fail to provide: </w:t>
      </w:r>
      <w:r w:rsidRPr="003A49E3">
        <w:rPr>
          <w:rFonts w:eastAsia="Arial" w:cs="Calibri"/>
          <w:color w:val="222222"/>
          <w:u w:val="single"/>
        </w:rPr>
        <w:t>When states fail to achieve equal state and local funding for high- and low-poverty districts, Title I money ceases to be “supplemental.” Instead, it is effectively used to fill the gap, not to give students in poverty the added support that Congress intended. So when all the funding comes together — state, local, and federal dollars — low-income students don’t get the greater resources they need.</w:t>
      </w:r>
      <w:r w:rsidRPr="003A49E3">
        <w:rPr>
          <w:rFonts w:eastAsia="Arial" w:cs="Calibri"/>
          <w:color w:val="222222"/>
          <w:sz w:val="16"/>
        </w:rPr>
        <w:t xml:space="preserve"> To properly provide for students in poverty, states need to think about progressive funding from all sides. Funding formulas must consider the cost of educating low-income students when calculating necessary funding, so high-poverty districts are entitled to more state money. On the local side, states should make sure that richer districts can’t raise so much extra funding that their budgets dwarf those of low-wealth school systems. And </w:t>
      </w:r>
      <w:r w:rsidRPr="003A49E3">
        <w:rPr>
          <w:rFonts w:eastAsia="Arial" w:cs="Calibri"/>
          <w:color w:val="222222"/>
          <w:u w:val="single"/>
        </w:rPr>
        <w:t>when it comes to federal dollars, states have to be responsible stewards of Title I money. Those dollars are meant to give low-income students a boost.</w:t>
      </w:r>
      <w:r w:rsidRPr="003A49E3">
        <w:rPr>
          <w:rFonts w:eastAsia="Arial" w:cs="Calibri"/>
          <w:color w:val="222222"/>
          <w:sz w:val="16"/>
        </w:rPr>
        <w:t xml:space="preserve"> It’s the state’s obligation to make sure they get one.</w:t>
      </w:r>
    </w:p>
    <w:p w:rsidR="000C7A59" w:rsidRPr="003A49E3" w:rsidRDefault="000C7A59" w:rsidP="000C7A59">
      <w:pPr>
        <w:pStyle w:val="Heading3"/>
      </w:pPr>
      <w:r w:rsidRPr="003A49E3">
        <w:t>Title I Fails – Equity</w:t>
      </w:r>
    </w:p>
    <w:p w:rsidR="000C7A59" w:rsidRPr="003A49E3" w:rsidRDefault="000C7A59" w:rsidP="000C7A59">
      <w:pPr>
        <w:pStyle w:val="Heading4"/>
        <w:spacing w:before="240" w:after="40"/>
        <w:rPr>
          <w:rFonts w:ascii="Times New Roman" w:hAnsi="Times New Roman"/>
        </w:rPr>
      </w:pPr>
      <w:r w:rsidRPr="003A49E3">
        <w:rPr>
          <w:color w:val="030A13"/>
          <w:sz w:val="28"/>
          <w:szCs w:val="28"/>
          <w:shd w:val="clear" w:color="auto" w:fill="FFFFFF"/>
        </w:rPr>
        <w:t>Title I fails to meet the equal protection and only serves to undermine equality</w:t>
      </w:r>
    </w:p>
    <w:p w:rsidR="000C7A59" w:rsidRPr="003A49E3" w:rsidRDefault="000C7A59" w:rsidP="000C7A59">
      <w:pPr>
        <w:pStyle w:val="NormalWeb"/>
        <w:spacing w:before="0" w:beforeAutospacing="0" w:after="0" w:afterAutospacing="0"/>
        <w:rPr>
          <w:rFonts w:ascii="Calibri" w:hAnsi="Calibri"/>
          <w:color w:val="030A13"/>
          <w:sz w:val="20"/>
          <w:szCs w:val="20"/>
          <w:shd w:val="clear" w:color="auto" w:fill="FFFFFF"/>
        </w:rPr>
      </w:pPr>
      <w:r w:rsidRPr="003A49E3">
        <w:rPr>
          <w:rFonts w:ascii="Calibri" w:hAnsi="Calibri"/>
          <w:b/>
          <w:bCs/>
          <w:color w:val="030A13"/>
          <w:shd w:val="clear" w:color="auto" w:fill="FFFFFF"/>
        </w:rPr>
        <w:t>Black 10</w:t>
      </w:r>
      <w:r w:rsidRPr="003A49E3">
        <w:rPr>
          <w:rFonts w:ascii="Calibri" w:hAnsi="Calibri"/>
          <w:color w:val="030A13"/>
          <w:shd w:val="clear" w:color="auto" w:fill="FFFFFF"/>
        </w:rPr>
        <w:t xml:space="preserve"> </w:t>
      </w:r>
      <w:r w:rsidRPr="003A49E3">
        <w:rPr>
          <w:rFonts w:ascii="Calibri" w:hAnsi="Calibri"/>
          <w:color w:val="030A13"/>
          <w:sz w:val="20"/>
          <w:szCs w:val="20"/>
          <w:shd w:val="clear" w:color="auto" w:fill="FFFFFF"/>
        </w:rPr>
        <w:t>(Derek W. Black is an Associate Professor and Director of the Education Rights Center, Howard University School of Law, “THE CONGRESSIONAL FAILURE TO ENFORCE EQUAL PROTECTION THROUGH THE ELEMENTARY AND SECONDARY EDUCATION ACT”,</w:t>
      </w:r>
      <w:hyperlink r:id="rId23" w:history="1">
        <w:r w:rsidRPr="003A49E3">
          <w:rPr>
            <w:rStyle w:val="Hyperlink"/>
            <w:color w:val="030A13"/>
            <w:sz w:val="20"/>
            <w:szCs w:val="20"/>
            <w:shd w:val="clear" w:color="auto" w:fill="FFFFFF"/>
          </w:rPr>
          <w:t xml:space="preserve"> </w:t>
        </w:r>
        <w:r w:rsidRPr="003A49E3">
          <w:rPr>
            <w:rStyle w:val="Hyperlink"/>
            <w:color w:val="1155CC"/>
            <w:sz w:val="20"/>
            <w:szCs w:val="20"/>
            <w:shd w:val="clear" w:color="auto" w:fill="FFFFFF"/>
          </w:rPr>
          <w:t>http://www.bu.edu/law/journals-archive/bulr/documents/black.pdf</w:t>
        </w:r>
      </w:hyperlink>
      <w:r w:rsidRPr="003A49E3">
        <w:rPr>
          <w:rFonts w:ascii="Calibri" w:hAnsi="Calibri"/>
          <w:color w:val="030A13"/>
          <w:sz w:val="20"/>
          <w:szCs w:val="20"/>
          <w:shd w:val="clear" w:color="auto" w:fill="FFFFFF"/>
        </w:rPr>
        <w:t>, page 5-6, Vol. 90:313, Boston University Law Review, LD)</w:t>
      </w:r>
    </w:p>
    <w:p w:rsidR="000C7A59" w:rsidRPr="003A49E3" w:rsidRDefault="000C7A59" w:rsidP="000C7A59">
      <w:pPr>
        <w:pStyle w:val="NormalWeb"/>
        <w:spacing w:before="0" w:beforeAutospacing="0" w:after="0" w:afterAutospacing="0"/>
      </w:pPr>
    </w:p>
    <w:p w:rsidR="000C7A59" w:rsidRPr="003A49E3" w:rsidRDefault="000C7A59" w:rsidP="000C7A59">
      <w:pPr>
        <w:pStyle w:val="NormalWeb"/>
        <w:spacing w:before="0" w:beforeAutospacing="0" w:after="0" w:afterAutospacing="0"/>
        <w:rPr>
          <w:sz w:val="16"/>
          <w:szCs w:val="22"/>
        </w:rPr>
      </w:pPr>
      <w:r w:rsidRPr="003A49E3">
        <w:rPr>
          <w:rFonts w:ascii="Calibri" w:hAnsi="Calibri"/>
          <w:color w:val="030A13"/>
          <w:sz w:val="16"/>
          <w:szCs w:val="22"/>
          <w:shd w:val="clear" w:color="auto" w:fill="FFFFFF"/>
        </w:rPr>
        <w:t xml:space="preserve">The question of whether Congress has a duty is the more complicated of the two. The Fourteenth Amendment guarantees citizens equal protection of the laws, but it also grants Congress the power to enforce equal protection.21 This grant of power gives Congress the authority to address school inequalities, but whether this grant of power obligates Congress to address inequalities is less certain. Viewed independently, the language of the Fourteenth Amendment suggests that Congress’s enforcement power includes a significant amount of discretion.22 But the basic language and nature of Congress’s Fourteenth Amendment powers are distinct from that of other constitutional powers that are inherently and entirely discretionary.23 These distinctions suggest that Congress’s discretion under the Fourteenth Amendment, unlike other powers, is not unlimited. Further comparison and analysis suggest that Congress is obligated to act in the face of known equal protection violations, but has wide discretion in how it acts. Yet even if Congress has no obligation to act, reason dictates that </w:t>
      </w:r>
      <w:r w:rsidRPr="003A49E3">
        <w:rPr>
          <w:rFonts w:ascii="Calibri" w:hAnsi="Calibri"/>
          <w:color w:val="030A13"/>
          <w:sz w:val="22"/>
          <w:szCs w:val="22"/>
          <w:u w:val="single"/>
          <w:shd w:val="clear" w:color="auto" w:fill="FFFFFF"/>
        </w:rPr>
        <w:t xml:space="preserve">any action that Congress voluntarily takes must be consistent with the Amendment’s equal protection guarantee. </w:t>
      </w:r>
      <w:r w:rsidRPr="003A49E3">
        <w:rPr>
          <w:rFonts w:ascii="Calibri" w:hAnsi="Calibri"/>
          <w:color w:val="030A13"/>
          <w:sz w:val="16"/>
          <w:szCs w:val="22"/>
          <w:shd w:val="clear" w:color="auto" w:fill="FFFFFF"/>
        </w:rPr>
        <w:t xml:space="preserve">Since Congress, in enacting Title I, has already entered the field of education, identifying a preexisting duty to remedy inequality becomes less important. </w:t>
      </w:r>
      <w:r w:rsidRPr="003A49E3">
        <w:rPr>
          <w:rFonts w:ascii="Calibri" w:hAnsi="Calibri"/>
          <w:b/>
          <w:bCs/>
          <w:color w:val="030A13"/>
          <w:sz w:val="22"/>
          <w:szCs w:val="22"/>
          <w:u w:val="single"/>
          <w:shd w:val="clear" w:color="auto" w:fill="00FFFF"/>
        </w:rPr>
        <w:t>Congress now must ensure that Title I furthers, rather than undermines, equal protection.</w:t>
      </w:r>
      <w:r w:rsidRPr="003A49E3">
        <w:rPr>
          <w:sz w:val="16"/>
          <w:szCs w:val="22"/>
        </w:rPr>
        <w:t xml:space="preserve"> </w:t>
      </w:r>
      <w:r w:rsidRPr="003A49E3">
        <w:rPr>
          <w:rFonts w:ascii="Calibri" w:hAnsi="Calibri"/>
          <w:color w:val="030A13"/>
          <w:sz w:val="16"/>
          <w:szCs w:val="22"/>
          <w:shd w:val="clear" w:color="auto" w:fill="FFFFFF"/>
        </w:rPr>
        <w:t xml:space="preserve">As currently enacted, </w:t>
      </w:r>
      <w:r w:rsidRPr="003A49E3">
        <w:rPr>
          <w:rFonts w:ascii="Calibri" w:hAnsi="Calibri"/>
          <w:b/>
          <w:bCs/>
          <w:color w:val="030A13"/>
          <w:sz w:val="22"/>
          <w:szCs w:val="22"/>
          <w:u w:val="single"/>
          <w:shd w:val="clear" w:color="auto" w:fill="00FFFF"/>
        </w:rPr>
        <w:t>Title I fails to satisfy this requirement.</w:t>
      </w:r>
      <w:r w:rsidRPr="003A49E3">
        <w:rPr>
          <w:rFonts w:ascii="Calibri" w:hAnsi="Calibri"/>
          <w:color w:val="030A13"/>
          <w:sz w:val="16"/>
          <w:szCs w:val="22"/>
          <w:shd w:val="clear" w:color="auto" w:fill="FFFFFF"/>
        </w:rPr>
        <w:t xml:space="preserve"> Even worse, </w:t>
      </w:r>
      <w:r w:rsidRPr="003A49E3">
        <w:rPr>
          <w:rFonts w:ascii="Calibri" w:hAnsi="Calibri"/>
          <w:b/>
          <w:bCs/>
          <w:color w:val="030A13"/>
          <w:sz w:val="22"/>
          <w:szCs w:val="22"/>
          <w:u w:val="single"/>
          <w:shd w:val="clear" w:color="auto" w:fill="00FFFF"/>
        </w:rPr>
        <w:t xml:space="preserve">Title I </w:t>
      </w:r>
      <w:r w:rsidRPr="003A49E3">
        <w:rPr>
          <w:rFonts w:ascii="Calibri" w:hAnsi="Calibri"/>
          <w:color w:val="030A13"/>
          <w:sz w:val="16"/>
          <w:szCs w:val="22"/>
          <w:shd w:val="clear" w:color="auto" w:fill="FFFFFF"/>
        </w:rPr>
        <w:t xml:space="preserve">actually </w:t>
      </w:r>
      <w:r w:rsidRPr="003A49E3">
        <w:rPr>
          <w:rFonts w:ascii="Calibri" w:hAnsi="Calibri"/>
          <w:b/>
          <w:bCs/>
          <w:color w:val="030A13"/>
          <w:sz w:val="22"/>
          <w:szCs w:val="22"/>
          <w:u w:val="single"/>
          <w:shd w:val="clear" w:color="auto" w:fill="00FFFF"/>
        </w:rPr>
        <w:t>sanctions, undermines, and exacerbates educational inequalities</w:t>
      </w:r>
      <w:r w:rsidRPr="003A49E3">
        <w:rPr>
          <w:rFonts w:ascii="Calibri" w:hAnsi="Calibri"/>
          <w:b/>
          <w:bCs/>
          <w:color w:val="030A13"/>
          <w:sz w:val="22"/>
          <w:szCs w:val="22"/>
          <w:u w:val="single"/>
          <w:shd w:val="clear" w:color="auto" w:fill="FFFFFF"/>
        </w:rPr>
        <w:t xml:space="preserve"> </w:t>
      </w:r>
      <w:r w:rsidRPr="003A49E3">
        <w:rPr>
          <w:rFonts w:ascii="Calibri" w:hAnsi="Calibri"/>
          <w:color w:val="030A13"/>
          <w:sz w:val="16"/>
          <w:szCs w:val="22"/>
          <w:shd w:val="clear" w:color="auto" w:fill="FFFFFF"/>
        </w:rPr>
        <w:t xml:space="preserve">in several respects. </w:t>
      </w:r>
      <w:r w:rsidRPr="003A49E3">
        <w:rPr>
          <w:rFonts w:ascii="Calibri" w:hAnsi="Calibri"/>
          <w:b/>
          <w:bCs/>
          <w:color w:val="030A13"/>
          <w:sz w:val="22"/>
          <w:szCs w:val="22"/>
          <w:u w:val="single"/>
          <w:shd w:val="clear" w:color="auto" w:fill="00FFFF"/>
        </w:rPr>
        <w:t>First</w:t>
      </w:r>
      <w:r w:rsidRPr="003A49E3">
        <w:rPr>
          <w:rFonts w:ascii="Calibri" w:hAnsi="Calibri"/>
          <w:color w:val="030A13"/>
          <w:sz w:val="16"/>
          <w:szCs w:val="22"/>
          <w:shd w:val="clear" w:color="auto" w:fill="FFFFFF"/>
        </w:rPr>
        <w:t xml:space="preserve">, the Title I </w:t>
      </w:r>
      <w:r w:rsidRPr="003A49E3">
        <w:rPr>
          <w:rFonts w:ascii="Calibri" w:hAnsi="Calibri"/>
          <w:color w:val="030A13"/>
          <w:sz w:val="22"/>
          <w:szCs w:val="22"/>
          <w:u w:val="single"/>
          <w:shd w:val="clear" w:color="auto" w:fill="00FFFF"/>
        </w:rPr>
        <w:t>funding formulas rely on irrational factors to distribute funds.</w:t>
      </w:r>
      <w:r w:rsidRPr="003A49E3">
        <w:rPr>
          <w:rFonts w:ascii="Calibri" w:hAnsi="Calibri"/>
          <w:color w:val="030A13"/>
          <w:sz w:val="16"/>
          <w:szCs w:val="22"/>
          <w:shd w:val="clear" w:color="auto" w:fill="FFFFFF"/>
        </w:rPr>
        <w:t xml:space="preserve"> As a result, they randomly and disproportionately drive resources to some school districts and deprive other districts, </w:t>
      </w:r>
      <w:r w:rsidRPr="003A49E3">
        <w:rPr>
          <w:rFonts w:ascii="Calibri" w:hAnsi="Calibri"/>
          <w:color w:val="030A13"/>
          <w:sz w:val="22"/>
          <w:szCs w:val="22"/>
          <w:u w:val="single"/>
          <w:shd w:val="clear" w:color="auto" w:fill="00FFFF"/>
        </w:rPr>
        <w:t>which undermines both equity and the goal of meeting student needs</w:t>
      </w:r>
      <w:r w:rsidRPr="003A49E3">
        <w:rPr>
          <w:rFonts w:ascii="Calibri" w:hAnsi="Calibri"/>
          <w:color w:val="030A13"/>
          <w:sz w:val="22"/>
          <w:szCs w:val="22"/>
          <w:u w:val="single"/>
          <w:shd w:val="clear" w:color="auto" w:fill="FFFFFF"/>
        </w:rPr>
        <w:t>.</w:t>
      </w:r>
      <w:r w:rsidRPr="003A49E3">
        <w:rPr>
          <w:rFonts w:ascii="Calibri" w:hAnsi="Calibri"/>
          <w:color w:val="030A13"/>
          <w:sz w:val="16"/>
          <w:szCs w:val="22"/>
          <w:shd w:val="clear" w:color="auto" w:fill="FFFFFF"/>
        </w:rPr>
        <w:t xml:space="preserve">24 For instance, the formulas guarantee a certain level of funding to small states regardless of the number of poor students who live there.25 Because these small states tend to have smaller percentages of poor students, they receive more Title I funds per pupil than many other states with higher levels of poverty.26 </w:t>
      </w:r>
      <w:r w:rsidRPr="003A49E3">
        <w:rPr>
          <w:rFonts w:ascii="Calibri" w:hAnsi="Calibri"/>
          <w:b/>
          <w:bCs/>
          <w:color w:val="030A13"/>
          <w:sz w:val="22"/>
          <w:szCs w:val="22"/>
          <w:u w:val="single"/>
          <w:shd w:val="clear" w:color="auto" w:fill="00FFFF"/>
        </w:rPr>
        <w:t xml:space="preserve">The formulas </w:t>
      </w:r>
      <w:r w:rsidRPr="003A49E3">
        <w:rPr>
          <w:rFonts w:ascii="Calibri" w:hAnsi="Calibri"/>
          <w:color w:val="030A13"/>
          <w:sz w:val="16"/>
          <w:szCs w:val="22"/>
          <w:shd w:val="clear" w:color="auto" w:fill="FFFFFF"/>
        </w:rPr>
        <w:t>also</w:t>
      </w:r>
      <w:r w:rsidRPr="003A49E3">
        <w:rPr>
          <w:rFonts w:ascii="Calibri" w:hAnsi="Calibri"/>
          <w:b/>
          <w:bCs/>
          <w:color w:val="030A13"/>
          <w:sz w:val="22"/>
          <w:szCs w:val="22"/>
          <w:u w:val="single"/>
          <w:shd w:val="clear" w:color="auto" w:fill="00FFFF"/>
        </w:rPr>
        <w:t xml:space="preserve"> increase the funding per pupil as the size of the district grows, advantaging large school districts over small districts.</w:t>
      </w:r>
      <w:r w:rsidRPr="003A49E3">
        <w:rPr>
          <w:rFonts w:ascii="Calibri" w:hAnsi="Calibri"/>
          <w:color w:val="030A13"/>
          <w:sz w:val="16"/>
          <w:szCs w:val="22"/>
          <w:shd w:val="clear" w:color="auto" w:fill="FFFFFF"/>
        </w:rPr>
        <w:t>27 However, the size of a school district does not correlate with geographic costs or the percentage of poor students therein.28 In addition, although the formulas exponentially increase the Title I funds per pupil as the percentage of poor students in a school district approaches thirty, the formulas stop exponentially increasing funds beyond that point.29 Yet student need continues to increase, if not</w:t>
      </w:r>
      <w:r w:rsidRPr="003A49E3">
        <w:rPr>
          <w:sz w:val="16"/>
          <w:szCs w:val="22"/>
        </w:rPr>
        <w:t xml:space="preserve"> </w:t>
      </w:r>
      <w:r w:rsidRPr="003A49E3">
        <w:rPr>
          <w:rFonts w:ascii="Calibri" w:hAnsi="Calibri"/>
          <w:color w:val="030A13"/>
          <w:sz w:val="16"/>
          <w:szCs w:val="22"/>
          <w:shd w:val="clear" w:color="auto" w:fill="FFFFFF"/>
        </w:rPr>
        <w:t xml:space="preserve">skyrocket, as the percentage of poor students rises above thirty percent.30 Finally, </w:t>
      </w:r>
      <w:r w:rsidRPr="003A49E3">
        <w:rPr>
          <w:rFonts w:ascii="Calibri" w:hAnsi="Calibri"/>
          <w:b/>
          <w:bCs/>
          <w:color w:val="030A13"/>
          <w:sz w:val="22"/>
          <w:szCs w:val="22"/>
          <w:u w:val="single"/>
          <w:shd w:val="clear" w:color="auto" w:fill="00FFFF"/>
        </w:rPr>
        <w:t>the formulas allot money based on each state’s per-pupil expenditure on education</w:t>
      </w:r>
      <w:r w:rsidRPr="003A49E3">
        <w:rPr>
          <w:rFonts w:ascii="Calibri" w:hAnsi="Calibri"/>
          <w:color w:val="030A13"/>
          <w:sz w:val="16"/>
          <w:szCs w:val="22"/>
          <w:shd w:val="clear" w:color="auto" w:fill="00FFFF"/>
        </w:rPr>
        <w:t xml:space="preserve">.31 </w:t>
      </w:r>
      <w:r w:rsidRPr="003A49E3">
        <w:rPr>
          <w:rFonts w:ascii="Calibri" w:hAnsi="Calibri"/>
          <w:b/>
          <w:bCs/>
          <w:color w:val="030A13"/>
          <w:sz w:val="22"/>
          <w:szCs w:val="22"/>
          <w:u w:val="single"/>
          <w:shd w:val="clear" w:color="auto" w:fill="00FFFF"/>
        </w:rPr>
        <w:t>As a result, the richest states receive the most Title I dollars and the poorest states receive the fewest</w:t>
      </w:r>
      <w:r w:rsidRPr="003A49E3">
        <w:rPr>
          <w:rFonts w:ascii="Calibri" w:hAnsi="Calibri"/>
          <w:b/>
          <w:bCs/>
          <w:color w:val="030A13"/>
          <w:sz w:val="22"/>
          <w:szCs w:val="22"/>
          <w:u w:val="single"/>
          <w:shd w:val="clear" w:color="auto" w:fill="FFFFFF"/>
        </w:rPr>
        <w:t xml:space="preserve">. </w:t>
      </w:r>
      <w:r w:rsidRPr="003A49E3">
        <w:rPr>
          <w:rFonts w:ascii="Calibri" w:hAnsi="Calibri"/>
          <w:color w:val="030A13"/>
          <w:sz w:val="16"/>
          <w:szCs w:val="22"/>
          <w:shd w:val="clear" w:color="auto" w:fill="FFFFFF"/>
        </w:rPr>
        <w:t xml:space="preserve">In all fairness, richer states generally have higher locality costs as well, but these states do not uniformly have significant levels of poor students whereas poor states more often do.32 In short, these funding formula flaws provide fewer funds to the schools and students who need the funds most, forcing them to make their Title I dollars stretch further than other schools. In this respect, </w:t>
      </w:r>
      <w:r w:rsidRPr="003A49E3">
        <w:rPr>
          <w:rFonts w:ascii="Calibri" w:hAnsi="Calibri"/>
          <w:color w:val="030A13"/>
          <w:sz w:val="22"/>
          <w:szCs w:val="22"/>
          <w:u w:val="single"/>
          <w:shd w:val="clear" w:color="auto" w:fill="FFFFFF"/>
        </w:rPr>
        <w:t>rather than narrowing inequities, Title I expands them. It takes money and resources that poor students and schools need and delivers them elsewhere.</w:t>
      </w:r>
    </w:p>
    <w:p w:rsidR="000C7A59" w:rsidRPr="003A49E3" w:rsidRDefault="000C7A59" w:rsidP="000C7A59"/>
    <w:p w:rsidR="000C7A59" w:rsidRPr="003A49E3" w:rsidRDefault="000C7A59" w:rsidP="000C7A59">
      <w:pPr>
        <w:pStyle w:val="Heading3"/>
      </w:pPr>
      <w:r w:rsidRPr="003A49E3">
        <w:t>Title I Fails – Rollback</w:t>
      </w:r>
    </w:p>
    <w:p w:rsidR="000C7A59" w:rsidRPr="003A49E3" w:rsidRDefault="000C7A59" w:rsidP="000C7A59">
      <w:pPr>
        <w:pStyle w:val="Heading4"/>
        <w:rPr>
          <w:rFonts w:ascii="Times New Roman" w:eastAsia="Times New Roman" w:hAnsi="Times New Roman"/>
          <w:sz w:val="24"/>
          <w:szCs w:val="24"/>
        </w:rPr>
      </w:pPr>
      <w:r w:rsidRPr="003A49E3">
        <w:rPr>
          <w:rFonts w:eastAsia="Times New Roman"/>
        </w:rPr>
        <w:t>Trump will rollback Title I programs anyway</w:t>
      </w:r>
      <w:r w:rsidRPr="003A49E3">
        <w:rPr>
          <w:rFonts w:eastAsia="Times New Roman"/>
          <w:color w:val="333333"/>
        </w:rPr>
        <w:t xml:space="preserve"> – he </w:t>
      </w:r>
      <w:r w:rsidRPr="003A49E3">
        <w:rPr>
          <w:rFonts w:eastAsia="Times New Roman"/>
        </w:rPr>
        <w:t>plans to reallocate funding to support his school choice agenda</w:t>
      </w:r>
    </w:p>
    <w:p w:rsidR="000C7A59" w:rsidRPr="003A49E3" w:rsidRDefault="000C7A59" w:rsidP="000C7A59">
      <w:pPr>
        <w:rPr>
          <w:rFonts w:ascii="Times New Roman" w:eastAsia="Times New Roman" w:hAnsi="Times New Roman"/>
          <w:sz w:val="24"/>
          <w:szCs w:val="24"/>
        </w:rPr>
      </w:pPr>
      <w:r w:rsidRPr="003A49E3">
        <w:rPr>
          <w:rFonts w:eastAsia="Times New Roman"/>
          <w:color w:val="000000"/>
        </w:rPr>
        <w:t xml:space="preserve">Kyra </w:t>
      </w:r>
      <w:r w:rsidRPr="003A49E3">
        <w:rPr>
          <w:rStyle w:val="Style13ptBold"/>
        </w:rPr>
        <w:t>Gurney 17</w:t>
      </w:r>
      <w:r w:rsidRPr="003A49E3">
        <w:rPr>
          <w:rFonts w:eastAsia="Times New Roman"/>
          <w:b/>
          <w:bCs/>
          <w:color w:val="000000"/>
        </w:rPr>
        <w:t xml:space="preserve"> </w:t>
      </w:r>
      <w:r w:rsidRPr="003A49E3">
        <w:rPr>
          <w:rFonts w:eastAsia="Times New Roman"/>
          <w:color w:val="000000"/>
        </w:rPr>
        <w:t>is an education reporter for the Miami Herald, with a degree in Journalism from Columbia University, “6 big ways Trump presidency could change schools”, Miami Herald, November 12 2017, http://www.miamiherald.com/news/local/education/article114225223.html/ SC</w:t>
      </w:r>
    </w:p>
    <w:p w:rsidR="000C7A59" w:rsidRPr="003A49E3" w:rsidRDefault="000C7A59" w:rsidP="000C7A59">
      <w:pPr>
        <w:shd w:val="clear" w:color="auto" w:fill="FFFFFF"/>
        <w:rPr>
          <w:rFonts w:ascii="Times New Roman" w:eastAsia="Times New Roman" w:hAnsi="Times New Roman"/>
          <w:sz w:val="24"/>
          <w:szCs w:val="24"/>
        </w:rPr>
      </w:pPr>
      <w:r w:rsidRPr="003A49E3">
        <w:rPr>
          <w:rFonts w:eastAsia="Times New Roman"/>
          <w:color w:val="000000"/>
        </w:rPr>
        <w:t>Donald Trump has provided only scant details on his education agenda but the ideas he has pitched make one thing certain: the president-elect’s vision for American schools is very different from that of his predecessor.</w:t>
      </w:r>
    </w:p>
    <w:p w:rsidR="000C7A59" w:rsidRPr="003A49E3" w:rsidRDefault="000C7A59" w:rsidP="000C7A59">
      <w:pPr>
        <w:rPr>
          <w:rFonts w:eastAsia="Times New Roman"/>
          <w:color w:val="000000"/>
          <w:sz w:val="16"/>
        </w:rPr>
      </w:pPr>
      <w:r w:rsidRPr="00E55230">
        <w:rPr>
          <w:rStyle w:val="StyleUnderline"/>
        </w:rPr>
        <w:t>While proponents of school choice are invigorated by the prospect of presidential support, teachers unions and other organizations are concerned that Trump’s administration will take money away from struggling public schools</w:t>
      </w:r>
      <w:r w:rsidRPr="003A49E3">
        <w:rPr>
          <w:rFonts w:eastAsia="Times New Roman"/>
          <w:color w:val="000000"/>
          <w:sz w:val="16"/>
        </w:rPr>
        <w:t>. American Federation of Teachers president Randi Weingarten believes</w:t>
      </w:r>
      <w:r w:rsidRPr="003A49E3">
        <w:rPr>
          <w:rFonts w:eastAsia="Times New Roman"/>
          <w:color w:val="000000"/>
          <w:u w:val="single"/>
        </w:rPr>
        <w:t xml:space="preserve"> </w:t>
      </w:r>
      <w:r w:rsidRPr="00E55230">
        <w:rPr>
          <w:rFonts w:eastAsia="Times New Roman"/>
          <w:color w:val="000000"/>
          <w:u w:val="single"/>
        </w:rPr>
        <w:t>Trump could bankroll his $20 billion school choice plan at the expense of Title I funds</w:t>
      </w:r>
      <w:r w:rsidRPr="003A49E3">
        <w:rPr>
          <w:rFonts w:eastAsia="Times New Roman"/>
          <w:color w:val="000000"/>
          <w:sz w:val="16"/>
        </w:rPr>
        <w:t>, which are federal dollars for low-income public schools, or from funding that helps low-income students pay for college,</w:t>
      </w:r>
      <w:r w:rsidRPr="003A49E3">
        <w:rPr>
          <w:rFonts w:eastAsia="Times New Roman"/>
          <w:color w:val="000000"/>
          <w:u w:val="single"/>
        </w:rPr>
        <w:t xml:space="preserve"> </w:t>
      </w:r>
      <w:r w:rsidRPr="00E55230">
        <w:rPr>
          <w:rFonts w:eastAsia="Times New Roman"/>
          <w:color w:val="000000"/>
          <w:u w:val="single"/>
        </w:rPr>
        <w:t>because those are the biggest pots of money</w:t>
      </w:r>
      <w:r w:rsidRPr="003A49E3">
        <w:rPr>
          <w:rFonts w:eastAsia="Times New Roman"/>
          <w:color w:val="000000"/>
          <w:sz w:val="16"/>
        </w:rPr>
        <w:t>. “If he moves forward with that proposal it’s the decimation of public schools,” Weingarten said. In an urban school district like Miami-Dade,</w:t>
      </w:r>
      <w:r w:rsidRPr="003A49E3">
        <w:rPr>
          <w:rFonts w:eastAsia="Times New Roman"/>
          <w:color w:val="000000"/>
          <w:u w:val="single"/>
        </w:rPr>
        <w:t xml:space="preserve"> a loss or a significant change in the distribution of Title I funding would have a huge impact on high-needs schools</w:t>
      </w:r>
      <w:r w:rsidRPr="003A49E3">
        <w:rPr>
          <w:rFonts w:eastAsia="Times New Roman"/>
          <w:color w:val="000000"/>
          <w:sz w:val="16"/>
        </w:rPr>
        <w:t>.  “It would be completely detrimental to us and we would be one of the hardest-hit counties because about 70 percent of our population qualifies for Title I,” United Teachers of Dade President Karla Hernandez-Mats said.</w:t>
      </w:r>
    </w:p>
    <w:p w:rsidR="000C7A59" w:rsidRPr="003A49E3" w:rsidRDefault="000C7A59" w:rsidP="000C7A59"/>
    <w:p w:rsidR="000C7A59" w:rsidRPr="003A49E3" w:rsidRDefault="000C7A59" w:rsidP="000C7A59">
      <w:pPr>
        <w:pStyle w:val="Heading2"/>
      </w:pPr>
      <w:r w:rsidRPr="003A49E3">
        <w:t>Portability CP</w:t>
      </w:r>
    </w:p>
    <w:p w:rsidR="000C7A59" w:rsidRPr="003A49E3" w:rsidRDefault="000C7A59" w:rsidP="000C7A59">
      <w:pPr>
        <w:pStyle w:val="Heading3"/>
      </w:pPr>
      <w:r w:rsidRPr="003A49E3">
        <w:t>1NC – Portability CP</w:t>
      </w:r>
    </w:p>
    <w:p w:rsidR="000C7A59" w:rsidRPr="003A49E3" w:rsidRDefault="000C7A59" w:rsidP="000C7A59">
      <w:pPr>
        <w:pStyle w:val="Heading4"/>
      </w:pPr>
      <w:r w:rsidRPr="003A49E3">
        <w:t>Counterplan Text: The United States federal government should allocate all current and proposed Title I funding for impoverished schools on a per-pupil basis and require that funds follow students to the school of their choice.</w:t>
      </w:r>
    </w:p>
    <w:p w:rsidR="000C7A59" w:rsidRPr="003A49E3" w:rsidRDefault="000C7A59" w:rsidP="000C7A59"/>
    <w:p w:rsidR="000C7A59" w:rsidRPr="003A49E3" w:rsidRDefault="000C7A59" w:rsidP="000C7A59">
      <w:pPr>
        <w:pStyle w:val="Heading4"/>
      </w:pPr>
      <w:r w:rsidRPr="003A49E3">
        <w:t>Counterplan solves – allows schools to more efficiently spend money to help poor students on a schoolwide, instead of districtwide, basis.</w:t>
      </w:r>
    </w:p>
    <w:p w:rsidR="000C7A59" w:rsidRPr="003A49E3" w:rsidRDefault="000C7A59" w:rsidP="000C7A59">
      <w:pPr>
        <w:rPr>
          <w:rStyle w:val="Style13ptBold"/>
          <w:b w:val="0"/>
        </w:rPr>
      </w:pPr>
      <w:r w:rsidRPr="003A49E3">
        <w:rPr>
          <w:rStyle w:val="Style13ptBold"/>
        </w:rPr>
        <w:t>Furtick and Snell 2014</w:t>
      </w:r>
      <w:r w:rsidRPr="003A49E3">
        <w:rPr>
          <w:color w:val="222222"/>
          <w:sz w:val="20"/>
          <w:szCs w:val="20"/>
          <w:shd w:val="clear" w:color="auto" w:fill="FFFFFF"/>
        </w:rPr>
        <w:t xml:space="preserve"> (Katie and Lisa “Federal school finance reform: Moving toward Title I funding following the child”.</w:t>
      </w:r>
      <w:r w:rsidRPr="003A49E3">
        <w:rPr>
          <w:rStyle w:val="apple-converted-space"/>
          <w:color w:val="222222"/>
          <w:sz w:val="20"/>
          <w:szCs w:val="20"/>
          <w:shd w:val="clear" w:color="auto" w:fill="FFFFFF"/>
        </w:rPr>
        <w:t> </w:t>
      </w:r>
      <w:r w:rsidRPr="003A49E3">
        <w:rPr>
          <w:i/>
          <w:iCs/>
          <w:color w:val="222222"/>
          <w:sz w:val="20"/>
          <w:szCs w:val="20"/>
          <w:shd w:val="clear" w:color="auto" w:fill="FFFFFF"/>
        </w:rPr>
        <w:t>Los Angeles: Reason Foundation. Retrieved October</w:t>
      </w:r>
      <w:r w:rsidRPr="003A49E3">
        <w:rPr>
          <w:color w:val="222222"/>
          <w:sz w:val="20"/>
          <w:szCs w:val="20"/>
          <w:shd w:val="clear" w:color="auto" w:fill="FFFFFF"/>
        </w:rPr>
        <w:t>,</w:t>
      </w:r>
      <w:r w:rsidRPr="003A49E3">
        <w:rPr>
          <w:rStyle w:val="apple-converted-space"/>
          <w:color w:val="222222"/>
          <w:sz w:val="20"/>
          <w:szCs w:val="20"/>
          <w:shd w:val="clear" w:color="auto" w:fill="FFFFFF"/>
        </w:rPr>
        <w:t> </w:t>
      </w:r>
      <w:r w:rsidRPr="003A49E3">
        <w:rPr>
          <w:i/>
          <w:iCs/>
          <w:color w:val="222222"/>
          <w:sz w:val="20"/>
          <w:szCs w:val="20"/>
          <w:shd w:val="clear" w:color="auto" w:fill="FFFFFF"/>
        </w:rPr>
        <w:t>15</w:t>
      </w:r>
      <w:r w:rsidRPr="003A49E3">
        <w:rPr>
          <w:color w:val="222222"/>
          <w:sz w:val="20"/>
          <w:szCs w:val="20"/>
          <w:shd w:val="clear" w:color="auto" w:fill="FFFFFF"/>
        </w:rPr>
        <w:t>, p.2014 http://reason.org/files/federal_school_finance_reform.pdf)</w:t>
      </w:r>
    </w:p>
    <w:p w:rsidR="000C7A59" w:rsidRPr="003A49E3" w:rsidRDefault="000C7A59" w:rsidP="000C7A59">
      <w:pPr>
        <w:rPr>
          <w:sz w:val="16"/>
        </w:rPr>
      </w:pPr>
      <w:r w:rsidRPr="00E55230">
        <w:rPr>
          <w:rStyle w:val="StyleUnderline"/>
        </w:rPr>
        <w:t>The best way to solve the problems inherent in the current system of Title I funding is to make Title I funds portable</w:t>
      </w:r>
      <w:r w:rsidRPr="003A49E3">
        <w:rPr>
          <w:sz w:val="16"/>
        </w:rPr>
        <w:t xml:space="preserve">—in other words, </w:t>
      </w:r>
      <w:r w:rsidRPr="00E55230">
        <w:rPr>
          <w:rStyle w:val="StyleUnderline"/>
        </w:rPr>
        <w:t>allocate funds on a per-pupil basis and require that funds follow pupils to the school of their choice</w:t>
      </w:r>
      <w:r w:rsidRPr="003A49E3">
        <w:rPr>
          <w:sz w:val="16"/>
        </w:rPr>
        <w:t xml:space="preserve">. There are a number of advantages to such a system: First, </w:t>
      </w:r>
      <w:r w:rsidRPr="00E55230">
        <w:rPr>
          <w:rStyle w:val="StyleUnderline"/>
        </w:rPr>
        <w:t>allocating Title I funds on a per-pupil basis rather than through the existing, stringent funding mechanism simply and clearly ties the funding to the child in need</w:t>
      </w:r>
      <w:r w:rsidRPr="003A49E3">
        <w:rPr>
          <w:sz w:val="16"/>
        </w:rPr>
        <w:t xml:space="preserve">, which is where it is supposed to go. Moreover, </w:t>
      </w:r>
      <w:r w:rsidRPr="00E55230">
        <w:rPr>
          <w:rStyle w:val="StyleUnderline"/>
        </w:rPr>
        <w:t>attaching extra funding to individual, disadvantaged students gives schools an incentive to attract and retain such students</w:t>
      </w:r>
      <w:r w:rsidRPr="003A49E3">
        <w:rPr>
          <w:sz w:val="16"/>
        </w:rPr>
        <w:t xml:space="preserve"> (and the funding that goes with them</w:t>
      </w:r>
      <w:r w:rsidRPr="00E55230">
        <w:rPr>
          <w:rStyle w:val="StyleUnderline"/>
        </w:rPr>
        <w:t>). This will encourage schools to compete to come up with the best ways to serve disadvantaged students, leading to more innovation and better educational outcomes</w:t>
      </w:r>
      <w:r w:rsidRPr="003A49E3">
        <w:rPr>
          <w:sz w:val="16"/>
        </w:rPr>
        <w:t xml:space="preserve">. Furthermore, this would facilitate the national trend toward families being able to choose the schools their children attend because the child would bring the funding with him. Second, </w:t>
      </w:r>
      <w:r w:rsidRPr="00E55230">
        <w:rPr>
          <w:rStyle w:val="StyleUnderline"/>
        </w:rPr>
        <w:t>principals should be given both the professional freedom and the incentive to raise low-income students’ achievement</w:t>
      </w:r>
      <w:r w:rsidRPr="003A49E3">
        <w:rPr>
          <w:sz w:val="16"/>
        </w:rPr>
        <w:t xml:space="preserve">. Currently, </w:t>
      </w:r>
      <w:r w:rsidRPr="00E55230">
        <w:rPr>
          <w:rStyle w:val="StyleUnderline"/>
        </w:rPr>
        <w:t>restrictions like supplement-not-supplant attempt to tightly control principals’ and districts’ use of Title I funds, with significant administrative burdens of management and enforcement. Instead of managing the process by which funding is used, principals could be given greater freedom in how they use that funding</w:t>
      </w:r>
      <w:r w:rsidRPr="003A49E3">
        <w:rPr>
          <w:sz w:val="16"/>
        </w:rPr>
        <w:t xml:space="preserve">, in return for delivering higher achievement scores among the targeted student population. When school principals have greater autonomy over how Title I funds are spent, they can use innovative and flexible approaches that serve their particular students’ needs, allowing them to more fully perform the role of school leader. The flip-side of greater financial autonomy is that principals should be more directly held accountable for student outcomes. Judging a principal by students’ academic outcomes assigns responsibility where it is due, and greater autonomy over use of funding to achieve those outcomes confers the authority to foster those achievements. This decentralized approach promotes better results than a one-size-fits-all model. Findings from Reason Foundation’s 2013 edition of the Weighted Student Formula Yearbook suggest that in school districts that use a portable school funding framework to finance schools, </w:t>
      </w:r>
      <w:r w:rsidRPr="00E55230">
        <w:rPr>
          <w:rStyle w:val="StyleUnderline"/>
        </w:rPr>
        <w:t>more school-level autonomy over school budgets leads to faster improvement in student achievement and a greater likelihood of closing achievement gaps.</w:t>
      </w:r>
      <w:r w:rsidRPr="003A49E3">
        <w:rPr>
          <w:sz w:val="16"/>
        </w:rPr>
        <w:t xml:space="preserve">27 </w:t>
      </w:r>
      <w:r w:rsidRPr="00E55230">
        <w:rPr>
          <w:rStyle w:val="StyleUnderline"/>
        </w:rPr>
        <w:t>When principals are given more autonomy over their funding, administrative burdens decrease and are redirected toward measurement of academic progress, which serves the goal of Title I funding directly</w:t>
      </w:r>
      <w:r w:rsidRPr="003A49E3">
        <w:rPr>
          <w:sz w:val="16"/>
        </w:rPr>
        <w:t>. Not having to justify expenditures through the labyrinthine cost-by-cost test mandated by the supplement-not-supplant provision also rectifies a variety of funding inequities. For example, it eliminates the “pull-out” models that segregate Title I from nonTitle I students, reducing administrative strain and fostering student unity. Title I funds could be used for a wider and more varied range of comprehensive and innovative programs if they were no longer limited by the restrictive confines of achieving supplementation and avoiding supplanting. In addition</w:t>
      </w:r>
      <w:r w:rsidRPr="00E55230">
        <w:rPr>
          <w:rStyle w:val="StyleUnderline"/>
        </w:rPr>
        <w:t>, Title I funds would be spent more effectively in the absence of supplement-not-supplant rules because schools and districts would no longer be locked into spending decisions from previous years.</w:t>
      </w:r>
      <w:r w:rsidRPr="003A49E3">
        <w:rPr>
          <w:rStyle w:val="StyleUnderline"/>
        </w:rPr>
        <w:t xml:space="preserve"> </w:t>
      </w:r>
      <w:r w:rsidRPr="003A49E3">
        <w:rPr>
          <w:sz w:val="16"/>
        </w:rPr>
        <w:t>Furthermore, allocating funds to individual students would eliminate the need to uphold the comparability requirement, and replace it with more transparent financial arrangements. Instead of allowing districts to submit vague reports of comparability where dollar amounts are disguised by uniform staffing levels or ratios, money would follow each individual student to his or her respective school, increasing real equity between per-pupil expenditures from state and local sources at Title I schools and non-Title I schools.</w:t>
      </w:r>
    </w:p>
    <w:p w:rsidR="000C7A59" w:rsidRPr="003A49E3" w:rsidRDefault="000C7A59" w:rsidP="000C7A59">
      <w:pPr>
        <w:pStyle w:val="Heading3"/>
      </w:pPr>
      <w:r w:rsidRPr="003A49E3">
        <w:t>2NC Solvency – Portability</w:t>
      </w:r>
    </w:p>
    <w:p w:rsidR="000C7A59" w:rsidRPr="003A49E3" w:rsidRDefault="000C7A59" w:rsidP="000C7A59">
      <w:pPr>
        <w:pStyle w:val="Heading4"/>
        <w:spacing w:before="240" w:after="40"/>
        <w:rPr>
          <w:rFonts w:ascii="Times New Roman" w:hAnsi="Times New Roman"/>
        </w:rPr>
      </w:pPr>
      <w:r w:rsidRPr="003A49E3">
        <w:rPr>
          <w:color w:val="030A13"/>
          <w:sz w:val="28"/>
          <w:szCs w:val="28"/>
          <w:shd w:val="clear" w:color="auto" w:fill="FFFFFF"/>
        </w:rPr>
        <w:t>Portable Funding solves better; it allows for more flexible funding which results in greater achievement for low income students</w:t>
      </w:r>
    </w:p>
    <w:p w:rsidR="000C7A59" w:rsidRPr="003A49E3" w:rsidRDefault="000C7A59" w:rsidP="000C7A59">
      <w:pPr>
        <w:pStyle w:val="NormalWeb"/>
        <w:spacing w:before="0" w:beforeAutospacing="0" w:after="0" w:afterAutospacing="0"/>
      </w:pPr>
      <w:r w:rsidRPr="003A49E3">
        <w:rPr>
          <w:rFonts w:ascii="Calibri" w:hAnsi="Calibri"/>
          <w:b/>
          <w:bCs/>
          <w:color w:val="030A13"/>
          <w:shd w:val="clear" w:color="auto" w:fill="FFFFFF"/>
        </w:rPr>
        <w:t>Koteskey 15</w:t>
      </w:r>
      <w:r w:rsidRPr="003A49E3">
        <w:rPr>
          <w:rFonts w:ascii="Calibri" w:hAnsi="Calibri"/>
          <w:color w:val="030A13"/>
          <w:shd w:val="clear" w:color="auto" w:fill="FFFFFF"/>
        </w:rPr>
        <w:t xml:space="preserve"> </w:t>
      </w:r>
      <w:r w:rsidRPr="003A49E3">
        <w:rPr>
          <w:rFonts w:ascii="Calibri" w:hAnsi="Calibri"/>
          <w:color w:val="030A13"/>
          <w:sz w:val="22"/>
          <w:szCs w:val="22"/>
          <w:shd w:val="clear" w:color="auto" w:fill="FFFFFF"/>
        </w:rPr>
        <w:t xml:space="preserve">(Tyler Koteskey is a policy analyst at the Reason Foundation and Young Voices Advocate., 9 July 2015, Education Policy Analyst researches school finance reform and portable student funding. </w:t>
      </w:r>
      <w:r w:rsidRPr="003A49E3">
        <w:rPr>
          <w:rFonts w:ascii="Calibri" w:hAnsi="Calibri"/>
          <w:color w:val="030A13"/>
          <w:sz w:val="22"/>
          <w:szCs w:val="22"/>
          <w:u w:val="single"/>
          <w:shd w:val="clear" w:color="auto" w:fill="FFFFFF"/>
        </w:rPr>
        <w:t>“</w:t>
      </w:r>
      <w:r w:rsidRPr="003A49E3">
        <w:rPr>
          <w:rFonts w:ascii="Calibri" w:hAnsi="Calibri"/>
          <w:color w:val="030A13"/>
          <w:sz w:val="22"/>
          <w:szCs w:val="22"/>
          <w:shd w:val="clear" w:color="auto" w:fill="FFFFFF"/>
        </w:rPr>
        <w:t>Title I funding portability is key to ESEA reform”</w:t>
      </w:r>
      <w:hyperlink r:id="rId24" w:history="1">
        <w:r w:rsidRPr="003A49E3">
          <w:rPr>
            <w:rStyle w:val="Hyperlink"/>
            <w:color w:val="030A13"/>
            <w:sz w:val="22"/>
            <w:szCs w:val="22"/>
            <w:shd w:val="clear" w:color="auto" w:fill="FFFFFF"/>
          </w:rPr>
          <w:t xml:space="preserve"> </w:t>
        </w:r>
        <w:r w:rsidRPr="003A49E3">
          <w:rPr>
            <w:rStyle w:val="Hyperlink"/>
            <w:color w:val="1155CC"/>
            <w:sz w:val="22"/>
            <w:szCs w:val="22"/>
            <w:shd w:val="clear" w:color="auto" w:fill="FFFFFF"/>
          </w:rPr>
          <w:t>http://thehill.com/blogs/congress-blog/education/247300-title-i-funding-portability-is-key-to-esea-reform</w:t>
        </w:r>
      </w:hyperlink>
      <w:r w:rsidRPr="003A49E3">
        <w:rPr>
          <w:rFonts w:ascii="Calibri" w:hAnsi="Calibri"/>
          <w:color w:val="030A13"/>
          <w:sz w:val="22"/>
          <w:szCs w:val="22"/>
          <w:shd w:val="clear" w:color="auto" w:fill="FFFFFF"/>
        </w:rPr>
        <w:t>,LD)</w:t>
      </w:r>
    </w:p>
    <w:p w:rsidR="000C7A59" w:rsidRPr="003A49E3" w:rsidRDefault="000C7A59" w:rsidP="000C7A59">
      <w:pPr>
        <w:rPr>
          <w:sz w:val="16"/>
        </w:rPr>
      </w:pPr>
      <w:r w:rsidRPr="003A49E3">
        <w:rPr>
          <w:rStyle w:val="StyleUnderline"/>
        </w:rPr>
        <w:t>Examining what schools have to go through to get Title I funding, it is easy to see why. The program’s litany of regulations forces the administrative staff of states and districts to spend resources proving compliance with requirements on how they spend their grants to avoid losing eligibility. This wastes time and money that could be used to allocate the funding in ways that best serves their schools’ individual needs</w:t>
      </w:r>
      <w:r w:rsidRPr="003A49E3">
        <w:rPr>
          <w:sz w:val="16"/>
        </w:rPr>
        <w:t xml:space="preserve">. The “supplement not supplant” and “comparability” provisions, discussed at length in the Reason Foundation’s </w:t>
      </w:r>
      <w:hyperlink r:id="rId25" w:history="1">
        <w:r w:rsidRPr="003A49E3">
          <w:rPr>
            <w:rStyle w:val="Hyperlink"/>
            <w:sz w:val="16"/>
          </w:rPr>
          <w:t>Title I reform analysis</w:t>
        </w:r>
      </w:hyperlink>
      <w:r w:rsidRPr="003A49E3">
        <w:rPr>
          <w:sz w:val="16"/>
        </w:rPr>
        <w:t xml:space="preserve">, restricts states’ abilities to combine these dollars with pre-existing state funding for low-income students to create comprehensive programs. And </w:t>
      </w:r>
      <w:r w:rsidRPr="003A49E3">
        <w:rPr>
          <w:rStyle w:val="StyleUnderline"/>
        </w:rPr>
        <w:t>because Title I allocates grants to schools rather than individual students, it actually promotes per-student funding inequalities between schools,</w:t>
      </w:r>
      <w:r w:rsidRPr="003A49E3">
        <w:rPr>
          <w:sz w:val="16"/>
        </w:rPr>
        <w:t xml:space="preserve"> especially at larger schools with high numbers but low-percentages of low-income kids.  Scott’s Title I portability amendment has the potential to change all of this. Tying Title I funds to eligible students relieves administrative burdens by removing the need to justify expenditures. It also ensures that every school gets the same amount of per-student grants for every low-income child they educate. </w:t>
      </w:r>
      <w:r w:rsidRPr="003A49E3">
        <w:rPr>
          <w:rStyle w:val="StyleUnderline"/>
        </w:rPr>
        <w:t xml:space="preserve">By making these funds portable, wherever these students enroll, low-income pupils will be able to expand their educational options. They will benefit from administrators with new incentives to attract and retain them to get access to the dollars they bring. Portable Title I funding could even be combined with expanding state voucher, tax-credit scholarship programs, and education savings accounts, with </w:t>
      </w:r>
      <w:hyperlink r:id="rId26" w:history="1">
        <w:r w:rsidRPr="003A49E3">
          <w:rPr>
            <w:rStyle w:val="StyleUnderline"/>
          </w:rPr>
          <w:t>proven</w:t>
        </w:r>
      </w:hyperlink>
      <w:r w:rsidRPr="003A49E3">
        <w:rPr>
          <w:rStyle w:val="StyleUnderline"/>
        </w:rPr>
        <w:t xml:space="preserve"> </w:t>
      </w:r>
      <w:hyperlink r:id="rId27" w:history="1">
        <w:r w:rsidRPr="003A49E3">
          <w:rPr>
            <w:rStyle w:val="StyleUnderline"/>
          </w:rPr>
          <w:t>positive</w:t>
        </w:r>
      </w:hyperlink>
      <w:r w:rsidRPr="003A49E3">
        <w:rPr>
          <w:rStyle w:val="StyleUnderline"/>
        </w:rPr>
        <w:t xml:space="preserve"> </w:t>
      </w:r>
      <w:hyperlink r:id="rId28" w:history="1">
        <w:r w:rsidRPr="003A49E3">
          <w:rPr>
            <w:rStyle w:val="StyleUnderline"/>
          </w:rPr>
          <w:t>effects</w:t>
        </w:r>
      </w:hyperlink>
      <w:r w:rsidRPr="003A49E3">
        <w:rPr>
          <w:rStyle w:val="StyleUnderline"/>
        </w:rPr>
        <w:t xml:space="preserve"> on achievement for disadvantaged students to give even more families access to better options.</w:t>
      </w:r>
    </w:p>
    <w:p w:rsidR="000C7A59" w:rsidRPr="003A49E3" w:rsidRDefault="000C7A59" w:rsidP="000C7A59">
      <w:pPr>
        <w:pStyle w:val="Heading4"/>
        <w:spacing w:before="240" w:after="40"/>
      </w:pPr>
      <w:r w:rsidRPr="003A49E3">
        <w:rPr>
          <w:color w:val="030A13"/>
          <w:sz w:val="28"/>
          <w:szCs w:val="28"/>
          <w:shd w:val="clear" w:color="auto" w:fill="FFFFFF"/>
        </w:rPr>
        <w:t>Portability outweighs Title One approach to academic achievement</w:t>
      </w:r>
    </w:p>
    <w:p w:rsidR="000C7A59" w:rsidRPr="003A49E3" w:rsidRDefault="000C7A59" w:rsidP="000C7A59">
      <w:pPr>
        <w:pStyle w:val="NormalWeb"/>
        <w:spacing w:before="0" w:beforeAutospacing="0" w:after="0" w:afterAutospacing="0"/>
      </w:pPr>
      <w:r w:rsidRPr="003A49E3">
        <w:rPr>
          <w:rFonts w:ascii="Calibri" w:hAnsi="Calibri"/>
          <w:b/>
          <w:bCs/>
          <w:color w:val="030A13"/>
          <w:shd w:val="clear" w:color="auto" w:fill="FFFFFF"/>
        </w:rPr>
        <w:t xml:space="preserve">Kahlenberg 15 </w:t>
      </w:r>
      <w:r w:rsidRPr="003A49E3">
        <w:rPr>
          <w:rFonts w:ascii="Calibri" w:hAnsi="Calibri"/>
          <w:color w:val="030A13"/>
          <w:sz w:val="22"/>
          <w:szCs w:val="22"/>
          <w:shd w:val="clear" w:color="auto" w:fill="FFFFFF"/>
        </w:rPr>
        <w:t>(Richard Kahlenberg is a senior fellow at The Century Foundation and author of The Remedy: Class, Race, and Affirmative Action, “Saving School Choice Without Undermining Poor Communities”,</w:t>
      </w:r>
      <w:hyperlink r:id="rId29" w:history="1">
        <w:r w:rsidRPr="003A49E3">
          <w:rPr>
            <w:rStyle w:val="Hyperlink"/>
            <w:color w:val="030A13"/>
            <w:sz w:val="22"/>
            <w:szCs w:val="22"/>
            <w:shd w:val="clear" w:color="auto" w:fill="FFFFFF"/>
          </w:rPr>
          <w:t xml:space="preserve"> </w:t>
        </w:r>
        <w:r w:rsidRPr="003A49E3">
          <w:rPr>
            <w:rStyle w:val="Hyperlink"/>
            <w:color w:val="1155CC"/>
            <w:sz w:val="22"/>
            <w:szCs w:val="22"/>
            <w:shd w:val="clear" w:color="auto" w:fill="FFFFFF"/>
          </w:rPr>
          <w:t>https://www.theatlantic.com/education/archive/2015/02/saving-school-choice-without-undermining-poor-communities/385510/</w:t>
        </w:r>
      </w:hyperlink>
      <w:r w:rsidRPr="003A49E3">
        <w:rPr>
          <w:rFonts w:ascii="Calibri" w:hAnsi="Calibri"/>
          <w:color w:val="030A13"/>
          <w:sz w:val="22"/>
          <w:szCs w:val="22"/>
          <w:shd w:val="clear" w:color="auto" w:fill="FFFFFF"/>
        </w:rPr>
        <w:t>, The Atlantic, LD)</w:t>
      </w:r>
    </w:p>
    <w:p w:rsidR="000C7A59" w:rsidRPr="003A49E3" w:rsidRDefault="000C7A59" w:rsidP="000C7A59">
      <w:pPr>
        <w:pStyle w:val="NormalWeb"/>
        <w:spacing w:before="0" w:beforeAutospacing="0" w:after="0" w:afterAutospacing="0"/>
        <w:rPr>
          <w:sz w:val="16"/>
        </w:rPr>
      </w:pPr>
      <w:r w:rsidRPr="003A49E3">
        <w:rPr>
          <w:rFonts w:ascii="Calibri" w:hAnsi="Calibri"/>
          <w:color w:val="030A13"/>
          <w:sz w:val="22"/>
          <w:szCs w:val="22"/>
          <w:u w:val="single"/>
          <w:shd w:val="clear" w:color="auto" w:fill="FFFFFF"/>
        </w:rPr>
        <w:t>Research from Montgomery County, Maryland</w:t>
      </w:r>
      <w:r w:rsidRPr="003A49E3">
        <w:rPr>
          <w:rFonts w:ascii="Calibri" w:hAnsi="Calibri"/>
          <w:color w:val="030A13"/>
          <w:sz w:val="16"/>
          <w:szCs w:val="22"/>
          <w:shd w:val="clear" w:color="auto" w:fill="FFFFFF"/>
        </w:rPr>
        <w:t xml:space="preserve">, and elsewhere </w:t>
      </w:r>
      <w:r w:rsidRPr="003A49E3">
        <w:rPr>
          <w:rFonts w:ascii="Calibri" w:hAnsi="Calibri"/>
          <w:color w:val="030A13"/>
          <w:sz w:val="22"/>
          <w:szCs w:val="22"/>
          <w:u w:val="single"/>
          <w:shd w:val="clear" w:color="auto" w:fill="FFFFFF"/>
        </w:rPr>
        <w:t xml:space="preserve">suggests that </w:t>
      </w:r>
      <w:r w:rsidRPr="003A49E3">
        <w:rPr>
          <w:rFonts w:ascii="Calibri" w:hAnsi="Calibri"/>
          <w:b/>
          <w:bCs/>
          <w:color w:val="030A13"/>
          <w:sz w:val="22"/>
          <w:szCs w:val="22"/>
          <w:u w:val="single"/>
          <w:shd w:val="clear" w:color="auto" w:fill="00FFFF"/>
        </w:rPr>
        <w:t>reducing socioeconomic isolation is a far more effective—and cheaper—way of improving academic achievement than spending extra money on high-poverty schools</w:t>
      </w:r>
      <w:r w:rsidRPr="003A49E3">
        <w:rPr>
          <w:rFonts w:ascii="Calibri" w:hAnsi="Calibri"/>
          <w:b/>
          <w:bCs/>
          <w:color w:val="030A13"/>
          <w:sz w:val="22"/>
          <w:szCs w:val="22"/>
          <w:u w:val="single"/>
          <w:shd w:val="clear" w:color="auto" w:fill="FFFFFF"/>
        </w:rPr>
        <w:t>.</w:t>
      </w:r>
      <w:r w:rsidRPr="003A49E3">
        <w:rPr>
          <w:rFonts w:ascii="Calibri" w:hAnsi="Calibri"/>
          <w:color w:val="030A13"/>
          <w:sz w:val="16"/>
          <w:szCs w:val="22"/>
          <w:shd w:val="clear" w:color="auto" w:fill="FFFFFF"/>
        </w:rPr>
        <w:t xml:space="preserve"> In a 2010 Century Foundation report,</w:t>
      </w:r>
      <w:r w:rsidRPr="003A49E3">
        <w:rPr>
          <w:rFonts w:ascii="Calibri" w:hAnsi="Calibri"/>
          <w:color w:val="030A13"/>
          <w:sz w:val="22"/>
          <w:szCs w:val="22"/>
          <w:u w:val="single"/>
          <w:shd w:val="clear" w:color="auto" w:fill="FFFFFF"/>
        </w:rPr>
        <w:t xml:space="preserve"> Heather Schwartz</w:t>
      </w:r>
      <w:r w:rsidRPr="003A49E3">
        <w:rPr>
          <w:rFonts w:ascii="Calibri" w:hAnsi="Calibri"/>
          <w:color w:val="030A13"/>
          <w:sz w:val="16"/>
          <w:szCs w:val="22"/>
          <w:shd w:val="clear" w:color="auto" w:fill="FFFFFF"/>
        </w:rPr>
        <w:t>, a researcher at the RAND Corporation, c</w:t>
      </w:r>
      <w:r w:rsidRPr="003A49E3">
        <w:rPr>
          <w:rFonts w:ascii="Calibri" w:hAnsi="Calibri"/>
          <w:color w:val="030A13"/>
          <w:sz w:val="22"/>
          <w:szCs w:val="22"/>
          <w:u w:val="single"/>
          <w:shd w:val="clear" w:color="auto" w:fill="FFFFFF"/>
        </w:rPr>
        <w:t>ompared the effect of two separate programs</w:t>
      </w:r>
      <w:r w:rsidRPr="003A49E3">
        <w:rPr>
          <w:rFonts w:ascii="Calibri" w:hAnsi="Calibri"/>
          <w:color w:val="030A13"/>
          <w:sz w:val="16"/>
          <w:szCs w:val="22"/>
          <w:shd w:val="clear" w:color="auto" w:fill="FFFFFF"/>
        </w:rPr>
        <w:t xml:space="preserve"> in Montgomery County. </w:t>
      </w:r>
      <w:r w:rsidRPr="003A49E3">
        <w:rPr>
          <w:rFonts w:ascii="Calibri" w:hAnsi="Calibri"/>
          <w:color w:val="030A13"/>
          <w:sz w:val="22"/>
          <w:szCs w:val="22"/>
          <w:u w:val="single"/>
          <w:shd w:val="clear" w:color="auto" w:fill="FFFFFF"/>
        </w:rPr>
        <w:t>Montgomery’s school-based program, following the traditional Title I logic, provided extra money—approximately $2,000 per pupil</w:t>
      </w:r>
      <w:r w:rsidRPr="003A49E3">
        <w:rPr>
          <w:rFonts w:ascii="Calibri" w:hAnsi="Calibri"/>
          <w:color w:val="030A13"/>
          <w:sz w:val="16"/>
          <w:szCs w:val="22"/>
          <w:shd w:val="clear" w:color="auto" w:fill="FFFFFF"/>
        </w:rPr>
        <w:t xml:space="preserve">—to students in high-poverty schools that was aimed at reducing class sizes in the early grades, expanding professional-development opportunities for teachers, and establishing extended learning time. </w:t>
      </w:r>
      <w:r w:rsidRPr="003A49E3">
        <w:rPr>
          <w:rFonts w:ascii="Calibri" w:hAnsi="Calibri"/>
          <w:color w:val="030A13"/>
          <w:sz w:val="22"/>
          <w:szCs w:val="22"/>
          <w:u w:val="single"/>
          <w:shd w:val="clear" w:color="auto" w:fill="FFFFFF"/>
        </w:rPr>
        <w:t xml:space="preserve">The second program, an inclusionary-zoning housing policy, allowed low-income families to live in public housing in middle-class neighborhoods and send their children to low-poverty schools. </w:t>
      </w:r>
      <w:r w:rsidRPr="003A49E3">
        <w:rPr>
          <w:rFonts w:ascii="Calibri" w:hAnsi="Calibri"/>
          <w:color w:val="030A13"/>
          <w:sz w:val="16"/>
          <w:szCs w:val="22"/>
          <w:shd w:val="clear" w:color="auto" w:fill="FFFFFF"/>
        </w:rPr>
        <w:t xml:space="preserve">Because families were randomly assigned to public-housing units throughout the county, Schwartz was able to fairly compare which students performed better over time: those in higher-poverty schools that received extra funding, or those in lower-poverty schools receiving lower levels of funding. </w:t>
      </w:r>
      <w:r w:rsidRPr="003A49E3">
        <w:rPr>
          <w:rFonts w:ascii="Calibri" w:hAnsi="Calibri"/>
          <w:color w:val="030A13"/>
          <w:sz w:val="22"/>
          <w:szCs w:val="22"/>
          <w:u w:val="single"/>
          <w:shd w:val="clear" w:color="auto" w:fill="FFFFFF"/>
        </w:rPr>
        <w:t>Schwartz tracked students and found that those randomly assigned to middle-class neighborhoods and schools performed far better, cutting the math achievement gap with middle-class students in half.</w:t>
      </w:r>
      <w:r w:rsidRPr="003A49E3">
        <w:rPr>
          <w:rFonts w:ascii="Calibri" w:hAnsi="Calibri"/>
          <w:color w:val="030A13"/>
          <w:sz w:val="16"/>
          <w:szCs w:val="22"/>
          <w:shd w:val="clear" w:color="auto" w:fill="FFFFFF"/>
        </w:rPr>
        <w:t xml:space="preserve"> </w:t>
      </w:r>
      <w:r w:rsidRPr="003A49E3">
        <w:rPr>
          <w:rFonts w:ascii="Calibri" w:hAnsi="Calibri"/>
          <w:b/>
          <w:bCs/>
          <w:color w:val="030A13"/>
          <w:sz w:val="22"/>
          <w:szCs w:val="22"/>
          <w:u w:val="single"/>
          <w:shd w:val="clear" w:color="auto" w:fill="00FFFF"/>
        </w:rPr>
        <w:t>Being allowed to attend middle-class schools</w:t>
      </w:r>
      <w:r w:rsidRPr="003A49E3">
        <w:rPr>
          <w:rFonts w:ascii="Calibri" w:hAnsi="Calibri"/>
          <w:color w:val="030A13"/>
          <w:sz w:val="16"/>
          <w:szCs w:val="22"/>
          <w:shd w:val="clear" w:color="auto" w:fill="FFFFFF"/>
        </w:rPr>
        <w:t>—where national research suggests that, on average, students are more academically engaged, parents are more involved in school affairs, and teachers have higher expectations—</w:t>
      </w:r>
      <w:r w:rsidRPr="003A49E3">
        <w:rPr>
          <w:rFonts w:ascii="Calibri" w:hAnsi="Calibri"/>
          <w:b/>
          <w:bCs/>
          <w:color w:val="030A13"/>
          <w:sz w:val="22"/>
          <w:szCs w:val="22"/>
          <w:u w:val="single"/>
          <w:shd w:val="clear" w:color="auto" w:fill="FFFFFF"/>
        </w:rPr>
        <w:t>t</w:t>
      </w:r>
      <w:r w:rsidRPr="003A49E3">
        <w:rPr>
          <w:rFonts w:ascii="Calibri" w:hAnsi="Calibri"/>
          <w:b/>
          <w:bCs/>
          <w:color w:val="030A13"/>
          <w:sz w:val="22"/>
          <w:szCs w:val="22"/>
          <w:u w:val="single"/>
          <w:shd w:val="clear" w:color="auto" w:fill="00FFFF"/>
        </w:rPr>
        <w:t>rumped the Title I approach</w:t>
      </w:r>
      <w:r w:rsidRPr="003A49E3">
        <w:rPr>
          <w:rFonts w:ascii="Calibri" w:hAnsi="Calibri"/>
          <w:color w:val="030A13"/>
          <w:sz w:val="16"/>
          <w:szCs w:val="22"/>
          <w:shd w:val="clear" w:color="auto" w:fill="FFFFFF"/>
        </w:rPr>
        <w:t xml:space="preserve">. In other words, </w:t>
      </w:r>
      <w:r w:rsidRPr="003A49E3">
        <w:rPr>
          <w:rFonts w:ascii="Calibri" w:hAnsi="Calibri"/>
          <w:b/>
          <w:bCs/>
          <w:color w:val="030A13"/>
          <w:sz w:val="22"/>
          <w:szCs w:val="22"/>
          <w:u w:val="single"/>
          <w:shd w:val="clear" w:color="auto" w:fill="00FFFF"/>
        </w:rPr>
        <w:t>the extra funding doesn’t necessarily compensate for the disadvantages of attending high-poverty schools</w:t>
      </w:r>
      <w:r w:rsidRPr="003A49E3">
        <w:rPr>
          <w:rFonts w:ascii="Calibri" w:hAnsi="Calibri"/>
          <w:b/>
          <w:bCs/>
          <w:color w:val="030A13"/>
          <w:sz w:val="22"/>
          <w:szCs w:val="22"/>
          <w:u w:val="single"/>
          <w:shd w:val="clear" w:color="auto" w:fill="FFFFFF"/>
        </w:rPr>
        <w:t>.</w:t>
      </w:r>
      <w:r w:rsidRPr="003A49E3">
        <w:rPr>
          <w:rFonts w:ascii="Calibri" w:hAnsi="Calibri"/>
          <w:color w:val="030A13"/>
          <w:sz w:val="16"/>
          <w:szCs w:val="22"/>
          <w:shd w:val="clear" w:color="auto" w:fill="FFFFFF"/>
        </w:rPr>
        <w:t xml:space="preserve"> Those</w:t>
      </w:r>
      <w:r w:rsidRPr="003A49E3">
        <w:rPr>
          <w:rFonts w:ascii="Calibri" w:hAnsi="Calibri"/>
          <w:b/>
          <w:bCs/>
          <w:color w:val="030A13"/>
          <w:sz w:val="22"/>
          <w:szCs w:val="22"/>
          <w:u w:val="single"/>
          <w:shd w:val="clear" w:color="auto" w:fill="FFFFFF"/>
        </w:rPr>
        <w:t xml:space="preserve"> </w:t>
      </w:r>
      <w:r w:rsidRPr="003A49E3">
        <w:rPr>
          <w:rFonts w:ascii="Calibri" w:hAnsi="Calibri"/>
          <w:b/>
          <w:bCs/>
          <w:color w:val="030A13"/>
          <w:sz w:val="22"/>
          <w:szCs w:val="22"/>
          <w:u w:val="single"/>
          <w:shd w:val="clear" w:color="auto" w:fill="00FFFF"/>
        </w:rPr>
        <w:t>findings</w:t>
      </w:r>
      <w:r w:rsidRPr="003A49E3">
        <w:rPr>
          <w:rFonts w:ascii="Calibri" w:hAnsi="Calibri"/>
          <w:b/>
          <w:bCs/>
          <w:color w:val="030A13"/>
          <w:sz w:val="22"/>
          <w:szCs w:val="22"/>
          <w:u w:val="single"/>
          <w:shd w:val="clear" w:color="auto" w:fill="FFFFFF"/>
        </w:rPr>
        <w:t xml:space="preserve"> </w:t>
      </w:r>
      <w:r w:rsidRPr="003A49E3">
        <w:rPr>
          <w:rFonts w:ascii="Calibri" w:hAnsi="Calibri"/>
          <w:color w:val="030A13"/>
          <w:sz w:val="16"/>
          <w:szCs w:val="22"/>
          <w:shd w:val="clear" w:color="auto" w:fill="FFFFFF"/>
        </w:rPr>
        <w:t>would</w:t>
      </w:r>
      <w:r w:rsidRPr="003A49E3">
        <w:rPr>
          <w:rFonts w:ascii="Calibri" w:hAnsi="Calibri"/>
          <w:b/>
          <w:bCs/>
          <w:color w:val="030A13"/>
          <w:sz w:val="22"/>
          <w:szCs w:val="22"/>
          <w:u w:val="single"/>
          <w:shd w:val="clear" w:color="auto" w:fill="FFFFFF"/>
        </w:rPr>
        <w:t xml:space="preserve"> </w:t>
      </w:r>
      <w:r w:rsidRPr="003A49E3">
        <w:rPr>
          <w:rFonts w:ascii="Calibri" w:hAnsi="Calibri"/>
          <w:b/>
          <w:bCs/>
          <w:color w:val="030A13"/>
          <w:sz w:val="22"/>
          <w:szCs w:val="22"/>
          <w:u w:val="single"/>
          <w:shd w:val="clear" w:color="auto" w:fill="00FFFF"/>
        </w:rPr>
        <w:t>suggest that</w:t>
      </w:r>
      <w:r w:rsidRPr="003A49E3">
        <w:rPr>
          <w:rFonts w:ascii="Calibri" w:hAnsi="Calibri"/>
          <w:b/>
          <w:bCs/>
          <w:color w:val="030A13"/>
          <w:sz w:val="22"/>
          <w:szCs w:val="22"/>
          <w:u w:val="single"/>
          <w:shd w:val="clear" w:color="auto" w:fill="FFFFFF"/>
        </w:rPr>
        <w:t xml:space="preserve"> </w:t>
      </w:r>
      <w:r w:rsidRPr="003A49E3">
        <w:rPr>
          <w:rFonts w:ascii="Calibri" w:hAnsi="Calibri"/>
          <w:color w:val="030A13"/>
          <w:sz w:val="16"/>
          <w:szCs w:val="22"/>
          <w:shd w:val="clear" w:color="auto" w:fill="FFFFFF"/>
        </w:rPr>
        <w:t xml:space="preserve">the Republicans’ </w:t>
      </w:r>
      <w:r w:rsidRPr="003A49E3">
        <w:rPr>
          <w:rFonts w:ascii="Calibri" w:hAnsi="Calibri"/>
          <w:b/>
          <w:bCs/>
          <w:color w:val="030A13"/>
          <w:sz w:val="22"/>
          <w:szCs w:val="22"/>
          <w:u w:val="single"/>
          <w:shd w:val="clear" w:color="auto" w:fill="00FFFF"/>
        </w:rPr>
        <w:t>principle of portability</w:t>
      </w:r>
      <w:r w:rsidRPr="003A49E3">
        <w:rPr>
          <w:rFonts w:ascii="Calibri" w:hAnsi="Calibri"/>
          <w:color w:val="030A13"/>
          <w:sz w:val="16"/>
          <w:szCs w:val="22"/>
          <w:shd w:val="clear" w:color="auto" w:fill="FFFFFF"/>
        </w:rPr>
        <w:t xml:space="preserve">, in fact, </w:t>
      </w:r>
      <w:r w:rsidRPr="003A49E3">
        <w:rPr>
          <w:rFonts w:ascii="Calibri" w:hAnsi="Calibri"/>
          <w:b/>
          <w:bCs/>
          <w:color w:val="030A13"/>
          <w:sz w:val="22"/>
          <w:szCs w:val="22"/>
          <w:u w:val="single"/>
          <w:shd w:val="clear" w:color="auto" w:fill="00FFFF"/>
        </w:rPr>
        <w:t xml:space="preserve">has </w:t>
      </w:r>
      <w:r w:rsidRPr="003A49E3">
        <w:rPr>
          <w:rFonts w:ascii="Calibri" w:hAnsi="Calibri"/>
          <w:color w:val="030A13"/>
          <w:sz w:val="16"/>
          <w:szCs w:val="22"/>
          <w:shd w:val="clear" w:color="auto" w:fill="FFFFFF"/>
        </w:rPr>
        <w:t xml:space="preserve">in it </w:t>
      </w:r>
      <w:r w:rsidRPr="003A49E3">
        <w:rPr>
          <w:rFonts w:ascii="Calibri" w:hAnsi="Calibri"/>
          <w:b/>
          <w:bCs/>
          <w:color w:val="030A13"/>
          <w:sz w:val="22"/>
          <w:szCs w:val="22"/>
          <w:u w:val="single"/>
          <w:shd w:val="clear" w:color="auto" w:fill="00FFFF"/>
        </w:rPr>
        <w:t>the seeds of a solution to reduce economic segregation through public-school choice</w:t>
      </w:r>
      <w:r w:rsidRPr="003A49E3">
        <w:rPr>
          <w:rFonts w:ascii="Calibri" w:hAnsi="Calibri"/>
          <w:color w:val="030A13"/>
          <w:sz w:val="16"/>
          <w:szCs w:val="22"/>
          <w:shd w:val="clear" w:color="auto" w:fill="FFFFFF"/>
        </w:rPr>
        <w:t>—if, and only if, portability is properly structured. In order to accomplish this, portable federal Title I funding, as well as state and local funding, would need to be weighted heavily enough to give poor kids sufficient money in their "backpacks" that middle-class public schools would want to recruit them to attend.</w:t>
      </w:r>
    </w:p>
    <w:p w:rsidR="000C7A59" w:rsidRPr="003A49E3" w:rsidRDefault="000C7A59" w:rsidP="000C7A59"/>
    <w:p w:rsidR="000C7A59" w:rsidRPr="003A49E3" w:rsidRDefault="000C7A59" w:rsidP="000C7A59">
      <w:pPr>
        <w:pStyle w:val="Heading4"/>
      </w:pPr>
      <w:r w:rsidRPr="003A49E3">
        <w:t>Title 1 portability can decrease income inequality.</w:t>
      </w:r>
    </w:p>
    <w:p w:rsidR="000C7A59" w:rsidRPr="003A49E3" w:rsidRDefault="000C7A59" w:rsidP="000C7A59">
      <w:pPr>
        <w:rPr>
          <w:b/>
          <w:bCs/>
          <w:sz w:val="26"/>
        </w:rPr>
      </w:pPr>
      <w:r w:rsidRPr="003A49E3">
        <w:rPr>
          <w:rStyle w:val="Style13ptBold"/>
        </w:rPr>
        <w:t xml:space="preserve">Snow 17 </w:t>
      </w:r>
      <w:r w:rsidRPr="003A49E3">
        <w:t>Snow, McKenzie. "It's Time to Free States to Improve the Focus and Fit of Their Title I Funds." EdExcellence. The Thomas B. Fordham Institute, 24 Jan. 2017. Web. 29 June 2017. &lt;https://edexcellence.net/articles/its-time-to-free-states-to-improve-the-focus-and-fit-of-their-title-i-funds&gt;.</w:t>
      </w:r>
    </w:p>
    <w:p w:rsidR="000C7A59" w:rsidRPr="003A49E3" w:rsidRDefault="000C7A59" w:rsidP="000C7A59">
      <w:pPr>
        <w:rPr>
          <w:rFonts w:asciiTheme="majorHAnsi" w:hAnsiTheme="majorHAnsi"/>
          <w:b/>
          <w:color w:val="000000" w:themeColor="text1"/>
          <w:u w:val="single"/>
        </w:rPr>
      </w:pPr>
      <w:r w:rsidRPr="003A49E3">
        <w:rPr>
          <w:rFonts w:asciiTheme="majorHAnsi" w:hAnsiTheme="majorHAnsi"/>
          <w:color w:val="000000" w:themeColor="text1"/>
          <w:sz w:val="16"/>
        </w:rPr>
        <w:t xml:space="preserve">Unfortunately, for years, we’ve all heard the same arguments about why Title I portability can’t be done—or wouldn’t be worth the trouble even if it could. Below, I’ve responded to four of these perennial questions. The goal is to convince readers to give Title I portability a second look—with the hope that states can be free to try and do better for their low-income students. 1. Will portable grants be enough money to make a difference for individual private school students? </w:t>
      </w:r>
      <w:r w:rsidRPr="003A49E3">
        <w:rPr>
          <w:rFonts w:asciiTheme="majorHAnsi" w:hAnsiTheme="majorHAnsi"/>
          <w:b/>
          <w:color w:val="000000" w:themeColor="text1"/>
          <w:u w:val="single"/>
        </w:rPr>
        <w:t>An appropriately constructed portable grant program could make a significant impact on individual students</w:t>
      </w:r>
      <w:r w:rsidRPr="003A49E3">
        <w:rPr>
          <w:rFonts w:asciiTheme="majorHAnsi" w:hAnsiTheme="majorHAnsi"/>
          <w:color w:val="000000" w:themeColor="text1"/>
          <w:u w:val="single"/>
        </w:rPr>
        <w:t>, especially in states with robust private school choice ecosystems.</w:t>
      </w:r>
      <w:r w:rsidRPr="003A49E3">
        <w:rPr>
          <w:rFonts w:asciiTheme="majorHAnsi" w:hAnsiTheme="majorHAnsi"/>
          <w:color w:val="000000" w:themeColor="text1"/>
          <w:sz w:val="16"/>
        </w:rPr>
        <w:t xml:space="preserve"> The national average Title I grant is about $600 per student served. If, instead, states and districts were to serve only students meeting a poverty income level eligibility standard ($24,300 for a family of four), the national average Title I grant per eligible student would more than double to nearly $1,400. If used with an existing tax credit or state-funded scholarship</w:t>
      </w:r>
      <w:r w:rsidRPr="003A49E3">
        <w:rPr>
          <w:rFonts w:asciiTheme="majorHAnsi" w:hAnsiTheme="majorHAnsi"/>
          <w:b/>
          <w:color w:val="000000" w:themeColor="text1"/>
          <w:u w:val="single"/>
        </w:rPr>
        <w:t xml:space="preserve">, the private school options a disadvantaged student could access would greatly expand. </w:t>
      </w:r>
      <w:r w:rsidRPr="003A49E3">
        <w:rPr>
          <w:rFonts w:asciiTheme="majorHAnsi" w:hAnsiTheme="majorHAnsi"/>
          <w:color w:val="000000" w:themeColor="text1"/>
          <w:sz w:val="16"/>
        </w:rPr>
        <w:t>(</w:t>
      </w:r>
      <w:r w:rsidRPr="003A49E3">
        <w:rPr>
          <w:rFonts w:asciiTheme="majorHAnsi" w:hAnsiTheme="majorHAnsi"/>
          <w:color w:val="000000" w:themeColor="text1"/>
          <w:sz w:val="12"/>
          <w:szCs w:val="12"/>
        </w:rPr>
        <w:t>For context, NCES reports that the average tuition for Catholic elementary schools, the lowest average for private school tuition, was $5,330. The average scholarship provided by means-tested voucher programs in Indiana, North Carolina, and Ohio is about $4,000.) A federal grant of $1,400 per year could also have a significant impact on a student remaining within the public school system, providing an estimated seventy-five hours of tutoring, or two hours of tutoring per week for the entire school year. 2. Won’t Title I portability open private schools and providers to federal regulations, and what about academic accountability? Portable Title I grants to private school students should be parent-directed accounts that are considered assistance to the child, not assistance to the private school or provider. Private providers would not directly receive federal funds and, thus, would not incur unnecessary regulations that may interfere with the independence and unique mission of a private school. However, that’s not to say that private schools serving Title I students would be free from accountability. Rather, ExcelinEd believes that all schools receiving public dollars should be subject to a range of policies that appropriately balance accountability with the autonomy essential to private schooling. For example, states designing portable grants should decide the range of schools and programs at which students may use their parent-directed Title I account (perhaps accredited schools or licensed providers), and ensure that parents only spend funds on state-approved educational expenses. In addition, ExcelinEd supports Title I portability legislative proposals (like the Scholarships for Kids Act sponsored by Chairman Alexander of the U.S. Senate Committee on Health, Education, Labor and Pensions) that would require that participating educational providers administer a state-approved test and report on results. Such academic accountability requirements work well with what many existing state-run private school choice programs require, and portable grants to private school students would be most impactful if disbursed in tandem with these programs. Florida’s tax-credit scholarship program, for example, which serves more than ninety-seven thousand of the state’s low-income students, requires that private schools administer their choice of a norm reference test or the state assessment. Results are reported to an independent evaluator (Learning Systems Institute at Florida State University), which issues a public report on the academic achievement of participating students. 3. Must schools prove that they are spending the Title I money on the children who generate the funds? For public schools serving Title I students, no policy change is recommended. Currently, about 94 percent of all Title I participants are served in “schoolwide programs,” meaning that Title I funds may be used to serve all students in the school (not just Title I participants). And, under the Every Student Succeeds Act, a state can choose to treat all their Title I schools as schoolwide programs. Public schools receiving Title I funds under a portable system should not have to prove funds were spent on certain students either. For nonpublic students, a similar approach is recommended. Nonpublic students participating in Title I could receive parent-directed accounts to pay for state-approved educational expenses (such as private school tuition, tutoring, online learning program fees, testing fees, textbooks and curriculum). If a parent chose to direct funds toward private school tuition, the receiving private school would not have to show it was providing the student with supplemental services because the Title I funds were very clearly spent on the participating student—in the form of private school tuition. 4. Wouldn’t Title I portability drain money from our poor, urban schools? Title I is currently focused on funding a system of schools, not disadvantaged students</w:t>
      </w:r>
      <w:r w:rsidRPr="003A49E3">
        <w:rPr>
          <w:rFonts w:asciiTheme="majorHAnsi" w:hAnsiTheme="majorHAnsi"/>
          <w:color w:val="000000" w:themeColor="text1"/>
          <w:sz w:val="12"/>
          <w:szCs w:val="12"/>
          <w:u w:val="single"/>
        </w:rPr>
        <w:t xml:space="preserve">. </w:t>
      </w:r>
      <w:r w:rsidRPr="003A49E3">
        <w:rPr>
          <w:rFonts w:asciiTheme="majorHAnsi" w:hAnsiTheme="majorHAnsi"/>
          <w:color w:val="000000" w:themeColor="text1"/>
          <w:u w:val="single"/>
        </w:rPr>
        <w:t>A portability option would allow states to instead fund eligible children—putting students first in a very real way. Furthermore, arguing against any voluntary change to the status quo assumes that current Title I funding distribution is fair. Unfortunately, this is not the case. We’ve been hearing a lot about Michigan’s education system recently. Under the current Title I funding distribution system, Detroit City School District receives about $4,100 per child. The School District of the City of Inkster—less than thirty minutes away from downtown Detroit and with essentially the same poverty rate—receives about $1,350 per child or one-third of Detroit’s per pupil allocation.</w:t>
      </w:r>
      <w:r w:rsidRPr="003A49E3">
        <w:rPr>
          <w:rFonts w:asciiTheme="majorHAnsi" w:hAnsiTheme="majorHAnsi"/>
          <w:color w:val="000000" w:themeColor="text1"/>
          <w:sz w:val="16"/>
        </w:rPr>
        <w:t xml:space="preserve"> Because of the Title I distribution required by four competing federal formulas—each of which has different allocation patterns, prioritizes different states and localities, and is meant to create different incentives—the per pupil allocation between different states and districts seems erratic. In addition to considering the integrity of Title I’s current funding distribution, it is important to take a sober look at the likely rate of student transfers in a portable system. The transfer rates in states with public and private school choice programs are gradual, and Title I-eligible students – and, therefore, Title I dollars—would not likely depart any school or district overnight. </w:t>
      </w:r>
      <w:r w:rsidRPr="003A49E3">
        <w:rPr>
          <w:rFonts w:asciiTheme="majorHAnsi" w:hAnsiTheme="majorHAnsi"/>
          <w:b/>
          <w:color w:val="000000" w:themeColor="text1"/>
          <w:u w:val="single"/>
        </w:rPr>
        <w:t xml:space="preserve">To limit the impact of transitioning to portability on dependent schools, states could include weights for concentrations of poverty, allotting more Title I dollars to students in attendance areas with poverty rates above a certain threshold. States also could have the option to include hold harmless provisions based on poverty concentration that limit the amount of federal dollars a school or district could lose each year. However, such hold harmless provisions could complicate and curb the extent to which funds truly follow the child in a state’s portable Title I program. </w:t>
      </w:r>
      <w:r w:rsidRPr="003A49E3">
        <w:rPr>
          <w:rFonts w:asciiTheme="majorHAnsi" w:hAnsiTheme="majorHAnsi"/>
          <w:color w:val="000000" w:themeColor="text1"/>
          <w:sz w:val="16"/>
        </w:rPr>
        <w:t xml:space="preserve">Clearly, the current Title I funding distribution system isn’t perfectly fair or impressively impactful. Allowing states to design and implement transparent, student-centered Title I distribution systems that better reflect their unique education landscapes does more than shift money around. </w:t>
      </w:r>
      <w:r w:rsidRPr="003A49E3">
        <w:rPr>
          <w:rFonts w:asciiTheme="majorHAnsi" w:hAnsiTheme="majorHAnsi"/>
          <w:b/>
          <w:color w:val="000000" w:themeColor="text1"/>
          <w:u w:val="single"/>
        </w:rPr>
        <w:t>Portability empowers states to target resources so that Title I funding can have a meaningful impact on their neediest students. Simply put, Title I portability would provide states the freedom to try to serve their low-income students with existing federal dollars better—if they want.</w:t>
      </w:r>
    </w:p>
    <w:p w:rsidR="000C7A59" w:rsidRPr="003A49E3" w:rsidRDefault="000C7A59" w:rsidP="000C7A59">
      <w:pPr>
        <w:pStyle w:val="Heading4"/>
      </w:pPr>
      <w:r w:rsidRPr="003A49E3">
        <w:t>The utilization of Title 1 Portability leads to greater academic achievement from low income youth, which in turn close the achievement gap between students. This would also better future innovation.</w:t>
      </w:r>
    </w:p>
    <w:p w:rsidR="000C7A59" w:rsidRPr="003A49E3" w:rsidRDefault="000C7A59" w:rsidP="000C7A59">
      <w:pPr>
        <w:rPr>
          <w:b/>
          <w:bCs/>
          <w:sz w:val="26"/>
        </w:rPr>
      </w:pPr>
      <w:r w:rsidRPr="003A49E3">
        <w:rPr>
          <w:rStyle w:val="Style13ptBold"/>
        </w:rPr>
        <w:t xml:space="preserve">Snell and Furtick 14 </w:t>
      </w:r>
      <w:r w:rsidRPr="003A49E3">
        <w:t>Snell, Lisa, and Katie Furtick. "Federal School Finance Reform: Moving Toward Title 1 Funding Following the Child." (n.d.): n. pag. Sept. 2014. Web. 29 June 2017. &lt;http://reason.org/files/federal_school_finance_reform.pdf&gt;.</w:t>
      </w:r>
    </w:p>
    <w:p w:rsidR="000C7A59" w:rsidRPr="003A49E3" w:rsidRDefault="000C7A59" w:rsidP="000C7A59">
      <w:pPr>
        <w:rPr>
          <w:rFonts w:asciiTheme="majorHAnsi" w:hAnsiTheme="majorHAnsi"/>
          <w:b/>
          <w:color w:val="000000" w:themeColor="text1"/>
          <w:u w:val="single"/>
        </w:rPr>
      </w:pPr>
      <w:r w:rsidRPr="003A49E3">
        <w:rPr>
          <w:rFonts w:asciiTheme="majorHAnsi" w:hAnsiTheme="majorHAnsi"/>
          <w:color w:val="000000" w:themeColor="text1"/>
          <w:u w:val="single"/>
        </w:rPr>
        <w:t>The best way to solve the problems inherent in the current system of Title I funding is to make Title I funds portable—in other words, allocate funds on a per-pupil basis and require that funds follow pupils to the school of their choice</w:t>
      </w:r>
      <w:r w:rsidRPr="003A49E3">
        <w:rPr>
          <w:rFonts w:asciiTheme="majorHAnsi" w:hAnsiTheme="majorHAnsi"/>
          <w:color w:val="000000" w:themeColor="text1"/>
          <w:sz w:val="16"/>
        </w:rPr>
        <w:t>. There are a number of advantages to such a system</w:t>
      </w:r>
      <w:r w:rsidRPr="003A49E3">
        <w:rPr>
          <w:rFonts w:asciiTheme="majorHAnsi" w:hAnsiTheme="majorHAnsi"/>
          <w:color w:val="000000" w:themeColor="text1"/>
          <w:u w:val="single"/>
        </w:rPr>
        <w:t>: First, allocating Title I funds on a per-pupil basis rather than through the existing, stringent funding mechanism simply and clearly ties the funding to the child in need, which is where it is supposed to go.</w:t>
      </w:r>
      <w:r w:rsidRPr="003A49E3">
        <w:rPr>
          <w:rFonts w:asciiTheme="majorHAnsi" w:hAnsiTheme="majorHAnsi"/>
          <w:color w:val="000000" w:themeColor="text1"/>
          <w:sz w:val="16"/>
        </w:rPr>
        <w:t xml:space="preserve"> Moreover, </w:t>
      </w:r>
      <w:r w:rsidRPr="003A49E3">
        <w:rPr>
          <w:rFonts w:asciiTheme="majorHAnsi" w:hAnsiTheme="majorHAnsi"/>
          <w:b/>
          <w:color w:val="000000" w:themeColor="text1"/>
          <w:u w:val="single"/>
        </w:rPr>
        <w:t>attaching extra funding to individual, disadvantaged students gives schools an incentive to attract and retain such students (and the funding that goes with them). This will encourage schools to compete to come up with the best ways to serve disadvantaged students, leading to more innovation and better educational outcomes.</w:t>
      </w:r>
      <w:r w:rsidRPr="003A49E3">
        <w:rPr>
          <w:rFonts w:asciiTheme="majorHAnsi" w:hAnsiTheme="majorHAnsi"/>
          <w:color w:val="000000" w:themeColor="text1"/>
          <w:sz w:val="16"/>
        </w:rPr>
        <w:t xml:space="preserve"> Furthermore, </w:t>
      </w:r>
      <w:r w:rsidRPr="003A49E3">
        <w:rPr>
          <w:rFonts w:asciiTheme="majorHAnsi" w:hAnsiTheme="majorHAnsi"/>
          <w:color w:val="000000" w:themeColor="text1"/>
          <w:u w:val="single"/>
        </w:rPr>
        <w:t xml:space="preserve">this would facilitate the national trend toward families being able to choose the schools their children attend because the child would bring the funding with him. </w:t>
      </w:r>
      <w:r w:rsidRPr="003A49E3">
        <w:rPr>
          <w:rFonts w:asciiTheme="majorHAnsi" w:hAnsiTheme="majorHAnsi"/>
          <w:color w:val="000000" w:themeColor="text1"/>
          <w:sz w:val="16"/>
        </w:rPr>
        <w:t xml:space="preserve">Second, principals should be given both the professional freedom and the incentive to raise low-income students’ achievement. Currently, restrictions like supplement-not-supplant attempt to tightly control principals’ and districts’ use of Title I funds, with significant administrative burdens of management and enforcement. Instead of managing the process by which funding is used, principals could be given greater freedom in how they use that funding, in return for delivering higher achievement scores among the targeted student population. When school principals have greater autonomy over how Title I funds are spent, they can use innovative and flexible approaches that serve their particular students’ needs, allowing them to more fully perform the role of school leader. The flip-side of greater financial autonomy is that principals should be more directly held accountable for student outcomes. Judging a principal by students’ academic outcomes assigns responsibility where it is due, and greater autonomy over use of funding to achieve those outcomes confers the authority to foster those achievements. </w:t>
      </w:r>
      <w:r w:rsidRPr="003A49E3">
        <w:rPr>
          <w:rFonts w:asciiTheme="majorHAnsi" w:hAnsiTheme="majorHAnsi"/>
          <w:b/>
          <w:color w:val="000000" w:themeColor="text1"/>
          <w:u w:val="single"/>
        </w:rPr>
        <w:t>This</w:t>
      </w:r>
      <w:r w:rsidRPr="003A49E3">
        <w:rPr>
          <w:rFonts w:asciiTheme="majorHAnsi" w:hAnsiTheme="majorHAnsi"/>
          <w:color w:val="000000" w:themeColor="text1"/>
          <w:u w:val="single"/>
        </w:rPr>
        <w:t xml:space="preserve"> decentralized </w:t>
      </w:r>
      <w:r w:rsidRPr="003A49E3">
        <w:rPr>
          <w:rFonts w:asciiTheme="majorHAnsi" w:hAnsiTheme="majorHAnsi"/>
          <w:b/>
          <w:color w:val="000000" w:themeColor="text1"/>
          <w:u w:val="single"/>
        </w:rPr>
        <w:t>approach promotes</w:t>
      </w:r>
      <w:r w:rsidRPr="003A49E3">
        <w:rPr>
          <w:rFonts w:asciiTheme="majorHAnsi" w:hAnsiTheme="majorHAnsi"/>
          <w:color w:val="000000" w:themeColor="text1"/>
          <w:u w:val="single"/>
        </w:rPr>
        <w:t xml:space="preserve"> better results than a one-size-fits-all model. Findings from Reason Foundation’s 2013 edition of the Weighted Student Formula Yearbook suggest that in school districts that use a portable school funding framework to finance schools, more school-level autonomy over school budgets leads to </w:t>
      </w:r>
      <w:r w:rsidRPr="003A49E3">
        <w:rPr>
          <w:rFonts w:asciiTheme="majorHAnsi" w:hAnsiTheme="majorHAnsi"/>
          <w:b/>
          <w:color w:val="000000" w:themeColor="text1"/>
          <w:u w:val="single"/>
        </w:rPr>
        <w:t>faster improvement in student achievement and a greater likelihood of closing achievement gaps.</w:t>
      </w:r>
    </w:p>
    <w:p w:rsidR="000C7A59" w:rsidRDefault="000C7A59" w:rsidP="000C7A59">
      <w:pPr>
        <w:pStyle w:val="Heading4"/>
      </w:pPr>
      <w:r>
        <w:t>Student-focus key to help low-income students.</w:t>
      </w:r>
    </w:p>
    <w:p w:rsidR="000C7A59" w:rsidRPr="00CC5938" w:rsidRDefault="000C7A59" w:rsidP="000C7A59">
      <w:r>
        <w:rPr>
          <w:rStyle w:val="Style13ptBold"/>
        </w:rPr>
        <w:t xml:space="preserve">Russell 15 </w:t>
      </w:r>
      <w:r>
        <w:t xml:space="preserve">(Jason, </w:t>
      </w:r>
      <w:r w:rsidRPr="00CC5938">
        <w:t xml:space="preserve">"Portable education funding would help impoverished students," Washington Examiner, </w:t>
      </w:r>
      <w:r>
        <w:t>2/6/15</w:t>
      </w:r>
      <w:r w:rsidRPr="00CC5938">
        <w:t>, http://www.washingtonexaminer.com/portable-education-funding-would-help-impoverished-students/article/2559936</w:t>
      </w:r>
      <w:r>
        <w:t>)</w:t>
      </w:r>
    </w:p>
    <w:p w:rsidR="000C7A59" w:rsidRPr="00596559" w:rsidRDefault="000C7A59" w:rsidP="000C7A59">
      <w:pPr>
        <w:rPr>
          <w:rStyle w:val="Emphasis"/>
        </w:rPr>
      </w:pPr>
      <w:r w:rsidRPr="005F2784">
        <w:rPr>
          <w:sz w:val="16"/>
        </w:rPr>
        <w:t xml:space="preserve">A new Center for American Progress report on portable federal funding for low-income students misses the mark on the issue of school choice. </w:t>
      </w:r>
      <w:r w:rsidRPr="00CC5938">
        <w:rPr>
          <w:rStyle w:val="StyleUnderline"/>
        </w:rPr>
        <w:t>According to the report, if students living in poverty can choose to take their federal funding to a better school district, low-income districts might lose some money.</w:t>
      </w:r>
      <w:r w:rsidRPr="005F2784">
        <w:rPr>
          <w:sz w:val="16"/>
        </w:rPr>
        <w:t xml:space="preserve"> </w:t>
      </w:r>
      <w:r w:rsidRPr="00CC5938">
        <w:rPr>
          <w:rStyle w:val="StyleUnderline"/>
        </w:rPr>
        <w:t xml:space="preserve">The point of portable funding </w:t>
      </w:r>
      <w:r w:rsidRPr="00D90426">
        <w:rPr>
          <w:rStyle w:val="Emphasis"/>
        </w:rPr>
        <w:t>isn’t for districts</w:t>
      </w:r>
      <w:r w:rsidRPr="00CC5938">
        <w:rPr>
          <w:rStyle w:val="StyleUnderline"/>
        </w:rPr>
        <w:t xml:space="preserve"> to get money</w:t>
      </w:r>
      <w:r w:rsidRPr="00D90426">
        <w:rPr>
          <w:rStyle w:val="Emphasis"/>
        </w:rPr>
        <w:t>, it’s to help students</w:t>
      </w:r>
      <w:r w:rsidRPr="00CC5938">
        <w:rPr>
          <w:rStyle w:val="StyleUnderline"/>
        </w:rPr>
        <w:t xml:space="preserve"> get a better education.</w:t>
      </w:r>
      <w:r>
        <w:rPr>
          <w:rStyle w:val="StyleUnderline"/>
        </w:rPr>
        <w:t xml:space="preserve"> </w:t>
      </w:r>
      <w:r w:rsidRPr="005F2784">
        <w:rPr>
          <w:sz w:val="16"/>
        </w:rPr>
        <w:t xml:space="preserve">As the report says, “the challenges that low-income students face are significantly greater when the majority of their classmates are also low income.” But </w:t>
      </w:r>
      <w:r w:rsidRPr="00CC5938">
        <w:rPr>
          <w:rStyle w:val="StyleUnderline"/>
        </w:rPr>
        <w:t>portable funding helps impoverished students move into better-performing schools without badly hurting those who remain.</w:t>
      </w:r>
      <w:r>
        <w:rPr>
          <w:rStyle w:val="StyleUnderline"/>
        </w:rPr>
        <w:t xml:space="preserve"> </w:t>
      </w:r>
      <w:r w:rsidRPr="00D90426">
        <w:rPr>
          <w:rStyle w:val="StyleUnderline"/>
        </w:rPr>
        <w:t>“If anything, the CAP report is an argument to double-down on portability,”</w:t>
      </w:r>
      <w:r w:rsidRPr="005F2784">
        <w:rPr>
          <w:sz w:val="16"/>
        </w:rPr>
        <w:t xml:space="preserve"> Lisa Snell, the director of education and child welfare at the Reason Foundation, told the Washington Examiner. </w:t>
      </w:r>
      <w:r w:rsidRPr="00D90426">
        <w:rPr>
          <w:rStyle w:val="StyleUnderline"/>
        </w:rPr>
        <w:t xml:space="preserve">“If they really want equity for kids, they shouldn’t be looking at the money following kids into districts, they should </w:t>
      </w:r>
      <w:r w:rsidRPr="00D90426">
        <w:rPr>
          <w:rStyle w:val="Emphasis"/>
        </w:rPr>
        <w:t>look at where the kids land</w:t>
      </w:r>
      <w:r w:rsidRPr="00D90426">
        <w:rPr>
          <w:rStyle w:val="StyleUnderline"/>
        </w:rPr>
        <w:t>.”</w:t>
      </w:r>
      <w:r>
        <w:rPr>
          <w:rStyle w:val="StyleUnderline"/>
        </w:rPr>
        <w:t xml:space="preserve"> </w:t>
      </w:r>
      <w:r w:rsidRPr="005F2784">
        <w:rPr>
          <w:sz w:val="16"/>
        </w:rPr>
        <w:t xml:space="preserve">Portable education funding is up for debate as education committee leaders in Congress look to fix No Child Left Behind and reauthorize the Elementary and Secondary Education Act. Under Title I of the act, four formulas distribute federal funds to high-poverty school districts. Snell explained that </w:t>
      </w:r>
      <w:r w:rsidRPr="00596559">
        <w:rPr>
          <w:rStyle w:val="StyleUnderline"/>
        </w:rPr>
        <w:t>Title I funding is often distributed inequitably among the schools in a given district. Child poverty rates can vary significantly in larger school districts, and a given amount of funding may go toward the wealthy areas instead of poverty-stricken ones. Staffing is frequently determined by seniority, and older teachers who command higher salaries often prefer wealthy schools to impoverished ones.</w:t>
      </w:r>
      <w:r w:rsidRPr="005F2784">
        <w:rPr>
          <w:sz w:val="16"/>
        </w:rPr>
        <w:t xml:space="preserve"> </w:t>
      </w:r>
      <w:r w:rsidRPr="00596559">
        <w:rPr>
          <w:rStyle w:val="StyleUnderline"/>
        </w:rPr>
        <w:t xml:space="preserve">“If you could make [Title I funding] portable, weight it based on where the kids actually land and their concentrations of poverty and do it at the school level, you would actually take care of all the objections that CAP has, you would make it much more equitable, and you would actually </w:t>
      </w:r>
      <w:r w:rsidRPr="00596559">
        <w:rPr>
          <w:rStyle w:val="Emphasis"/>
        </w:rPr>
        <w:t xml:space="preserve">solve for the inequity </w:t>
      </w:r>
      <w:r w:rsidRPr="00596559">
        <w:rPr>
          <w:rStyle w:val="StyleUnderline"/>
        </w:rPr>
        <w:t>that’s actually caused by different levels of teacher experience or staffing, because that’s really where these huge inequities come in,” Snell said.</w:t>
      </w:r>
      <w:r>
        <w:rPr>
          <w:rStyle w:val="StyleUnderline"/>
        </w:rPr>
        <w:t xml:space="preserve"> </w:t>
      </w:r>
      <w:r w:rsidRPr="00596559">
        <w:rPr>
          <w:rStyle w:val="StyleUnderline"/>
        </w:rPr>
        <w:t>If low-income school districts end up losing federal money on portability, it won’t be much.</w:t>
      </w:r>
      <w:r w:rsidRPr="005F2784">
        <w:rPr>
          <w:sz w:val="16"/>
        </w:rPr>
        <w:t xml:space="preserve"> The report notes that school districts with a child poverty rate above 30 percent average $12,509 in total revenue per pupil. By the authors’ estimates, these schools would lose $86 per student on average, </w:t>
      </w:r>
      <w:r w:rsidRPr="00596559">
        <w:rPr>
          <w:rStyle w:val="StyleUnderline"/>
        </w:rPr>
        <w:t>or less than one percent of funding. Giving students trapped in failing schools an opportunity for better education is well worth</w:t>
      </w:r>
      <w:r w:rsidRPr="00596559">
        <w:rPr>
          <w:rStyle w:val="Emphasis"/>
        </w:rPr>
        <w:t xml:space="preserve"> 0.7 percent of funding.</w:t>
      </w:r>
    </w:p>
    <w:p w:rsidR="000C7A59" w:rsidRPr="007D573F" w:rsidRDefault="000C7A59" w:rsidP="000C7A59"/>
    <w:p w:rsidR="000C7A59" w:rsidRPr="003A49E3" w:rsidRDefault="000C7A59" w:rsidP="000C7A59"/>
    <w:p w:rsidR="000C7A59" w:rsidRDefault="000C7A59" w:rsidP="000C7A59">
      <w:pPr>
        <w:pStyle w:val="Heading2"/>
      </w:pPr>
      <w:r w:rsidRPr="003A49E3">
        <w:t>States CP Solvency</w:t>
      </w:r>
    </w:p>
    <w:p w:rsidR="000C7A59" w:rsidRDefault="000C7A59" w:rsidP="000C7A59">
      <w:pPr>
        <w:pStyle w:val="Heading3"/>
      </w:pPr>
      <w:r>
        <w:t>States Solve Finance</w:t>
      </w:r>
    </w:p>
    <w:p w:rsidR="000C7A59" w:rsidRPr="002E0155" w:rsidRDefault="000C7A59" w:rsidP="000C7A59">
      <w:pPr>
        <w:pStyle w:val="Heading4"/>
        <w:rPr>
          <w:rStyle w:val="Style13ptBold"/>
          <w:rFonts w:cs="Arial"/>
          <w:b/>
        </w:rPr>
      </w:pPr>
      <w:r w:rsidRPr="002E0155">
        <w:rPr>
          <w:rStyle w:val="Style13ptBold"/>
          <w:rFonts w:cs="Arial"/>
          <w:b/>
        </w:rPr>
        <w:t>State action solves better – localized to community concerns.</w:t>
      </w:r>
    </w:p>
    <w:p w:rsidR="000C7A59" w:rsidRPr="00C044F6" w:rsidRDefault="000C7A59" w:rsidP="000C7A59">
      <w:r>
        <w:rPr>
          <w:rStyle w:val="Style13ptBold"/>
        </w:rPr>
        <w:t xml:space="preserve">Greenspahn </w:t>
      </w:r>
      <w:r w:rsidRPr="00E75B82">
        <w:rPr>
          <w:rStyle w:val="Style13ptBold"/>
        </w:rPr>
        <w:t>8</w:t>
      </w:r>
      <w:r>
        <w:t xml:space="preserve"> [</w:t>
      </w:r>
      <w:r w:rsidRPr="00E75B82">
        <w:t>Daniel Greenspahn</w:t>
      </w:r>
      <w:r>
        <w:t xml:space="preserve"> (J.D. of The George Washington University of Law, research officer for the Institute of International Education)</w:t>
      </w:r>
      <w:r w:rsidRPr="00E75B82">
        <w:t>, “THE ROBERTS COURT AND EQUAL PROTECTION: GENDER, RACE, AND CLASS: RACE: A Constitutional Right to Learn: The Uncertain Allure of Making a Federal Case out of Education,” 59 S.C. L. Rev. 755</w:t>
      </w:r>
      <w:r>
        <w:t>]</w:t>
      </w:r>
    </w:p>
    <w:p w:rsidR="000C7A59" w:rsidRPr="00E75B82" w:rsidRDefault="000C7A59" w:rsidP="000C7A59">
      <w:pPr>
        <w:rPr>
          <w:rStyle w:val="StyleUnderline"/>
        </w:rPr>
      </w:pPr>
      <w:r w:rsidRPr="002E0155">
        <w:rPr>
          <w:sz w:val="16"/>
        </w:rPr>
        <w:t>D.</w:t>
      </w:r>
      <w:r w:rsidRPr="002E0155">
        <w:rPr>
          <w:rStyle w:val="Style13ptBold"/>
          <w:sz w:val="16"/>
        </w:rPr>
        <w:t xml:space="preserve"> </w:t>
      </w:r>
      <w:r w:rsidRPr="00E75B82">
        <w:rPr>
          <w:rStyle w:val="StyleUnderline"/>
        </w:rPr>
        <w:t>Success of State School Funding Litigation</w:t>
      </w:r>
      <w:r w:rsidRPr="002E0155">
        <w:rPr>
          <w:b/>
          <w:bCs/>
          <w:sz w:val="16"/>
        </w:rPr>
        <w:t xml:space="preserve"> </w:t>
      </w:r>
      <w:r w:rsidRPr="002E0155">
        <w:rPr>
          <w:sz w:val="16"/>
        </w:rPr>
        <w:t>As a counterpoint to the risks of returning to federal court,</w:t>
      </w:r>
      <w:r w:rsidRPr="002E0155">
        <w:rPr>
          <w:rStyle w:val="Style13ptBold"/>
          <w:sz w:val="16"/>
        </w:rPr>
        <w:t xml:space="preserve"> </w:t>
      </w:r>
      <w:r w:rsidRPr="00E75B82">
        <w:rPr>
          <w:rStyle w:val="StyleUnderline"/>
        </w:rPr>
        <w:t>there are benefits of continuing to litigate school funding cases at the state level.</w:t>
      </w:r>
      <w:r w:rsidRPr="002E0155">
        <w:rPr>
          <w:rStyle w:val="Style13ptBold"/>
          <w:sz w:val="16"/>
        </w:rPr>
        <w:t xml:space="preserve"> </w:t>
      </w:r>
      <w:r w:rsidRPr="002E0155">
        <w:rPr>
          <w:sz w:val="16"/>
        </w:rPr>
        <w:t>State constitutions, unlike the federal Constitution, explicitly recognize the right to an education. n242 As [*780] a result,</w:t>
      </w:r>
      <w:r w:rsidRPr="002E0155">
        <w:rPr>
          <w:rStyle w:val="Style13ptBold"/>
          <w:sz w:val="16"/>
        </w:rPr>
        <w:t xml:space="preserve"> </w:t>
      </w:r>
      <w:r w:rsidRPr="00E75B82">
        <w:rPr>
          <w:rStyle w:val="StyleUnderline"/>
        </w:rPr>
        <w:t>courts have been more willing to hold states accountable</w:t>
      </w:r>
      <w:r w:rsidRPr="002E0155">
        <w:rPr>
          <w:rStyle w:val="Style13ptBold"/>
          <w:sz w:val="16"/>
        </w:rPr>
        <w:t xml:space="preserve"> </w:t>
      </w:r>
      <w:r w:rsidRPr="002E0155">
        <w:rPr>
          <w:sz w:val="16"/>
        </w:rPr>
        <w:t>in providing the resources necessary to meet state-imposed educational standards. n243</w:t>
      </w:r>
      <w:r w:rsidRPr="002E0155">
        <w:rPr>
          <w:rStyle w:val="Style13ptBold"/>
          <w:sz w:val="16"/>
        </w:rPr>
        <w:t xml:space="preserve"> </w:t>
      </w:r>
      <w:r w:rsidRPr="002E0155">
        <w:rPr>
          <w:sz w:val="16"/>
        </w:rPr>
        <w:t>State litigation, by most accounts, has been relatively successful, with plaintiff victories in twenty-eight states. n244 Elected officials, following state court orders, have increased spending by 11% on schools in the poorest districts and by 7% in median districts. n245 Increased funding for the neediest districts has increased student proficiency in states such as Kentucky and Massachusetts and improved school facilities in others, such as Arizona. n246 Furthermore,</w:t>
      </w:r>
      <w:r w:rsidRPr="00E75B82">
        <w:rPr>
          <w:rStyle w:val="StyleUnderline"/>
        </w:rPr>
        <w:t xml:space="preserve"> studies prompt-ed by litigation in more than thirty states have resulted in revisions to school funding formulas so that educational re-sources are delivered based on</w:t>
      </w:r>
      <w:r w:rsidRPr="002E0155">
        <w:rPr>
          <w:rStyle w:val="Style13ptBold"/>
          <w:sz w:val="16"/>
        </w:rPr>
        <w:t xml:space="preserve"> </w:t>
      </w:r>
      <w:r w:rsidRPr="002E0155">
        <w:rPr>
          <w:sz w:val="16"/>
        </w:rPr>
        <w:t>actual</w:t>
      </w:r>
      <w:r w:rsidRPr="002E0155">
        <w:rPr>
          <w:rStyle w:val="Style13ptBold"/>
          <w:sz w:val="16"/>
        </w:rPr>
        <w:t xml:space="preserve"> </w:t>
      </w:r>
      <w:r w:rsidRPr="00E75B82">
        <w:rPr>
          <w:rStyle w:val="StyleUnderline"/>
        </w:rPr>
        <w:t>student need</w:t>
      </w:r>
      <w:r w:rsidRPr="002E0155">
        <w:rPr>
          <w:rStyle w:val="Style13ptBold"/>
          <w:sz w:val="16"/>
        </w:rPr>
        <w:t xml:space="preserve">. </w:t>
      </w:r>
      <w:r w:rsidRPr="002E0155">
        <w:rPr>
          <w:sz w:val="16"/>
        </w:rPr>
        <w:t>n247</w:t>
      </w:r>
      <w:r w:rsidRPr="002E0155">
        <w:rPr>
          <w:rStyle w:val="Style13ptBold"/>
          <w:sz w:val="16"/>
        </w:rPr>
        <w:t xml:space="preserve"> </w:t>
      </w:r>
      <w:r w:rsidRPr="002E0155">
        <w:rPr>
          <w:sz w:val="16"/>
        </w:rPr>
        <w:t>At the remedial stage,</w:t>
      </w:r>
      <w:r w:rsidRPr="002E0155">
        <w:rPr>
          <w:rStyle w:val="Style13ptBold"/>
          <w:sz w:val="16"/>
        </w:rPr>
        <w:t xml:space="preserve"> </w:t>
      </w:r>
      <w:r w:rsidRPr="00E75B82">
        <w:rPr>
          <w:rStyle w:val="StyleUnderline"/>
        </w:rPr>
        <w:t>state-generated solutions also make it easier to tailor reforms to various educational short-comings and local political realities</w:t>
      </w:r>
      <w:r w:rsidRPr="002E0155">
        <w:rPr>
          <w:rStyle w:val="Style13ptBold"/>
          <w:sz w:val="16"/>
        </w:rPr>
        <w:t xml:space="preserve"> </w:t>
      </w:r>
      <w:r w:rsidRPr="002E0155">
        <w:rPr>
          <w:sz w:val="16"/>
        </w:rPr>
        <w:t>than would be possible at the national level. n248</w:t>
      </w:r>
      <w:r w:rsidRPr="002E0155">
        <w:rPr>
          <w:rStyle w:val="Style13ptBold"/>
          <w:sz w:val="16"/>
        </w:rPr>
        <w:t xml:space="preserve"> </w:t>
      </w:r>
      <w:r w:rsidRPr="00E75B82">
        <w:rPr>
          <w:rStyle w:val="StyleUnderline"/>
        </w:rPr>
        <w:t>Correcting sharp divides between New York City schools</w:t>
      </w:r>
      <w:r w:rsidRPr="002E0155">
        <w:rPr>
          <w:rStyle w:val="Style13ptBold"/>
          <w:sz w:val="16"/>
        </w:rPr>
        <w:t xml:space="preserve"> </w:t>
      </w:r>
      <w:r w:rsidRPr="002E0155">
        <w:rPr>
          <w:sz w:val="16"/>
        </w:rPr>
        <w:t>and its suburban counterparts, for example,</w:t>
      </w:r>
      <w:r w:rsidRPr="002E0155">
        <w:rPr>
          <w:rStyle w:val="Style13ptBold"/>
          <w:sz w:val="16"/>
        </w:rPr>
        <w:t xml:space="preserve"> </w:t>
      </w:r>
      <w:r w:rsidRPr="00E75B82">
        <w:rPr>
          <w:rStyle w:val="StyleUnderline"/>
        </w:rPr>
        <w:t>raises very different challenges than does fixing the educational inadequacies facing</w:t>
      </w:r>
      <w:r w:rsidRPr="002E0155">
        <w:rPr>
          <w:rStyle w:val="Style13ptBold"/>
          <w:sz w:val="16"/>
        </w:rPr>
        <w:t xml:space="preserve"> </w:t>
      </w:r>
      <w:r w:rsidRPr="002E0155">
        <w:rPr>
          <w:sz w:val="16"/>
        </w:rPr>
        <w:t>rural communities in sparsely populated</w:t>
      </w:r>
      <w:r w:rsidRPr="002E0155">
        <w:rPr>
          <w:rStyle w:val="Style13ptBold"/>
          <w:sz w:val="16"/>
        </w:rPr>
        <w:t xml:space="preserve"> </w:t>
      </w:r>
      <w:r w:rsidRPr="00E75B82">
        <w:rPr>
          <w:rStyle w:val="StyleUnderline"/>
        </w:rPr>
        <w:t>Alaska</w:t>
      </w:r>
      <w:r w:rsidRPr="002E0155">
        <w:rPr>
          <w:rStyle w:val="Style13ptBold"/>
          <w:sz w:val="16"/>
        </w:rPr>
        <w:t xml:space="preserve">. </w:t>
      </w:r>
      <w:r w:rsidRPr="002E0155">
        <w:rPr>
          <w:sz w:val="16"/>
        </w:rPr>
        <w:t>n249</w:t>
      </w:r>
      <w:r w:rsidRPr="002E0155">
        <w:rPr>
          <w:rStyle w:val="Style13ptBold"/>
          <w:sz w:val="16"/>
        </w:rPr>
        <w:t xml:space="preserve"> </w:t>
      </w:r>
      <w:r w:rsidRPr="002E0155">
        <w:rPr>
          <w:sz w:val="16"/>
        </w:rPr>
        <w:t>Furthermore,</w:t>
      </w:r>
      <w:r w:rsidRPr="002E0155">
        <w:rPr>
          <w:rStyle w:val="Style13ptBold"/>
          <w:sz w:val="16"/>
        </w:rPr>
        <w:t xml:space="preserve"> </w:t>
      </w:r>
      <w:r w:rsidRPr="00E75B82">
        <w:rPr>
          <w:rStyle w:val="StyleUnderline"/>
        </w:rPr>
        <w:t>judicial activism at the state level is viewed as more tolerable because state judges</w:t>
      </w:r>
      <w:r w:rsidRPr="002E0155">
        <w:rPr>
          <w:rStyle w:val="Style13ptBold"/>
          <w:sz w:val="16"/>
        </w:rPr>
        <w:t xml:space="preserve">, </w:t>
      </w:r>
      <w:r w:rsidRPr="002E0155">
        <w:rPr>
          <w:sz w:val="16"/>
        </w:rPr>
        <w:t>often elected</w:t>
      </w:r>
      <w:r w:rsidRPr="002E0155">
        <w:rPr>
          <w:rStyle w:val="Style13ptBold"/>
          <w:sz w:val="16"/>
        </w:rPr>
        <w:t xml:space="preserve">, </w:t>
      </w:r>
      <w:r w:rsidRPr="00E75B82">
        <w:rPr>
          <w:rStyle w:val="StyleUnderline"/>
        </w:rPr>
        <w:t>are accountable to state residents, and the citizens of the states can more easily amend their state constitutions</w:t>
      </w:r>
      <w:r w:rsidRPr="002E0155">
        <w:rPr>
          <w:sz w:val="16"/>
        </w:rPr>
        <w:t xml:space="preserve"> in response to judicial decisions they believe are faulty. n250 As a result, </w:t>
      </w:r>
      <w:r w:rsidRPr="00E75B82">
        <w:rPr>
          <w:rStyle w:val="StyleUnderline"/>
        </w:rPr>
        <w:t xml:space="preserve">decisions of state courts tend to </w:t>
      </w:r>
      <w:r w:rsidRPr="002E0155">
        <w:rPr>
          <w:rStyle w:val="StyleUnderline"/>
        </w:rPr>
        <w:t>enjoy more legitimacy and are more likely to reflect community concerns</w:t>
      </w:r>
      <w:r w:rsidRPr="00E75B82">
        <w:rPr>
          <w:rStyle w:val="StyleUnderline"/>
        </w:rPr>
        <w:t xml:space="preserve"> </w:t>
      </w:r>
      <w:r w:rsidRPr="002E0155">
        <w:rPr>
          <w:sz w:val="16"/>
        </w:rPr>
        <w:t>than those of life-tenured federal judges often perceived as distant.</w:t>
      </w:r>
      <w:r w:rsidRPr="002E0155">
        <w:rPr>
          <w:rStyle w:val="Style13ptBold"/>
          <w:sz w:val="16"/>
        </w:rPr>
        <w:t xml:space="preserve"> </w:t>
      </w:r>
      <w:r w:rsidRPr="002E0155">
        <w:rPr>
          <w:sz w:val="16"/>
        </w:rPr>
        <w:t>In the last three decades,</w:t>
      </w:r>
      <w:r w:rsidRPr="002E0155">
        <w:rPr>
          <w:rStyle w:val="Style13ptBold"/>
          <w:sz w:val="16"/>
        </w:rPr>
        <w:t xml:space="preserve"> </w:t>
      </w:r>
      <w:r w:rsidRPr="00E75B82">
        <w:rPr>
          <w:rStyle w:val="StyleUnderline"/>
        </w:rPr>
        <w:t>state-level litigation has made important contributions in the field of school funding</w:t>
      </w:r>
      <w:r w:rsidRPr="002E0155">
        <w:rPr>
          <w:rStyle w:val="Style13ptBold"/>
          <w:sz w:val="16"/>
        </w:rPr>
        <w:t xml:space="preserve">. </w:t>
      </w:r>
      <w:r w:rsidRPr="002E0155">
        <w:rPr>
          <w:sz w:val="16"/>
        </w:rPr>
        <w:t>Such litigation has documented the failures of unnecessarily complex state funding formulas that distribute resources based on [*781] political motivations rather than student need. n251</w:t>
      </w:r>
      <w:r w:rsidRPr="002E0155">
        <w:rPr>
          <w:rStyle w:val="Style13ptBold"/>
          <w:sz w:val="16"/>
        </w:rPr>
        <w:t xml:space="preserve"> </w:t>
      </w:r>
      <w:r w:rsidRPr="00E75B82">
        <w:rPr>
          <w:rStyle w:val="StyleUnderline"/>
        </w:rPr>
        <w:t>State litigation has spurred the development of innovative legal strategies</w:t>
      </w:r>
      <w:r w:rsidRPr="002E0155">
        <w:rPr>
          <w:rStyle w:val="Style13ptBold"/>
          <w:sz w:val="16"/>
        </w:rPr>
        <w:t xml:space="preserve">, </w:t>
      </w:r>
      <w:r w:rsidRPr="002E0155">
        <w:rPr>
          <w:sz w:val="16"/>
        </w:rPr>
        <w:t>such as the shift from equity to adequacy, as well as the development of basic school funding principles, including transparency, predictability, and accountability. n252 By coupling accountability and adequacy, state lawsuits have united liberals and conservatives, and "linked higher standards ... to increased resources." n253 In addition, state liti-gation has produced judicially manageable standards, n254 and has brought courts and legislatures together in fixing school funding inadequacies. n255</w:t>
      </w:r>
      <w:r w:rsidRPr="002E0155">
        <w:rPr>
          <w:rStyle w:val="Style13ptBold"/>
          <w:sz w:val="16"/>
        </w:rPr>
        <w:t xml:space="preserve"> </w:t>
      </w:r>
      <w:r w:rsidRPr="00E75B82">
        <w:rPr>
          <w:rStyle w:val="StyleUnderline"/>
        </w:rPr>
        <w:t>State litigation</w:t>
      </w:r>
      <w:r w:rsidRPr="002E0155">
        <w:rPr>
          <w:rStyle w:val="Style13ptBold"/>
          <w:sz w:val="16"/>
        </w:rPr>
        <w:t xml:space="preserve"> </w:t>
      </w:r>
      <w:r w:rsidRPr="002E0155">
        <w:rPr>
          <w:sz w:val="16"/>
        </w:rPr>
        <w:t>is not a perfect solution to educational inadequacies, n256 but it</w:t>
      </w:r>
      <w:r w:rsidRPr="002E0155">
        <w:rPr>
          <w:rStyle w:val="Style13ptBold"/>
          <w:sz w:val="16"/>
        </w:rPr>
        <w:t xml:space="preserve"> </w:t>
      </w:r>
      <w:r w:rsidRPr="00E75B82">
        <w:rPr>
          <w:rStyle w:val="StyleUnderline"/>
        </w:rPr>
        <w:t xml:space="preserve">has been </w:t>
      </w:r>
      <w:r w:rsidRPr="002E0155">
        <w:rPr>
          <w:rStyle w:val="StyleUnderline"/>
        </w:rPr>
        <w:t xml:space="preserve">an effective tool that is preferable to the uncertainties of seeking redress in federal court. </w:t>
      </w:r>
      <w:r w:rsidRPr="002E0155">
        <w:rPr>
          <w:sz w:val="16"/>
        </w:rPr>
        <w:t>E.</w:t>
      </w:r>
      <w:r w:rsidRPr="002E0155">
        <w:rPr>
          <w:rStyle w:val="Style13ptBold"/>
          <w:sz w:val="16"/>
        </w:rPr>
        <w:t xml:space="preserve"> </w:t>
      </w:r>
      <w:r w:rsidRPr="00E75B82">
        <w:rPr>
          <w:rStyle w:val="StyleUnderline"/>
        </w:rPr>
        <w:t>Local Control over Education</w:t>
      </w:r>
      <w:r w:rsidRPr="002E0155">
        <w:rPr>
          <w:rStyle w:val="Style13ptBold"/>
          <w:sz w:val="16"/>
        </w:rPr>
        <w:t xml:space="preserve"> </w:t>
      </w:r>
      <w:r w:rsidRPr="00E75B82">
        <w:rPr>
          <w:rStyle w:val="StyleUnderline"/>
        </w:rPr>
        <w:t>Local control over education remains a reality and a touchstone of accountable government that weighs against a feder-al right to education</w:t>
      </w:r>
      <w:r w:rsidRPr="002E0155">
        <w:rPr>
          <w:rStyle w:val="Style13ptBold"/>
          <w:sz w:val="16"/>
        </w:rPr>
        <w:t xml:space="preserve">. </w:t>
      </w:r>
      <w:r w:rsidRPr="002E0155">
        <w:rPr>
          <w:sz w:val="16"/>
        </w:rPr>
        <w:t xml:space="preserve">Federal participation in education has increased in recent years, n257 but </w:t>
      </w:r>
      <w:r w:rsidRPr="00E75B82">
        <w:rPr>
          <w:rStyle w:val="StyleUnderline"/>
        </w:rPr>
        <w:t>decisions regarding curricu-lum, personnel, and school administration are overwhelmingly made at the community level</w:t>
      </w:r>
      <w:r w:rsidRPr="002E0155">
        <w:rPr>
          <w:rStyle w:val="Style13ptBold"/>
          <w:sz w:val="16"/>
        </w:rPr>
        <w:t xml:space="preserve">. </w:t>
      </w:r>
      <w:r w:rsidRPr="002E0155">
        <w:rPr>
          <w:sz w:val="16"/>
        </w:rPr>
        <w:t>n258</w:t>
      </w:r>
      <w:r w:rsidRPr="002E0155">
        <w:rPr>
          <w:rStyle w:val="Style13ptBold"/>
          <w:sz w:val="16"/>
        </w:rPr>
        <w:t xml:space="preserve"> </w:t>
      </w:r>
      <w:r w:rsidRPr="002E0155">
        <w:rPr>
          <w:rStyle w:val="StyleUnderline"/>
        </w:rPr>
        <w:t xml:space="preserve">The American tradition of decentralized education is viewed as "more responsive ... [and] democratic" than an educational system controlled by a distant federal government. </w:t>
      </w:r>
      <w:r w:rsidRPr="002E0155">
        <w:rPr>
          <w:sz w:val="16"/>
        </w:rPr>
        <w:t>n259 A policy of allowing wide-ranging local reforms encourages states, as individual labor-atories, to work toward educational success. n260 State and local governments also provide funding for over 90% of public school expenditures. n261</w:t>
      </w:r>
      <w:r w:rsidRPr="002E0155">
        <w:rPr>
          <w:rStyle w:val="Style13ptBold"/>
          <w:sz w:val="16"/>
        </w:rPr>
        <w:t xml:space="preserve"> </w:t>
      </w:r>
      <w:r w:rsidRPr="00E75B82">
        <w:rPr>
          <w:rStyle w:val="StyleUnderline"/>
        </w:rPr>
        <w:t>Brown I's famous proclamation that "education is perhaps the most important function of state and local governments"</w:t>
      </w:r>
      <w:r w:rsidRPr="002E0155">
        <w:rPr>
          <w:rStyle w:val="Style13ptBold"/>
          <w:sz w:val="16"/>
        </w:rPr>
        <w:t xml:space="preserve"> </w:t>
      </w:r>
      <w:r w:rsidRPr="002E0155">
        <w:rPr>
          <w:sz w:val="16"/>
        </w:rPr>
        <w:t>n262 still</w:t>
      </w:r>
      <w:r w:rsidRPr="002E0155">
        <w:rPr>
          <w:rStyle w:val="Style13ptBold"/>
          <w:sz w:val="16"/>
        </w:rPr>
        <w:t xml:space="preserve"> </w:t>
      </w:r>
      <w:r w:rsidRPr="00E75B82">
        <w:rPr>
          <w:rStyle w:val="StyleUnderline"/>
        </w:rPr>
        <w:t>reflects modern</w:t>
      </w:r>
      <w:r w:rsidRPr="002E0155">
        <w:rPr>
          <w:rStyle w:val="Style13ptBold"/>
          <w:sz w:val="16"/>
        </w:rPr>
        <w:t xml:space="preserve"> </w:t>
      </w:r>
      <w:r w:rsidRPr="002E0155">
        <w:rPr>
          <w:sz w:val="16"/>
        </w:rPr>
        <w:t xml:space="preserve">[*782] </w:t>
      </w:r>
      <w:r w:rsidRPr="00E75B82">
        <w:rPr>
          <w:rStyle w:val="StyleUnderline"/>
        </w:rPr>
        <w:t>practice</w:t>
      </w:r>
      <w:r w:rsidRPr="002E0155">
        <w:rPr>
          <w:sz w:val="16"/>
        </w:rPr>
        <w:t>. Even if NCLB has imposed federal requirements in the area of education, no single expendi-ture receives more state and local support than public schools. n263 There is a certain logic in having state litigation alleg-ing resource deficiencies track state expenditures, the primary source of funding for education.</w:t>
      </w:r>
      <w:r w:rsidRPr="002E0155">
        <w:rPr>
          <w:rStyle w:val="Style13ptBold"/>
          <w:sz w:val="16"/>
        </w:rPr>
        <w:t xml:space="preserve"> </w:t>
      </w:r>
      <w:r w:rsidRPr="00E75B82">
        <w:rPr>
          <w:rStyle w:val="StyleUnderline"/>
        </w:rPr>
        <w:t>Despite growing "federal involvement in education</w:t>
      </w:r>
      <w:r w:rsidRPr="002E0155">
        <w:rPr>
          <w:rStyle w:val="Style13ptBold"/>
          <w:sz w:val="16"/>
        </w:rPr>
        <w:t xml:space="preserve">, </w:t>
      </w:r>
      <w:r w:rsidRPr="002E0155">
        <w:rPr>
          <w:sz w:val="16"/>
        </w:rPr>
        <w:t>the tradition</w:t>
      </w:r>
      <w:r w:rsidRPr="002E0155">
        <w:rPr>
          <w:rStyle w:val="Style13ptBold"/>
          <w:sz w:val="16"/>
        </w:rPr>
        <w:t xml:space="preserve"> </w:t>
      </w:r>
      <w:r w:rsidRPr="002E0155">
        <w:rPr>
          <w:rStyle w:val="StyleUnderline"/>
        </w:rPr>
        <w:t>of local-state governance has prevailed over efforts to equalize education re-sources across state lines t</w:t>
      </w:r>
      <w:r w:rsidRPr="002E0155">
        <w:rPr>
          <w:sz w:val="16"/>
        </w:rPr>
        <w:t>hrough litigation or legislation." n264</w:t>
      </w:r>
      <w:r w:rsidRPr="002E0155">
        <w:rPr>
          <w:rStyle w:val="Style13ptBold"/>
          <w:sz w:val="16"/>
        </w:rPr>
        <w:t xml:space="preserve"> </w:t>
      </w:r>
      <w:r w:rsidRPr="00E75B82">
        <w:rPr>
          <w:rStyle w:val="StyleUnderline"/>
        </w:rPr>
        <w:t>The Supreme Court has been a chief defender of local control.</w:t>
      </w:r>
      <w:r w:rsidRPr="002E0155">
        <w:rPr>
          <w:rStyle w:val="Style13ptBold"/>
          <w:sz w:val="16"/>
        </w:rPr>
        <w:t xml:space="preserve"> </w:t>
      </w:r>
      <w:r w:rsidRPr="002E0155">
        <w:rPr>
          <w:sz w:val="16"/>
        </w:rPr>
        <w:t>The year following Rodriguez, the Court declared that "no single tradition in public education is more deeply rooted than local control over the operation of schools." n265 Ever since, the Court has reiterated the value of local control in decisions involving school desegregation, n266 education funding, n267 student assignment, n268 and student speech. n269</w:t>
      </w:r>
      <w:r w:rsidRPr="002E0155">
        <w:rPr>
          <w:rStyle w:val="Style13ptBold"/>
          <w:sz w:val="16"/>
        </w:rPr>
        <w:t xml:space="preserve"> </w:t>
      </w:r>
      <w:r w:rsidRPr="00E75B82">
        <w:rPr>
          <w:rStyle w:val="StyleUnderline"/>
        </w:rPr>
        <w:t>The Court has praised local control because it "affords citi-zens an opportunity to participate in decisionmaking, permits the structuring of school programs to fit local needs, and encourages "experimentation, innovation, and a healthy competition for educational excellence.'"</w:t>
      </w:r>
      <w:r w:rsidRPr="002E0155">
        <w:rPr>
          <w:rStyle w:val="Style13ptBold"/>
          <w:sz w:val="16"/>
        </w:rPr>
        <w:t xml:space="preserve"> </w:t>
      </w:r>
      <w:r w:rsidRPr="002E0155">
        <w:rPr>
          <w:sz w:val="16"/>
        </w:rPr>
        <w:t>n270 The prominence of community decisionmaking in schooling and</w:t>
      </w:r>
      <w:r w:rsidRPr="002E0155">
        <w:rPr>
          <w:rStyle w:val="Style13ptBold"/>
          <w:sz w:val="16"/>
        </w:rPr>
        <w:t xml:space="preserve"> </w:t>
      </w:r>
      <w:r w:rsidRPr="00E75B82">
        <w:rPr>
          <w:rStyle w:val="StyleUnderline"/>
        </w:rPr>
        <w:t>the Supreme Court's commitment to this policy weigh heavily against pur-suit of a federal right to education.</w:t>
      </w:r>
    </w:p>
    <w:p w:rsidR="000C7A59" w:rsidRPr="002E0155" w:rsidRDefault="000C7A59" w:rsidP="000C7A59"/>
    <w:p w:rsidR="000C7A59" w:rsidRPr="003A49E3" w:rsidRDefault="000C7A59" w:rsidP="000C7A59">
      <w:pPr>
        <w:pStyle w:val="Heading2"/>
      </w:pPr>
      <w:r w:rsidRPr="003A49E3">
        <w:t>DA Links</w:t>
      </w:r>
    </w:p>
    <w:p w:rsidR="000C7A59" w:rsidRPr="003A49E3" w:rsidRDefault="000C7A59" w:rsidP="000C7A59">
      <w:pPr>
        <w:pStyle w:val="Heading3"/>
      </w:pPr>
      <w:r w:rsidRPr="003A49E3">
        <w:t>Winners Win Link</w:t>
      </w:r>
    </w:p>
    <w:p w:rsidR="000C7A59" w:rsidRPr="003A49E3" w:rsidRDefault="000C7A59" w:rsidP="000C7A59">
      <w:pPr>
        <w:pStyle w:val="Heading4"/>
      </w:pPr>
      <w:r w:rsidRPr="003A49E3">
        <w:t>Education reform has bipartisan popularity</w:t>
      </w:r>
    </w:p>
    <w:p w:rsidR="000C7A59" w:rsidRPr="003A49E3" w:rsidRDefault="000C7A59" w:rsidP="000C7A59">
      <w:r w:rsidRPr="003A49E3">
        <w:t xml:space="preserve">Elizabeth </w:t>
      </w:r>
      <w:r w:rsidRPr="003A49E3">
        <w:rPr>
          <w:rStyle w:val="Style13ptBold"/>
        </w:rPr>
        <w:t>Debray 13</w:t>
      </w:r>
      <w:r w:rsidRPr="003A49E3">
        <w:t>, Professor, Department of Lifelong Education, Administration, and Policy (Educational Administration and Policy)Future Policy Directions for Congress in Ensuring Equality of Opportunity: Toward Improved Incentives, Targeting, and Enforcement, Taylor &amp; Francis, http://www.tandfonline.com/doi/abs/10.1080/0161956X.2013.752627</w:t>
      </w:r>
    </w:p>
    <w:p w:rsidR="000C7A59" w:rsidRPr="003A49E3" w:rsidRDefault="000C7A59" w:rsidP="000C7A59">
      <w:pPr>
        <w:rPr>
          <w:sz w:val="16"/>
        </w:rPr>
      </w:pPr>
      <w:r w:rsidRPr="003A49E3">
        <w:rPr>
          <w:rStyle w:val="StyleUnderline"/>
        </w:rPr>
        <w:t>Despite a history of disagreement between the Democrats and Republicans</w:t>
      </w:r>
      <w:r w:rsidRPr="003A49E3">
        <w:rPr>
          <w:sz w:val="16"/>
        </w:rPr>
        <w:t xml:space="preserve"> over the appropriate level of federal control in education—including strong opposition to many categorical programs from the Nixon, Ford, and Reagan administrations—</w:t>
      </w:r>
      <w:r w:rsidRPr="003A49E3">
        <w:rPr>
          <w:rStyle w:val="StyleUnderline"/>
        </w:rPr>
        <w:t>the parties were able to engage in bipartisan negotiations over education reform from the 1970s through the 1990s</w:t>
      </w:r>
      <w:r w:rsidRPr="003A49E3">
        <w:rPr>
          <w:sz w:val="16"/>
        </w:rPr>
        <w:t xml:space="preserve">. The positions of both parties moved toward the center on educational reform, meeting in the middle at standards and accountability. </w:t>
      </w:r>
      <w:r w:rsidRPr="003A49E3">
        <w:rPr>
          <w:rStyle w:val="StyleUnderline"/>
        </w:rPr>
        <w:t>This spirit of negotiation and federal activism led to a rather seamless passage of NCLB, the 2001 reauthorization of the ESEA. Many conservative Republicans violated their core ideologies to support the bill—that is, voted for NCLB despite its expansion of control over the affairs of local schools</w:t>
      </w:r>
      <w:r w:rsidRPr="003A49E3">
        <w:rPr>
          <w:sz w:val="16"/>
        </w:rPr>
        <w:t xml:space="preserve"> </w:t>
      </w:r>
    </w:p>
    <w:p w:rsidR="000C7A59" w:rsidRPr="003A49E3" w:rsidRDefault="000C7A59" w:rsidP="000C7A59">
      <w:r w:rsidRPr="003A49E3">
        <w:rPr>
          <w:rStyle w:val="StyleUnderline"/>
        </w:rPr>
        <w:t>The parties have become more ideologically cohesive in the area of education policy as both Democrats and Republicans have moved away from their traditional values</w:t>
      </w:r>
      <w:r w:rsidRPr="003A49E3">
        <w:t xml:space="preserve">. The Democratic Party, as its membership became more centrist, moved away from more traditional “equity” policies toward a more general governance of student achievement, specifically via testing and accountability. Similarly, </w:t>
      </w:r>
      <w:r w:rsidRPr="003A49E3">
        <w:rPr>
          <w:rStyle w:val="StyleUnderline"/>
        </w:rPr>
        <w:t>Republicans’ values have been challenged by what might be called a “federalist dilemma</w:t>
      </w:r>
      <w:r w:rsidRPr="003A49E3">
        <w:t>” (Kincaid, 2001, p. 32): to pursue federal educational reform</w:t>
      </w:r>
      <w:r w:rsidRPr="003A49E3">
        <w:rPr>
          <w:rStyle w:val="StyleUnderline"/>
        </w:rPr>
        <w:t>, Republicans have had to abandon in part their traditional ideological principles of local control and small federal government. With regards to education policy</w:t>
      </w:r>
      <w:r w:rsidRPr="003A49E3">
        <w:t>, Congress is stronger than ever because the two parties have been working towarThe parties have become more ideologically cohesive in the area of education policy as both</w:t>
      </w:r>
    </w:p>
    <w:p w:rsidR="000C7A59" w:rsidRPr="003A49E3" w:rsidRDefault="000C7A59" w:rsidP="000C7A59">
      <w:pPr>
        <w:rPr>
          <w:sz w:val="16"/>
        </w:rPr>
      </w:pPr>
      <w:r w:rsidRPr="003A49E3">
        <w:rPr>
          <w:rStyle w:val="StyleUnderline"/>
        </w:rPr>
        <w:t>Democrats and Republicans have moved away from their traditional values. The Democratic Party, as its membership became more centrist, moved away from more traditional “equity” policies toward a more general governance of student achievement, specifically via testing and accountability</w:t>
      </w:r>
      <w:r w:rsidRPr="003A49E3">
        <w:rPr>
          <w:sz w:val="16"/>
        </w:rPr>
        <w:t xml:space="preserve">. Similarly, </w:t>
      </w:r>
      <w:r w:rsidRPr="003A49E3">
        <w:rPr>
          <w:rStyle w:val="StyleUnderline"/>
        </w:rPr>
        <w:t>Republicans’ values have been challenged by what might be called a “federalist dilemma” (Kincaid, 2001, p. 32): to pursue federal educational reform, Republicans have had to abandon in part their traditional ideological principles of local control and small federal government</w:t>
      </w:r>
      <w:r w:rsidRPr="003A49E3">
        <w:rPr>
          <w:sz w:val="16"/>
        </w:rPr>
        <w:t>. With regards to education policy</w:t>
      </w:r>
      <w:r w:rsidRPr="003A49E3">
        <w:rPr>
          <w:rStyle w:val="StyleUnderline"/>
        </w:rPr>
        <w:t>, Congress is stronger than ever because the two parties have been working toward similar goals</w:t>
      </w:r>
      <w:r w:rsidRPr="003A49E3">
        <w:rPr>
          <w:sz w:val="16"/>
        </w:rPr>
        <w:t>, what some have called “the Washington consensus” on education policy, which holds that poverty “is no excuse” and that only external accountability can push states and districts to narrow racial and socioeconomic achievement gaps (Hess &amp; Petrilli, 2004). The consensus has enabled large-scale federal funding attached to heightened conditions for the receipt of aid, such as NCLB’s testing mandates (McDermott &amp; Jensen, 2005)d similar goals, what some have called “the Washington consensus” on education policy, which holds that poverty “is no excuse” and that only external accountability can push states and districts to narrow racial and socioeconomic achievement gaps (Hess &amp; Petrilli, 2004). The consensus has enabled large-scale federal funding attached to heightened conditions for the receipt of aid, such as NCLB’s testing mandates (McDermott &amp; Jensen, 2005)</w:t>
      </w:r>
    </w:p>
    <w:p w:rsidR="000C7A59" w:rsidRPr="003A49E3" w:rsidRDefault="000C7A59" w:rsidP="000C7A59"/>
    <w:p w:rsidR="000C7A59" w:rsidRPr="003A49E3" w:rsidRDefault="000C7A59" w:rsidP="000C7A59">
      <w:pPr>
        <w:pStyle w:val="Heading3"/>
      </w:pPr>
      <w:r w:rsidRPr="003A49E3">
        <w:t>Spending Links</w:t>
      </w:r>
    </w:p>
    <w:p w:rsidR="000C7A59" w:rsidRPr="003A49E3" w:rsidRDefault="000C7A59" w:rsidP="000C7A59">
      <w:pPr>
        <w:pStyle w:val="Heading4"/>
      </w:pPr>
      <w:r w:rsidRPr="003A49E3">
        <w:t>A federal foundation would cost $30 billion more than the amount spent on Title I in the status quo - which state school districts could use to partially replace their normal cost of operations.</w:t>
      </w:r>
    </w:p>
    <w:p w:rsidR="000C7A59" w:rsidRPr="003A49E3" w:rsidRDefault="000C7A59" w:rsidP="000C7A59"/>
    <w:p w:rsidR="000C7A59" w:rsidRPr="003A49E3" w:rsidRDefault="000C7A59" w:rsidP="000C7A59">
      <w:r w:rsidRPr="003A49E3">
        <w:rPr>
          <w:rStyle w:val="Style13ptBold"/>
        </w:rPr>
        <w:t>Pasachoff 2008</w:t>
      </w:r>
      <w:r w:rsidRPr="003A49E3">
        <w:rPr>
          <w:color w:val="222222"/>
          <w:sz w:val="20"/>
          <w:szCs w:val="20"/>
          <w:shd w:val="clear" w:color="auto" w:fill="FFFFFF"/>
        </w:rPr>
        <w:t xml:space="preserve"> (Eloise. </w:t>
      </w:r>
      <w:r w:rsidRPr="003A49E3">
        <w:rPr>
          <w:i/>
          <w:iCs/>
          <w:color w:val="222222"/>
          <w:sz w:val="20"/>
          <w:szCs w:val="20"/>
          <w:shd w:val="clear" w:color="auto" w:fill="FFFFFF"/>
        </w:rPr>
        <w:t>How the Federal Government Can Improve School Financing Systems</w:t>
      </w:r>
      <w:r w:rsidRPr="003A49E3">
        <w:rPr>
          <w:color w:val="222222"/>
          <w:sz w:val="20"/>
          <w:szCs w:val="20"/>
          <w:shd w:val="clear" w:color="auto" w:fill="FFFFFF"/>
        </w:rPr>
        <w:t>. Brookings Institution, Center on Children and Families, 2008. Pp. 32-33)</w:t>
      </w:r>
    </w:p>
    <w:p w:rsidR="000C7A59" w:rsidRPr="003A49E3" w:rsidRDefault="000C7A59" w:rsidP="000C7A59">
      <w:r w:rsidRPr="003A49E3">
        <w:t xml:space="preserve">Applying these parameters to data from the 2002-2003 school year, Liu estimates </w:t>
      </w:r>
      <w:r w:rsidRPr="00E55230">
        <w:rPr>
          <w:rStyle w:val="StyleUnderline"/>
        </w:rPr>
        <w:t>that the program would</w:t>
      </w:r>
      <w:r w:rsidRPr="003A49E3">
        <w:t xml:space="preserve"> have reduced interstate inequality by 32 percent and would have </w:t>
      </w:r>
      <w:r w:rsidRPr="00E55230">
        <w:rPr>
          <w:rStyle w:val="StyleUnderline"/>
        </w:rPr>
        <w:t>cost $43.5 billion, about $30 billion more than is currently spent under Title I</w:t>
      </w:r>
      <w:r w:rsidRPr="003A49E3">
        <w:t xml:space="preserve">. </w:t>
      </w:r>
      <w:r w:rsidRPr="00E55230">
        <w:rPr>
          <w:rStyle w:val="StyleUnderline"/>
        </w:rPr>
        <w:t>Removing the 4 percent minimum matching rate would have reduced interstate inequality even more</w:t>
      </w:r>
      <w:r w:rsidRPr="003A49E3">
        <w:t xml:space="preserve"> (by 37 percent) </w:t>
      </w:r>
      <w:r w:rsidRPr="00E55230">
        <w:rPr>
          <w:rStyle w:val="StyleUnderline"/>
        </w:rPr>
        <w:t>and would have cost less</w:t>
      </w:r>
      <w:r w:rsidRPr="003A49E3">
        <w:t xml:space="preserve"> (only $37.2 billion</w:t>
      </w:r>
      <w:r w:rsidRPr="00E55230">
        <w:rPr>
          <w:rStyle w:val="StyleUnderline"/>
        </w:rPr>
        <w:t>), although only thirty states would have benefited from the program</w:t>
      </w:r>
      <w:r w:rsidRPr="003A49E3">
        <w:t xml:space="preserve">.348 Strikingly, Liu notes that actual federal education revenue during this time period was $36.8 billion and yet narrowed interstate inequity by only 12 percent.349 </w:t>
      </w:r>
      <w:r w:rsidRPr="00E55230">
        <w:rPr>
          <w:rStyle w:val="StyleUnderline"/>
        </w:rPr>
        <w:t>Such a program would be an ambitious move, representing a large influx of federal money in a new and complicated financing scheme</w:t>
      </w:r>
      <w:r w:rsidRPr="003A49E3">
        <w:t>. Yet especially given the vast reach of substantive and structural requirements on the states under NCLB, a program to provide more federal funds is eminently reasonable. One that addresses the inequalities in education funding among states and accounts for variations in state-level resources is even more sensible</w:t>
      </w:r>
      <w:r w:rsidRPr="00E55230">
        <w:rPr>
          <w:rStyle w:val="StyleUnderline"/>
        </w:rPr>
        <w:t>. Implementing a federal foundation program</w:t>
      </w:r>
      <w:r w:rsidRPr="003A49E3">
        <w:t xml:space="preserve">, however, </w:t>
      </w:r>
      <w:r w:rsidRPr="00E55230">
        <w:rPr>
          <w:rStyle w:val="StyleUnderline"/>
        </w:rPr>
        <w:t>would be controversial</w:t>
      </w:r>
      <w:r w:rsidRPr="003A49E3">
        <w:t xml:space="preserve">. One major concern is </w:t>
      </w:r>
      <w:r w:rsidRPr="00E55230">
        <w:rPr>
          <w:rStyle w:val="StyleUnderline"/>
        </w:rPr>
        <w:t>that states would substitute federal resources for their own resources, thereby leaving actual education spending unchanged.</w:t>
      </w:r>
      <w:r w:rsidRPr="003A49E3">
        <w:t xml:space="preserve"> There is some evidence that, under the current system, </w:t>
      </w:r>
      <w:r w:rsidRPr="00E55230">
        <w:rPr>
          <w:rStyle w:val="StyleUnderline"/>
        </w:rPr>
        <w:t>such offsets do take place over time</w:t>
      </w:r>
      <w:r w:rsidRPr="003A49E3">
        <w:t xml:space="preserve">.350 This concern militates towards a strengthened maintenance-of-effort provision, limiting the ability of states and districts to game the system. For example, </w:t>
      </w:r>
      <w:r w:rsidRPr="00E55230">
        <w:rPr>
          <w:rStyle w:val="StyleUnderline"/>
        </w:rPr>
        <w:t>the current maintenance-of-effort provision requires states and districts to maintain at least 90 percent of their funding from year to year, meaning that up to 10 percent of state and local resources can be cut without running afoul of the law</w:t>
      </w:r>
      <w:r w:rsidRPr="003A49E3">
        <w:t>. Increasing the required percentage well above 90 percent would help alleviate this concern.</w:t>
      </w:r>
    </w:p>
    <w:p w:rsidR="000C7A59" w:rsidRPr="003A49E3" w:rsidRDefault="000C7A59" w:rsidP="000C7A59">
      <w:pPr>
        <w:pStyle w:val="Heading4"/>
        <w:spacing w:before="240" w:after="40"/>
        <w:ind w:right="460"/>
        <w:rPr>
          <w:sz w:val="24"/>
          <w:szCs w:val="24"/>
        </w:rPr>
      </w:pPr>
      <w:r w:rsidRPr="003A49E3">
        <w:rPr>
          <w:color w:val="231F20"/>
          <w:sz w:val="22"/>
        </w:rPr>
        <w:t>In order to be effective – the government would have to increase Title I funding 8 fold. This means the cost of spending roughly $112 billion dollars.</w:t>
      </w:r>
    </w:p>
    <w:p w:rsidR="000C7A59" w:rsidRPr="003A49E3" w:rsidRDefault="000C7A59" w:rsidP="000C7A59">
      <w:r w:rsidRPr="003A49E3">
        <w:rPr>
          <w:rStyle w:val="Style13ptBold"/>
        </w:rPr>
        <w:t>Russell 15</w:t>
      </w:r>
      <w:r w:rsidRPr="003A49E3">
        <w:t xml:space="preserve"> (Jason Russell is the contributors editor for the Washington Examiner. Previously, he was a researcher for Economics21 at the Manhattan Institute, “Study: Feds wasting billions in education spending”,</w:t>
      </w:r>
      <w:hyperlink r:id="rId30" w:history="1">
        <w:r w:rsidRPr="003A49E3">
          <w:rPr>
            <w:rStyle w:val="Hyperlink"/>
          </w:rPr>
          <w:t xml:space="preserve"> http://www.washingtonexaminer.com/study-feds-wasting-billions-in-education-spending/article/2576854</w:t>
        </w:r>
      </w:hyperlink>
      <w:r w:rsidRPr="003A49E3">
        <w:t>, LD)</w:t>
      </w:r>
    </w:p>
    <w:p w:rsidR="000C7A59" w:rsidRPr="003A49E3" w:rsidRDefault="000C7A59" w:rsidP="000C7A59">
      <w:pPr>
        <w:rPr>
          <w:rStyle w:val="StyleUnderline"/>
        </w:rPr>
      </w:pPr>
      <w:r w:rsidRPr="00E55230">
        <w:rPr>
          <w:rStyle w:val="StyleUnderline"/>
        </w:rPr>
        <w:t>The federal government spends $14 billion a year boosting funding for schools with low-income families,</w:t>
      </w:r>
      <w:r w:rsidRPr="003A49E3">
        <w:rPr>
          <w:sz w:val="16"/>
        </w:rPr>
        <w:t xml:space="preserve"> but most of that taxpayer funding is wasted, a new paper says. For 60 years, that funding has come from Title I of the Elementary and Secondary Education Act, known in its current form as No Child Left Behind. </w:t>
      </w:r>
      <w:r w:rsidRPr="003A49E3">
        <w:rPr>
          <w:u w:val="single"/>
        </w:rPr>
        <w:t xml:space="preserve">The funding averages roughly $500 to $600 per student per year. </w:t>
      </w:r>
      <w:r w:rsidRPr="003A49E3">
        <w:rPr>
          <w:sz w:val="16"/>
        </w:rPr>
        <w:t xml:space="preserve">Nationwide, the average amount spent per public school student is $12,000, so the funding bump from </w:t>
      </w:r>
      <w:r w:rsidRPr="00E55230">
        <w:rPr>
          <w:rStyle w:val="StyleUnderline"/>
        </w:rPr>
        <w:t>Title I is fairly small</w:t>
      </w:r>
      <w:r w:rsidRPr="003A49E3">
        <w:rPr>
          <w:sz w:val="16"/>
          <w:shd w:val="clear" w:color="auto" w:fill="00FFFF"/>
        </w:rPr>
        <w:t>.</w:t>
      </w:r>
      <w:r w:rsidRPr="003A49E3">
        <w:rPr>
          <w:sz w:val="16"/>
        </w:rPr>
        <w:t xml:space="preserve"> That bump pays for only 10 hours of teaching a year for a student</w:t>
      </w:r>
      <w:r w:rsidRPr="00E55230">
        <w:rPr>
          <w:rStyle w:val="StyleUnderline"/>
        </w:rPr>
        <w:t>. To be effective, the federal government either needs to spend more on the program or ensure the</w:t>
      </w:r>
      <w:r w:rsidRPr="003A49E3">
        <w:rPr>
          <w:rStyle w:val="StyleUnderline"/>
        </w:rPr>
        <w:t xml:space="preserve"> </w:t>
      </w:r>
      <w:r w:rsidRPr="00E55230">
        <w:rPr>
          <w:rStyle w:val="StyleUnderline"/>
        </w:rPr>
        <w:t>money is going toward effective uses</w:t>
      </w:r>
      <w:r w:rsidRPr="003A49E3">
        <w:rPr>
          <w:sz w:val="16"/>
        </w:rPr>
        <w:t>, according to the paper, authored by the Brookings Institution's Mark Dynarski and Kirsten Kainz "</w:t>
      </w:r>
      <w:r w:rsidRPr="00E55230">
        <w:rPr>
          <w:rStyle w:val="StyleUnderline"/>
        </w:rPr>
        <w:t>There is little evidence that the overall program is effective or that its funds are used for effective services and activities</w:t>
      </w:r>
      <w:r w:rsidRPr="003A49E3">
        <w:rPr>
          <w:sz w:val="16"/>
        </w:rPr>
        <w:t xml:space="preserve">," </w:t>
      </w:r>
      <w:r w:rsidRPr="003A49E3">
        <w:rPr>
          <w:sz w:val="16"/>
          <w:szCs w:val="12"/>
        </w:rPr>
        <w:t xml:space="preserve">Dynarski and Kainz write. "Large proportions of school principals report using Title I funds for teacher professional development, which many studies have shown to be ineffective and which teachers do not find valuable. </w:t>
      </w:r>
      <w:r w:rsidRPr="003A49E3">
        <w:rPr>
          <w:sz w:val="16"/>
        </w:rPr>
        <w:t xml:space="preserve">Other services on which principals spent Title I funds include after-school and summer programs, technology purchases, and supplemental services, which also have been shown to be ineffective, and class-size reductions, which are unlikely to be of the size needed to generate effects found in previous research.". </w:t>
      </w:r>
      <w:r w:rsidRPr="00E55230">
        <w:rPr>
          <w:rStyle w:val="StyleUnderline"/>
        </w:rPr>
        <w:t>More than four in five principals who get Title I funding spent at least some of the funds on professional development. But there is no evidence professional development programs are effective</w:t>
      </w:r>
      <w:r w:rsidRPr="003A49E3">
        <w:rPr>
          <w:sz w:val="16"/>
        </w:rPr>
        <w:t xml:space="preserve">, according to an </w:t>
      </w:r>
      <w:hyperlink r:id="rId31" w:history="1">
        <w:r w:rsidRPr="003A49E3">
          <w:rPr>
            <w:rStyle w:val="Hyperlink"/>
            <w:b/>
            <w:color w:val="1155CC"/>
            <w:sz w:val="16"/>
            <w:szCs w:val="14"/>
          </w:rPr>
          <w:t>August 2015 report</w:t>
        </w:r>
      </w:hyperlink>
      <w:r w:rsidRPr="003A49E3">
        <w:rPr>
          <w:sz w:val="16"/>
        </w:rPr>
        <w:t xml:space="preserve"> from the New Teacher Project. The Institute of Education Sciences, an arm of the Department of Education, also found no evidence that professional development improves student learning.</w:t>
      </w:r>
      <w:r w:rsidRPr="003A49E3">
        <w:rPr>
          <w:color w:val="292B2C"/>
          <w:sz w:val="16"/>
          <w:shd w:val="clear" w:color="auto" w:fill="FFFFFF"/>
        </w:rPr>
        <w:t xml:space="preserve"> </w:t>
      </w:r>
      <w:r w:rsidRPr="00E55230">
        <w:rPr>
          <w:rStyle w:val="StyleUnderline"/>
        </w:rPr>
        <w:t>What hurts Title I's effectiveness is how widely spread the funding is</w:t>
      </w:r>
      <w:r w:rsidRPr="003A49E3">
        <w:rPr>
          <w:sz w:val="16"/>
        </w:rPr>
        <w:t xml:space="preserve">, Dynarski and Kainz say. If the funds were targeted toward fewer students or services with proven effectiveness, the funding might work better. </w:t>
      </w:r>
      <w:r w:rsidRPr="00E55230">
        <w:rPr>
          <w:rStyle w:val="StyleUnderline"/>
        </w:rPr>
        <w:t>With the number of students it currently targets, the federal government would have to increase Title I funding by up to eight times as much as it spends now to be effective.</w:t>
      </w:r>
    </w:p>
    <w:p w:rsidR="000C7A59" w:rsidRPr="003A49E3" w:rsidRDefault="000C7A59" w:rsidP="000C7A59"/>
    <w:p w:rsidR="000C7A59" w:rsidRPr="003A49E3" w:rsidRDefault="000C7A59" w:rsidP="000C7A59"/>
    <w:p w:rsidR="000C7A59" w:rsidRDefault="000C7A59" w:rsidP="000C7A59">
      <w:pPr>
        <w:rPr>
          <w:rFonts w:asciiTheme="minorHAnsi" w:hAnsiTheme="minorHAnsi"/>
        </w:rPr>
      </w:pP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Bold">
    <w:panose1 w:val="020B07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9F7FAB"/>
    <w:multiLevelType w:val="hybridMultilevel"/>
    <w:tmpl w:val="28B8956C"/>
    <w:lvl w:ilvl="0" w:tplc="E1B2FC7C">
      <w:start w:val="1"/>
      <w:numFmt w:val="bullet"/>
      <w:lvlText w:val=""/>
      <w:lvlJc w:val="left"/>
      <w:pPr>
        <w:ind w:left="720" w:hanging="360"/>
      </w:pPr>
      <w:rPr>
        <w:rFonts w:ascii="Symbol" w:hAnsi="Symbol" w:hint="default"/>
      </w:rPr>
    </w:lvl>
    <w:lvl w:ilvl="1" w:tplc="BFB28AB8">
      <w:start w:val="1"/>
      <w:numFmt w:val="bullet"/>
      <w:lvlText w:val="o"/>
      <w:lvlJc w:val="left"/>
      <w:pPr>
        <w:ind w:left="1440" w:hanging="360"/>
      </w:pPr>
      <w:rPr>
        <w:rFonts w:ascii="Courier New" w:hAnsi="Courier New" w:hint="default"/>
      </w:rPr>
    </w:lvl>
    <w:lvl w:ilvl="2" w:tplc="3AEE39D2">
      <w:start w:val="1"/>
      <w:numFmt w:val="bullet"/>
      <w:lvlText w:val=""/>
      <w:lvlJc w:val="left"/>
      <w:pPr>
        <w:ind w:left="2160" w:hanging="360"/>
      </w:pPr>
      <w:rPr>
        <w:rFonts w:ascii="Wingdings" w:hAnsi="Wingdings" w:hint="default"/>
      </w:rPr>
    </w:lvl>
    <w:lvl w:ilvl="3" w:tplc="94DA011E">
      <w:start w:val="1"/>
      <w:numFmt w:val="bullet"/>
      <w:lvlText w:val=""/>
      <w:lvlJc w:val="left"/>
      <w:pPr>
        <w:ind w:left="2880" w:hanging="360"/>
      </w:pPr>
      <w:rPr>
        <w:rFonts w:ascii="Symbol" w:hAnsi="Symbol" w:hint="default"/>
      </w:rPr>
    </w:lvl>
    <w:lvl w:ilvl="4" w:tplc="306033AC">
      <w:start w:val="1"/>
      <w:numFmt w:val="bullet"/>
      <w:lvlText w:val="o"/>
      <w:lvlJc w:val="left"/>
      <w:pPr>
        <w:ind w:left="3600" w:hanging="360"/>
      </w:pPr>
      <w:rPr>
        <w:rFonts w:ascii="Courier New" w:hAnsi="Courier New" w:hint="default"/>
      </w:rPr>
    </w:lvl>
    <w:lvl w:ilvl="5" w:tplc="C55E5908">
      <w:start w:val="1"/>
      <w:numFmt w:val="bullet"/>
      <w:lvlText w:val=""/>
      <w:lvlJc w:val="left"/>
      <w:pPr>
        <w:ind w:left="4320" w:hanging="360"/>
      </w:pPr>
      <w:rPr>
        <w:rFonts w:ascii="Wingdings" w:hAnsi="Wingdings" w:hint="default"/>
      </w:rPr>
    </w:lvl>
    <w:lvl w:ilvl="6" w:tplc="01EC0252">
      <w:start w:val="1"/>
      <w:numFmt w:val="bullet"/>
      <w:lvlText w:val=""/>
      <w:lvlJc w:val="left"/>
      <w:pPr>
        <w:ind w:left="5040" w:hanging="360"/>
      </w:pPr>
      <w:rPr>
        <w:rFonts w:ascii="Symbol" w:hAnsi="Symbol" w:hint="default"/>
      </w:rPr>
    </w:lvl>
    <w:lvl w:ilvl="7" w:tplc="74BE33E4">
      <w:start w:val="1"/>
      <w:numFmt w:val="bullet"/>
      <w:lvlText w:val="o"/>
      <w:lvlJc w:val="left"/>
      <w:pPr>
        <w:ind w:left="5760" w:hanging="360"/>
      </w:pPr>
      <w:rPr>
        <w:rFonts w:ascii="Courier New" w:hAnsi="Courier New" w:hint="default"/>
      </w:rPr>
    </w:lvl>
    <w:lvl w:ilvl="8" w:tplc="2F8687C0">
      <w:start w:val="1"/>
      <w:numFmt w:val="bullet"/>
      <w:lvlText w:val=""/>
      <w:lvlJc w:val="left"/>
      <w:pPr>
        <w:ind w:left="6480" w:hanging="360"/>
      </w:pPr>
      <w:rPr>
        <w:rFonts w:ascii="Wingdings" w:hAnsi="Wingdings" w:hint="default"/>
      </w:rPr>
    </w:lvl>
  </w:abstractNum>
  <w:abstractNum w:abstractNumId="11" w15:restartNumberingAfterBreak="0">
    <w:nsid w:val="269F6CF4"/>
    <w:multiLevelType w:val="hybridMultilevel"/>
    <w:tmpl w:val="40067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A5397C"/>
    <w:multiLevelType w:val="hybridMultilevel"/>
    <w:tmpl w:val="F5B84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6502A0"/>
    <w:multiLevelType w:val="hybridMultilevel"/>
    <w:tmpl w:val="EB081246"/>
    <w:lvl w:ilvl="0" w:tplc="E1B2FC7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0A0F38"/>
    <w:multiLevelType w:val="hybridMultilevel"/>
    <w:tmpl w:val="322E7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FC318F"/>
    <w:multiLevelType w:val="hybridMultilevel"/>
    <w:tmpl w:val="2F0E8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2"/>
  </w:num>
  <w:num w:numId="13">
    <w:abstractNumId w:val="14"/>
  </w:num>
  <w:num w:numId="14">
    <w:abstractNumId w:val="11"/>
  </w:num>
  <w:num w:numId="15">
    <w:abstractNumId w:val="10"/>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0C7A59"/>
    <w:rsid w:val="000139A3"/>
    <w:rsid w:val="000C7A59"/>
    <w:rsid w:val="00100833"/>
    <w:rsid w:val="00104529"/>
    <w:rsid w:val="00105942"/>
    <w:rsid w:val="00107396"/>
    <w:rsid w:val="00144A4C"/>
    <w:rsid w:val="00176AB0"/>
    <w:rsid w:val="00177B7D"/>
    <w:rsid w:val="0018322D"/>
    <w:rsid w:val="001973D6"/>
    <w:rsid w:val="001B5776"/>
    <w:rsid w:val="001E527A"/>
    <w:rsid w:val="001F78CE"/>
    <w:rsid w:val="0020157F"/>
    <w:rsid w:val="00251FC7"/>
    <w:rsid w:val="002548D3"/>
    <w:rsid w:val="002855A7"/>
    <w:rsid w:val="002B146A"/>
    <w:rsid w:val="002B5E17"/>
    <w:rsid w:val="002D488A"/>
    <w:rsid w:val="00315690"/>
    <w:rsid w:val="00316B75"/>
    <w:rsid w:val="00325646"/>
    <w:rsid w:val="003460F2"/>
    <w:rsid w:val="0038158C"/>
    <w:rsid w:val="003902BA"/>
    <w:rsid w:val="003A09E2"/>
    <w:rsid w:val="003F4DDC"/>
    <w:rsid w:val="00407037"/>
    <w:rsid w:val="004309CB"/>
    <w:rsid w:val="004605D6"/>
    <w:rsid w:val="004B77BB"/>
    <w:rsid w:val="004C60E8"/>
    <w:rsid w:val="004E3579"/>
    <w:rsid w:val="004E728B"/>
    <w:rsid w:val="004F39E0"/>
    <w:rsid w:val="00537BD5"/>
    <w:rsid w:val="0057268A"/>
    <w:rsid w:val="005D2912"/>
    <w:rsid w:val="005E6EF4"/>
    <w:rsid w:val="006065BD"/>
    <w:rsid w:val="00645FA9"/>
    <w:rsid w:val="00647866"/>
    <w:rsid w:val="00665003"/>
    <w:rsid w:val="006A2AD0"/>
    <w:rsid w:val="006C2375"/>
    <w:rsid w:val="006D4ECC"/>
    <w:rsid w:val="006E3ADA"/>
    <w:rsid w:val="00722258"/>
    <w:rsid w:val="007243E5"/>
    <w:rsid w:val="00766EA0"/>
    <w:rsid w:val="007A2226"/>
    <w:rsid w:val="007F5B66"/>
    <w:rsid w:val="00823A1C"/>
    <w:rsid w:val="00845B9D"/>
    <w:rsid w:val="00860984"/>
    <w:rsid w:val="008B3ECB"/>
    <w:rsid w:val="008B4E85"/>
    <w:rsid w:val="008C02BB"/>
    <w:rsid w:val="008C1B2E"/>
    <w:rsid w:val="008C5179"/>
    <w:rsid w:val="0091627E"/>
    <w:rsid w:val="00960D3B"/>
    <w:rsid w:val="0097032B"/>
    <w:rsid w:val="00976E93"/>
    <w:rsid w:val="00981C73"/>
    <w:rsid w:val="009D2EAD"/>
    <w:rsid w:val="009D54B2"/>
    <w:rsid w:val="009E1922"/>
    <w:rsid w:val="009F7ED2"/>
    <w:rsid w:val="00A73E3E"/>
    <w:rsid w:val="00A93661"/>
    <w:rsid w:val="00A95652"/>
    <w:rsid w:val="00AC0AB8"/>
    <w:rsid w:val="00B30DF1"/>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E474F"/>
    <w:rsid w:val="00CF59A8"/>
    <w:rsid w:val="00D325A9"/>
    <w:rsid w:val="00D36A8A"/>
    <w:rsid w:val="00D61409"/>
    <w:rsid w:val="00D6691E"/>
    <w:rsid w:val="00D71170"/>
    <w:rsid w:val="00DA1C92"/>
    <w:rsid w:val="00DA25D4"/>
    <w:rsid w:val="00DA6538"/>
    <w:rsid w:val="00E15E75"/>
    <w:rsid w:val="00E5262C"/>
    <w:rsid w:val="00EA497D"/>
    <w:rsid w:val="00EB5BEA"/>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7E93F"/>
  <w15:chartTrackingRefBased/>
  <w15:docId w15:val="{808C5072-2E46-4F9F-8CA5-BCE48EF29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0C7A59"/>
    <w:pPr>
      <w:spacing w:after="0" w:line="240" w:lineRule="auto"/>
    </w:pPr>
    <w:rPr>
      <w:rFonts w:ascii="Arial" w:hAnsi="Arial" w:cs="Arial"/>
    </w:rPr>
  </w:style>
  <w:style w:type="paragraph" w:styleId="Heading1">
    <w:name w:val="heading 1"/>
    <w:aliases w:val="Pocket"/>
    <w:basedOn w:val="Normal"/>
    <w:next w:val="Normal"/>
    <w:link w:val="Heading1Char"/>
    <w:autoRedefine/>
    <w:qFormat/>
    <w:rsid w:val="000C7A5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autoRedefine/>
    <w:uiPriority w:val="1"/>
    <w:unhideWhenUsed/>
    <w:qFormat/>
    <w:rsid w:val="000C7A59"/>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autoRedefine/>
    <w:uiPriority w:val="2"/>
    <w:unhideWhenUsed/>
    <w:qFormat/>
    <w:rsid w:val="000C7A59"/>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0C7A59"/>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0C7A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7A59"/>
  </w:style>
  <w:style w:type="character" w:customStyle="1" w:styleId="Heading1Char">
    <w:name w:val="Heading 1 Char"/>
    <w:aliases w:val="Pocket Char"/>
    <w:basedOn w:val="DefaultParagraphFont"/>
    <w:link w:val="Heading1"/>
    <w:rsid w:val="000C7A59"/>
    <w:rPr>
      <w:rFonts w:ascii="Arial" w:eastAsiaTheme="majorEastAsia" w:hAnsi="Arial" w:cstheme="majorBidi"/>
      <w:b/>
      <w:caps/>
      <w:sz w:val="52"/>
      <w:szCs w:val="32"/>
    </w:rPr>
  </w:style>
  <w:style w:type="character" w:customStyle="1" w:styleId="Heading2Char">
    <w:name w:val="Heading 2 Char"/>
    <w:aliases w:val="Hat Char"/>
    <w:basedOn w:val="DefaultParagraphFont"/>
    <w:link w:val="Heading2"/>
    <w:uiPriority w:val="1"/>
    <w:rsid w:val="000C7A59"/>
    <w:rPr>
      <w:rFonts w:ascii="Arial" w:eastAsiaTheme="majorEastAsia" w:hAnsi="Arial" w:cstheme="majorBidi"/>
      <w:b/>
      <w:caps/>
      <w:sz w:val="44"/>
      <w:szCs w:val="26"/>
      <w:u w:val="double"/>
    </w:rPr>
  </w:style>
  <w:style w:type="character" w:customStyle="1" w:styleId="Heading3Char">
    <w:name w:val="Heading 3 Char"/>
    <w:aliases w:val="Block Char,CD Underline Char,Citation Char Char Char,Heading 3 Char1 Char Char Char,Heading 3 Char Char Char Char Char,Citation Char Char Char Char Char,Citation Char1 Char Char Char,Heading 3 Char Char1 Char,Citation Char Char1 Char"/>
    <w:basedOn w:val="DefaultParagraphFont"/>
    <w:link w:val="Heading3"/>
    <w:uiPriority w:val="2"/>
    <w:rsid w:val="000C7A59"/>
    <w:rPr>
      <w:rFonts w:ascii="Arial" w:eastAsiaTheme="majorEastAsia" w:hAnsi="Arial" w:cstheme="majorBidi"/>
      <w:b/>
      <w:caps/>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0C7A59"/>
    <w:rPr>
      <w:rFonts w:ascii="Arial" w:eastAsiaTheme="majorEastAsia" w:hAnsi="Arial"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7"/>
    <w:qFormat/>
    <w:rsid w:val="000C7A59"/>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C7A59"/>
    <w:rPr>
      <w:rFonts w:ascii="Arial" w:hAnsi="Arial"/>
      <w:b/>
      <w:bCs/>
      <w:caps w:val="0"/>
      <w:smallCaps w:val="0"/>
      <w:strike w:val="0"/>
      <w:dstrike w:val="0"/>
      <w:vanish w:val="0"/>
      <w:sz w:val="26"/>
      <w:u w:val="single"/>
      <w:vertAlign w:val="baseli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6"/>
    <w:qFormat/>
    <w:rsid w:val="000C7A59"/>
    <w:rPr>
      <w:b w:val="0"/>
      <w:sz w:val="22"/>
      <w:u w:val="single"/>
    </w:rPr>
  </w:style>
  <w:style w:type="character" w:styleId="Hyperlink">
    <w:name w:val="Hyperlink"/>
    <w:aliases w:val="heading 1 (block title),Read,Important,Internet Link,Analytic Text,Internet link,Card Text,Char Char1,Heading 3 Char2,Block Char1,Heading 3 Char1 Char1,No Underline Char1,Text 7 Char1,Tags v 2 Char1,Card Char1,3: Cite Char1,Heading 3 Char1"/>
    <w:basedOn w:val="DefaultParagraphFont"/>
    <w:uiPriority w:val="99"/>
    <w:unhideWhenUsed/>
    <w:rsid w:val="000C7A59"/>
    <w:rPr>
      <w:color w:val="auto"/>
      <w:u w:val="none"/>
    </w:rPr>
  </w:style>
  <w:style w:type="character" w:styleId="FollowedHyperlink">
    <w:name w:val="FollowedHyperlink"/>
    <w:basedOn w:val="DefaultParagraphFont"/>
    <w:uiPriority w:val="99"/>
    <w:semiHidden/>
    <w:unhideWhenUsed/>
    <w:rsid w:val="000C7A59"/>
    <w:rPr>
      <w:color w:val="auto"/>
      <w:u w:val="none"/>
    </w:rPr>
  </w:style>
  <w:style w:type="paragraph" w:customStyle="1" w:styleId="Analytic">
    <w:name w:val="Analytic"/>
    <w:basedOn w:val="Normal"/>
    <w:autoRedefine/>
    <w:uiPriority w:val="4"/>
    <w:qFormat/>
    <w:rsid w:val="000C7A59"/>
    <w:rPr>
      <w:rFonts w:cstheme="minorBidi"/>
      <w:b/>
      <w:sz w:val="26"/>
    </w:rPr>
  </w:style>
  <w:style w:type="paragraph" w:customStyle="1" w:styleId="BreakTag">
    <w:name w:val="Break Tag"/>
    <w:basedOn w:val="Normal"/>
    <w:autoRedefine/>
    <w:uiPriority w:val="4"/>
    <w:qFormat/>
    <w:rsid w:val="000C7A59"/>
    <w:pPr>
      <w:spacing w:before="240"/>
    </w:pPr>
    <w:rPr>
      <w:b/>
      <w:sz w:val="26"/>
    </w:rPr>
  </w:style>
  <w:style w:type="paragraph" w:customStyle="1" w:styleId="BreakBlock">
    <w:name w:val="Break Block"/>
    <w:basedOn w:val="Normal"/>
    <w:link w:val="BreakBlockChar"/>
    <w:autoRedefine/>
    <w:qFormat/>
    <w:rsid w:val="000C7A5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0C7A59"/>
    <w:rPr>
      <w:rFonts w:ascii="Arial Bold" w:hAnsi="Arial Bold" w:cs="Arial"/>
      <w:b/>
      <w:caps/>
      <w:sz w:val="32"/>
      <w:u w:val="single"/>
    </w:rPr>
  </w:style>
  <w:style w:type="paragraph" w:styleId="ListParagraph">
    <w:name w:val="List Paragraph"/>
    <w:basedOn w:val="Normal"/>
    <w:uiPriority w:val="34"/>
    <w:unhideWhenUsed/>
    <w:qFormat/>
    <w:rsid w:val="000C7A59"/>
    <w:pPr>
      <w:ind w:left="720"/>
      <w:contextualSpacing/>
    </w:pPr>
  </w:style>
  <w:style w:type="paragraph" w:styleId="NormalWeb">
    <w:name w:val="Normal (Web)"/>
    <w:basedOn w:val="Normal"/>
    <w:uiPriority w:val="99"/>
    <w:unhideWhenUsed/>
    <w:rsid w:val="000C7A59"/>
    <w:pPr>
      <w:spacing w:before="100" w:beforeAutospacing="1" w:after="100" w:afterAutospacing="1"/>
    </w:pPr>
    <w:rPr>
      <w:rFonts w:ascii="Times New Roman" w:eastAsia="Times New Roman" w:hAnsi="Times New Roman" w:cs="Times New Roman"/>
      <w:sz w:val="24"/>
      <w:szCs w:val="24"/>
    </w:rPr>
  </w:style>
  <w:style w:type="character" w:styleId="Mention">
    <w:name w:val="Mention"/>
    <w:basedOn w:val="DefaultParagraphFont"/>
    <w:uiPriority w:val="99"/>
    <w:semiHidden/>
    <w:unhideWhenUsed/>
    <w:rsid w:val="000C7A59"/>
    <w:rPr>
      <w:color w:val="2B579A"/>
      <w:shd w:val="clear" w:color="auto" w:fill="E6E6E6"/>
    </w:rPr>
  </w:style>
  <w:style w:type="paragraph" w:styleId="NoSpacing">
    <w:name w:val="No Spacing"/>
    <w:uiPriority w:val="1"/>
    <w:qFormat/>
    <w:rsid w:val="000C7A59"/>
    <w:pPr>
      <w:spacing w:after="0" w:line="240" w:lineRule="auto"/>
    </w:pPr>
    <w:rPr>
      <w:rFonts w:ascii="Calibri" w:hAnsi="Calibri"/>
    </w:rPr>
  </w:style>
  <w:style w:type="paragraph" w:customStyle="1" w:styleId="textbold">
    <w:name w:val="text bold"/>
    <w:basedOn w:val="Normal"/>
    <w:link w:val="Emphasis"/>
    <w:autoRedefine/>
    <w:uiPriority w:val="7"/>
    <w:qFormat/>
    <w:rsid w:val="000C7A59"/>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12" w:space="0" w:color="auto"/>
    </w:rPr>
  </w:style>
  <w:style w:type="character" w:customStyle="1" w:styleId="apple-converted-space">
    <w:name w:val="apple-converted-space"/>
    <w:basedOn w:val="DefaultParagraphFont"/>
    <w:rsid w:val="000C7A59"/>
  </w:style>
  <w:style w:type="paragraph" w:customStyle="1" w:styleId="citation">
    <w:name w:val="citation"/>
    <w:basedOn w:val="Normal"/>
    <w:rsid w:val="000C7A59"/>
    <w:pPr>
      <w:spacing w:before="100" w:beforeAutospacing="1" w:after="100" w:afterAutospacing="1"/>
    </w:pPr>
    <w:rPr>
      <w:rFonts w:ascii="Times New Roman" w:eastAsia="Times New Roman" w:hAnsi="Times New Roman" w:cs="Times New Roman"/>
      <w:sz w:val="24"/>
      <w:szCs w:val="24"/>
    </w:rPr>
  </w:style>
  <w:style w:type="paragraph" w:customStyle="1" w:styleId="Emphasis1">
    <w:name w:val="Emphasis1"/>
    <w:basedOn w:val="Normal"/>
    <w:autoRedefine/>
    <w:uiPriority w:val="7"/>
    <w:qFormat/>
    <w:rsid w:val="000C7A59"/>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UnderlineChar">
    <w:name w:val="Underline Char"/>
    <w:basedOn w:val="DefaultParagraphFont"/>
    <w:rsid w:val="000C7A59"/>
    <w:rPr>
      <w:rFonts w:ascii="Calibri" w:hAnsi="Calibri"/>
      <w:szCs w:val="24"/>
      <w:u w:val="single"/>
      <w:lang w:val="en-US" w:eastAsia="en-US" w:bidi="ar-SA"/>
    </w:rPr>
  </w:style>
  <w:style w:type="character" w:customStyle="1" w:styleId="BoldUnderlineChar">
    <w:name w:val="BoldUnderline Char"/>
    <w:basedOn w:val="DefaultParagraphFont"/>
    <w:rsid w:val="000C7A59"/>
    <w:rPr>
      <w:b/>
      <w:szCs w:val="24"/>
      <w:u w:val="single"/>
      <w:lang w:val="en-US" w:eastAsia="en-US" w:bidi="ar-SA"/>
    </w:rPr>
  </w:style>
  <w:style w:type="paragraph" w:customStyle="1" w:styleId="evidencetext">
    <w:name w:val="evidence text"/>
    <w:basedOn w:val="Normal"/>
    <w:link w:val="evidencetextChar1"/>
    <w:qFormat/>
    <w:rsid w:val="000C7A59"/>
    <w:pPr>
      <w:ind w:left="432" w:right="432"/>
    </w:pPr>
    <w:rPr>
      <w:color w:val="000000"/>
      <w:lang w:val="x-none" w:eastAsia="x-none"/>
    </w:rPr>
  </w:style>
  <w:style w:type="character" w:customStyle="1" w:styleId="evidencetextChar1">
    <w:name w:val="evidence text Char1"/>
    <w:link w:val="evidencetext"/>
    <w:rsid w:val="000C7A59"/>
    <w:rPr>
      <w:rFonts w:ascii="Arial" w:hAnsi="Arial" w:cs="Arial"/>
      <w:color w:val="000000"/>
      <w:lang w:val="x-none" w:eastAsia="x-none"/>
    </w:rPr>
  </w:style>
  <w:style w:type="paragraph" w:customStyle="1" w:styleId="card">
    <w:name w:val="card"/>
    <w:basedOn w:val="Normal"/>
    <w:next w:val="Normal"/>
    <w:link w:val="cardChar"/>
    <w:qFormat/>
    <w:rsid w:val="000C7A59"/>
    <w:pPr>
      <w:ind w:left="288" w:right="288"/>
    </w:pPr>
    <w:rPr>
      <w:rFonts w:ascii="Times New Roman" w:eastAsia="Times New Roman" w:hAnsi="Times New Roman" w:cs="Times New Roman"/>
      <w:sz w:val="24"/>
    </w:rPr>
  </w:style>
  <w:style w:type="character" w:customStyle="1" w:styleId="cardChar">
    <w:name w:val="card Char"/>
    <w:link w:val="card"/>
    <w:rsid w:val="000C7A59"/>
    <w:rPr>
      <w:rFonts w:ascii="Times New Roman" w:eastAsia="Times New Roman" w:hAnsi="Times New Roman" w:cs="Times New Roman"/>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0C7A59"/>
    <w:pPr>
      <w:spacing w:after="0" w:line="240" w:lineRule="auto"/>
    </w:pPr>
    <w:rPr>
      <w:u w:val="single"/>
    </w:rPr>
  </w:style>
  <w:style w:type="character" w:customStyle="1" w:styleId="TitleChar">
    <w:name w:val="Title Char"/>
    <w:aliases w:val="Cites and Cards Char,UNDERLINE Char,Bold Underlined Char,Block Heading Char,title Char,Read This Char"/>
    <w:link w:val="Title"/>
    <w:uiPriority w:val="99"/>
    <w:qFormat/>
    <w:rsid w:val="000C7A59"/>
    <w:rPr>
      <w:bCs/>
      <w:sz w:val="20"/>
      <w:u w:val="single"/>
    </w:rPr>
  </w:style>
  <w:style w:type="paragraph" w:styleId="Title">
    <w:name w:val="Title"/>
    <w:aliases w:val="Cites and Cards,UNDERLINE,Bold Underlined,Block Heading,title,Read This"/>
    <w:basedOn w:val="Normal"/>
    <w:next w:val="Normal"/>
    <w:link w:val="TitleChar"/>
    <w:uiPriority w:val="99"/>
    <w:qFormat/>
    <w:rsid w:val="000C7A59"/>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99"/>
    <w:semiHidden/>
    <w:rsid w:val="000C7A59"/>
    <w:rPr>
      <w:rFonts w:asciiTheme="majorHAnsi" w:eastAsiaTheme="majorEastAsia" w:hAnsiTheme="majorHAnsi" w:cstheme="majorBidi"/>
      <w:spacing w:val="-10"/>
      <w:kern w:val="28"/>
      <w:sz w:val="56"/>
      <w:szCs w:val="56"/>
    </w:rPr>
  </w:style>
  <w:style w:type="character" w:customStyle="1" w:styleId="cardtextChar">
    <w:name w:val="card text Char"/>
    <w:link w:val="cardtext"/>
    <w:uiPriority w:val="99"/>
    <w:locked/>
    <w:rsid w:val="000C7A59"/>
    <w:rPr>
      <w:rFonts w:ascii="Calibri" w:hAnsi="Calibri" w:cs="Calibri"/>
    </w:rPr>
  </w:style>
  <w:style w:type="paragraph" w:customStyle="1" w:styleId="cardtext">
    <w:name w:val="card text"/>
    <w:basedOn w:val="Normal"/>
    <w:link w:val="cardtextChar"/>
    <w:uiPriority w:val="99"/>
    <w:qFormat/>
    <w:rsid w:val="000C7A59"/>
    <w:pPr>
      <w:ind w:left="288" w:right="288"/>
    </w:pPr>
    <w:rPr>
      <w:rFonts w:ascii="Calibri" w:hAnsi="Calibri" w:cs="Calibri"/>
    </w:rPr>
  </w:style>
  <w:style w:type="character" w:customStyle="1" w:styleId="apple-tab-span">
    <w:name w:val="apple-tab-span"/>
    <w:basedOn w:val="DefaultParagraphFont"/>
    <w:rsid w:val="000C7A59"/>
  </w:style>
  <w:style w:type="character" w:customStyle="1" w:styleId="StyleDate">
    <w:name w:val="Style Date"/>
    <w:aliases w:val="Author"/>
    <w:basedOn w:val="DefaultParagraphFont"/>
    <w:uiPriority w:val="1"/>
    <w:qFormat/>
    <w:rsid w:val="000C7A59"/>
    <w:rPr>
      <w:rFonts w:ascii="Georgia" w:hAnsi="Georgia"/>
      <w:b/>
      <w:sz w:val="24"/>
      <w:u w:val="single"/>
    </w:rPr>
  </w:style>
  <w:style w:type="paragraph" w:customStyle="1" w:styleId="Nothing">
    <w:name w:val="Nothing"/>
    <w:link w:val="NothingChar"/>
    <w:rsid w:val="000C7A59"/>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0C7A59"/>
    <w:rPr>
      <w:rFonts w:ascii="Times New Roman" w:eastAsia="Calibri"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quality-of-opportunity.org/images/mto_exec_summary.pdf" TargetMode="External"/><Relationship Id="rId13" Type="http://schemas.openxmlformats.org/officeDocument/2006/relationships/hyperlink" Target="https://www2.ed.gov/programs/titleiparta/index.html?exp=0" TargetMode="External"/><Relationship Id="rId18" Type="http://schemas.openxmlformats.org/officeDocument/2006/relationships/hyperlink" Target="http://www.legislature.mi.gov/documents/2015-2016/resolutionadopted/Senate/htm/2016-SAR-0214.htm" TargetMode="External"/><Relationship Id="rId26" Type="http://schemas.openxmlformats.org/officeDocument/2006/relationships/hyperlink" Target="http://www2.ed.gov/rschstat/eval/disadv/nati.pdf" TargetMode="External"/><Relationship Id="rId3" Type="http://schemas.openxmlformats.org/officeDocument/2006/relationships/styles" Target="styles.xml"/><Relationship Id="rId21" Type="http://schemas.openxmlformats.org/officeDocument/2006/relationships/hyperlink" Target="https://medium.com/edbuild/funding-for-students-in-poverty-must-be-a-priority-5af726a185dc" TargetMode="External"/><Relationship Id="rId7" Type="http://schemas.openxmlformats.org/officeDocument/2006/relationships/hyperlink" Target="http://www.equality-of-opportunity.org/images/nbhds_exec_summary.pdf" TargetMode="External"/><Relationship Id="rId12" Type="http://schemas.openxmlformats.org/officeDocument/2006/relationships/hyperlink" Target="https://www.the74million.org/article/new-research-states-that-chose-or-were-forced-to-spend-more-money-on-poor-schools-saw-student-gains" TargetMode="External"/><Relationship Id="rId17" Type="http://schemas.openxmlformats.org/officeDocument/2006/relationships/hyperlink" Target="http://www.educationworld.com/a_news/state-education-commissioner-calls-%E2%80%98supplement-not-supplant%E2%80%99-regulation-%E2%80%98extreme-paperwork" TargetMode="External"/><Relationship Id="rId25" Type="http://schemas.openxmlformats.org/officeDocument/2006/relationships/hyperlink" Target="http://reason.org/news/show/federal-school-finance-refor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ccsso.org/News_and_Events/Press_Releases/CCSSO_Releases_Statement_on_Proposed_Regulations_.html" TargetMode="External"/><Relationship Id="rId20" Type="http://schemas.openxmlformats.org/officeDocument/2006/relationships/hyperlink" Target="https://www2.ed.gov/programs/titleiparta/index.html?exp=0" TargetMode="External"/><Relationship Id="rId29" Type="http://schemas.openxmlformats.org/officeDocument/2006/relationships/hyperlink" Target="https://www.theatlantic.com/education/archive/2015/02/saving-school-choice-without-undermining-poor-communities/385510/" TargetMode="External"/><Relationship Id="rId1" Type="http://schemas.openxmlformats.org/officeDocument/2006/relationships/customXml" Target="../customXml/item1.xml"/><Relationship Id="rId6" Type="http://schemas.openxmlformats.org/officeDocument/2006/relationships/hyperlink" Target="http://www.businessinsider.com/new-study-provides-an-excellent-explanation-for-inequality-in-america-2015-6" TargetMode="External"/><Relationship Id="rId11" Type="http://schemas.openxmlformats.org/officeDocument/2006/relationships/hyperlink" Target="https://www.the74million.org/article/new-study-finds-states-fail-to-deliver-on-title-i-promise-of-extra-funding-for-low-income-students" TargetMode="External"/><Relationship Id="rId24" Type="http://schemas.openxmlformats.org/officeDocument/2006/relationships/hyperlink" Target="http://thehill.com/blogs/congress-blog/education/247300-title-i-funding-portability-is-key-to-esea-refor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dsource.org/2016/state-leaders-join-gop-critics-of-draft-federal-funding-rules-essa/572365" TargetMode="External"/><Relationship Id="rId23" Type="http://schemas.openxmlformats.org/officeDocument/2006/relationships/hyperlink" Target="http://www.bu.edu/law/journals-archive/bulr/documents/black.pdf" TargetMode="External"/><Relationship Id="rId28" Type="http://schemas.openxmlformats.org/officeDocument/2006/relationships/hyperlink" Target="http://www.brookings.edu/research/papers/2012/08/23-school-vouchers-harvard-chingos" TargetMode="External"/><Relationship Id="rId10" Type="http://schemas.openxmlformats.org/officeDocument/2006/relationships/hyperlink" Target="http://steinhardt.nyu.edu/scmsAdmin/uploads/003/949/WP%20%2309-09.pdf" TargetMode="External"/><Relationship Id="rId19" Type="http://schemas.openxmlformats.org/officeDocument/2006/relationships/hyperlink" Target="http://blogs.edweek.org/edweek/campaign-k-12/2017/01/essa_john_b_king_jr_withdraws_.html" TargetMode="External"/><Relationship Id="rId31" Type="http://schemas.openxmlformats.org/officeDocument/2006/relationships/hyperlink" Target="http://tntp.org/publications/view/the-mirage-confronting-the-truth-about-our-quest-for-teacher-development" TargetMode="External"/><Relationship Id="rId4" Type="http://schemas.openxmlformats.org/officeDocument/2006/relationships/settings" Target="settings.xml"/><Relationship Id="rId9" Type="http://schemas.openxmlformats.org/officeDocument/2006/relationships/hyperlink" Target="http://www.economist.com/news/essays/21596796-democracy-was-most-successful-political-idea-20th-century-why-has-it-run-trouble-and-what-can-be-do" TargetMode="External"/><Relationship Id="rId14" Type="http://schemas.openxmlformats.org/officeDocument/2006/relationships/hyperlink" Target="https://www.regulations.gov/document?D=ED-2016-OESE-0056-0001" TargetMode="External"/><Relationship Id="rId22" Type="http://schemas.openxmlformats.org/officeDocument/2006/relationships/hyperlink" Target="https://www.louisianabelieves.com/docs/default-source/minimum-foundation-program/2014-15-circular-no-1156-senate-concurrent-resolution-55.pdf" TargetMode="External"/><Relationship Id="rId27" Type="http://schemas.openxmlformats.org/officeDocument/2006/relationships/hyperlink" Target="http://www.edchoice.org/Research/Reports/A-Win-Win-Solution--The-Empirical-Evidence-on-School-Choice.aspx" TargetMode="External"/><Relationship Id="rId30" Type="http://schemas.openxmlformats.org/officeDocument/2006/relationships/hyperlink" Target="http://www.washingtonexaminer.com/study-feds-wasting-billions-in-education-spending/article/257685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20Gra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942D96-0AEE-44AA-BA9D-EFD7968517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19948</Words>
  <Characters>113708</Characters>
  <Application>Microsoft Office Word</Application>
  <DocSecurity>0</DocSecurity>
  <Lines>947</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Gray</dc:creator>
  <cp:keywords>5.1.1</cp:keywords>
  <dc:description/>
  <cp:lastModifiedBy>Miles Gray</cp:lastModifiedBy>
  <cp:revision>1</cp:revision>
  <dcterms:created xsi:type="dcterms:W3CDTF">2017-07-09T18:59:00Z</dcterms:created>
  <dcterms:modified xsi:type="dcterms:W3CDTF">2017-07-09T18:59:00Z</dcterms:modified>
</cp:coreProperties>
</file>