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B91EA4" w:rsidP="00B91EA4">
      <w:pPr>
        <w:pStyle w:val="Heading1"/>
      </w:pPr>
      <w:r>
        <w:t>T</w:t>
      </w:r>
    </w:p>
    <w:p w:rsidR="006D3616" w:rsidRDefault="006D3616" w:rsidP="00B91EA4">
      <w:pPr>
        <w:pStyle w:val="Heading2"/>
      </w:pPr>
      <w:r>
        <w:lastRenderedPageBreak/>
        <w:t>Topic</w:t>
      </w:r>
    </w:p>
    <w:p w:rsidR="006D3616" w:rsidRDefault="006D3616" w:rsidP="006D3616">
      <w:pPr>
        <w:pStyle w:val="NormalWeb"/>
        <w:spacing w:before="0" w:beforeAutospacing="0" w:after="0" w:afterAutospacing="0"/>
        <w:textAlignment w:val="baseline"/>
        <w:rPr>
          <w:rFonts w:ascii="Arial" w:hAnsi="Arial" w:cs="Arial"/>
          <w:color w:val="5E514E"/>
          <w:sz w:val="21"/>
          <w:szCs w:val="21"/>
        </w:rPr>
      </w:pPr>
      <w:r>
        <w:rPr>
          <w:rStyle w:val="Strong"/>
          <w:rFonts w:ascii="Arial" w:eastAsiaTheme="majorEastAsia" w:hAnsi="Arial" w:cs="Arial"/>
          <w:color w:val="5E514E"/>
          <w:sz w:val="21"/>
          <w:szCs w:val="21"/>
          <w:bdr w:val="none" w:sz="0" w:space="0" w:color="auto" w:frame="1"/>
        </w:rPr>
        <w:t>Resolved: The United States federal government should substantially increase its funding and/or regulation of elementary and/or secondary education in the United States.</w:t>
      </w:r>
    </w:p>
    <w:p w:rsidR="006D3616" w:rsidRPr="006D3616" w:rsidRDefault="006D3616" w:rsidP="006D3616"/>
    <w:p w:rsidR="001769D1" w:rsidRDefault="001769D1" w:rsidP="00B91EA4">
      <w:pPr>
        <w:pStyle w:val="Heading2"/>
      </w:pPr>
      <w:r>
        <w:lastRenderedPageBreak/>
        <w:t>United States Federal Government</w:t>
      </w:r>
    </w:p>
    <w:p w:rsidR="001769D1" w:rsidRDefault="001769D1" w:rsidP="001769D1">
      <w:pPr>
        <w:pStyle w:val="Heading3"/>
      </w:pPr>
      <w:r>
        <w:lastRenderedPageBreak/>
        <w:t>USFG – Definition</w:t>
      </w:r>
    </w:p>
    <w:p w:rsidR="001769D1" w:rsidRDefault="001769D1" w:rsidP="001769D1">
      <w:pPr>
        <w:pStyle w:val="Heading4"/>
      </w:pPr>
      <w:r>
        <w:t>The United States federal government is the three branches in Washington DC</w:t>
      </w:r>
    </w:p>
    <w:p w:rsidR="001769D1" w:rsidRDefault="001769D1" w:rsidP="001769D1">
      <w:pPr>
        <w:rPr>
          <w:rStyle w:val="Style13ptBold"/>
        </w:rPr>
      </w:pPr>
      <w:r>
        <w:rPr>
          <w:rStyle w:val="Style13ptBold"/>
        </w:rPr>
        <w:t>US Legal 17</w:t>
      </w:r>
    </w:p>
    <w:p w:rsidR="001769D1" w:rsidRPr="001769D1" w:rsidRDefault="001769D1" w:rsidP="001769D1">
      <w:pPr>
        <w:rPr>
          <w:rStyle w:val="Style13ptBold"/>
          <w:b w:val="0"/>
          <w:bCs w:val="0"/>
          <w:sz w:val="22"/>
        </w:rPr>
      </w:pPr>
      <w:r>
        <w:t>(“</w:t>
      </w:r>
      <w:r w:rsidRPr="001769D1">
        <w:t>United States Federal Government Law and Legal Definition</w:t>
      </w:r>
      <w:r>
        <w:t xml:space="preserve">,” </w:t>
      </w:r>
      <w:r w:rsidRPr="001769D1">
        <w:t>https://definitions.uslegal.com/u/united-states-federal-government/</w:t>
      </w:r>
      <w:r>
        <w:t>)</w:t>
      </w:r>
    </w:p>
    <w:p w:rsidR="001769D1" w:rsidRPr="001769D1" w:rsidRDefault="001769D1" w:rsidP="001769D1">
      <w:pPr>
        <w:rPr>
          <w:rStyle w:val="StyleUnderline"/>
        </w:rPr>
      </w:pPr>
      <w:r w:rsidRPr="001769D1">
        <w:t xml:space="preserve">The United States Federal Government is established by the US Constitution. </w:t>
      </w:r>
      <w:r w:rsidRPr="001769D1">
        <w:rPr>
          <w:rStyle w:val="StyleUnderline"/>
        </w:rPr>
        <w:t xml:space="preserve">The Federal Government shares sovereignty over the United Sates with the individual governments of the States of US. The Federal government has three branches: </w:t>
      </w:r>
      <w:proofErr w:type="spellStart"/>
      <w:r w:rsidRPr="001769D1">
        <w:rPr>
          <w:rStyle w:val="StyleUnderline"/>
        </w:rPr>
        <w:t>i</w:t>
      </w:r>
      <w:proofErr w:type="spellEnd"/>
      <w:r w:rsidRPr="001769D1">
        <w:rPr>
          <w:rStyle w:val="StyleUnderline"/>
        </w:rPr>
        <w:t>) the legislature, which is the US Congress, ii) Executive, comprised of the President and Vice president of the US and iii) Judiciary</w:t>
      </w:r>
      <w:r w:rsidRPr="001769D1">
        <w:t xml:space="preserve">. The US Constitution prescribes a system of separation of powers and ‘checks and balances’ for the smooth functioning of all the three branches of the Federal Government. </w:t>
      </w:r>
      <w:r w:rsidRPr="001769D1">
        <w:rPr>
          <w:rStyle w:val="StyleUnderline"/>
        </w:rPr>
        <w:t>The US Constitution limits the powers of the Federal Government to the powers assigned to it; all powers not expressly assigned to the Federal Government are reserved to the States or to the people.</w:t>
      </w:r>
    </w:p>
    <w:p w:rsidR="001769D1" w:rsidRDefault="0068775D" w:rsidP="0068775D">
      <w:pPr>
        <w:pStyle w:val="Heading3"/>
      </w:pPr>
      <w:r>
        <w:lastRenderedPageBreak/>
        <w:t>USFG – Definition XT</w:t>
      </w:r>
      <w:r>
        <w:br/>
      </w:r>
    </w:p>
    <w:p w:rsidR="0068775D" w:rsidRDefault="0068775D" w:rsidP="0068775D">
      <w:pPr>
        <w:pStyle w:val="Heading4"/>
      </w:pPr>
      <w:r>
        <w:t>The United States federal government refers to the actual government</w:t>
      </w:r>
    </w:p>
    <w:p w:rsidR="0068775D" w:rsidRDefault="0068775D" w:rsidP="0068775D">
      <w:pPr>
        <w:rPr>
          <w:rStyle w:val="Style13ptBold"/>
        </w:rPr>
      </w:pPr>
      <w:r>
        <w:rPr>
          <w:rStyle w:val="Style13ptBold"/>
        </w:rPr>
        <w:t>Black’s Law Dictionary 90</w:t>
      </w:r>
    </w:p>
    <w:p w:rsidR="0068775D" w:rsidRDefault="0068775D" w:rsidP="0068775D">
      <w:r>
        <w:t>6</w:t>
      </w:r>
      <w:r w:rsidRPr="00FD3D09">
        <w:rPr>
          <w:vertAlign w:val="superscript"/>
        </w:rPr>
        <w:t>th</w:t>
      </w:r>
      <w:r>
        <w:t xml:space="preserve"> Ed., p. 695</w:t>
      </w:r>
    </w:p>
    <w:p w:rsidR="0068775D" w:rsidRDefault="0068775D" w:rsidP="0068775D">
      <w:pPr>
        <w:pStyle w:val="card"/>
      </w:pPr>
      <w:r w:rsidRPr="00DD5E35">
        <w:rPr>
          <w:rStyle w:val="TitleChar"/>
          <w:highlight w:val="yellow"/>
        </w:rPr>
        <w:t>In the U</w:t>
      </w:r>
      <w:r w:rsidRPr="00FD3D09">
        <w:rPr>
          <w:rStyle w:val="TitleChar"/>
        </w:rPr>
        <w:t xml:space="preserve">nited </w:t>
      </w:r>
      <w:r w:rsidRPr="00DD5E35">
        <w:rPr>
          <w:rStyle w:val="TitleChar"/>
          <w:highlight w:val="yellow"/>
        </w:rPr>
        <w:t>S</w:t>
      </w:r>
      <w:r w:rsidRPr="00FD3D09">
        <w:rPr>
          <w:rStyle w:val="TitleChar"/>
        </w:rPr>
        <w:t xml:space="preserve">tates, </w:t>
      </w:r>
      <w:r w:rsidRPr="00DD5E35">
        <w:rPr>
          <w:rStyle w:val="TitleChar"/>
          <w:highlight w:val="yellow"/>
        </w:rPr>
        <w:t>government consists of the executive, legislative, and judicial branches in addition to administrative agencies</w:t>
      </w:r>
      <w:r>
        <w:t>.  In a broader sense, includes the federal government and all its agencies and bureaus, state and county governments, and city and township governments.</w:t>
      </w:r>
    </w:p>
    <w:p w:rsidR="0068775D" w:rsidRDefault="0068775D" w:rsidP="0068775D">
      <w:pPr>
        <w:pStyle w:val="Heading3"/>
      </w:pPr>
      <w:r>
        <w:lastRenderedPageBreak/>
        <w:t>USFG – Includes Agencies</w:t>
      </w:r>
    </w:p>
    <w:p w:rsidR="0068775D" w:rsidRPr="0068775D" w:rsidRDefault="0068775D" w:rsidP="0068775D"/>
    <w:p w:rsidR="00B91EA4" w:rsidRDefault="00B91EA4" w:rsidP="00B91EA4">
      <w:pPr>
        <w:pStyle w:val="Heading2"/>
      </w:pPr>
      <w:r>
        <w:lastRenderedPageBreak/>
        <w:t>Resolved</w:t>
      </w:r>
    </w:p>
    <w:p w:rsidR="00B91EA4" w:rsidRDefault="00B91EA4" w:rsidP="00B91EA4">
      <w:pPr>
        <w:pStyle w:val="Heading3"/>
      </w:pPr>
      <w:r>
        <w:lastRenderedPageBreak/>
        <w:t>Resolved – Certainty</w:t>
      </w:r>
    </w:p>
    <w:p w:rsidR="00B91EA4" w:rsidRDefault="007E3798" w:rsidP="00B91EA4">
      <w:pPr>
        <w:pStyle w:val="Heading4"/>
        <w:rPr>
          <w:rFonts w:asciiTheme="minorHAnsi" w:hAnsiTheme="minorHAnsi" w:cs="Times New Roman"/>
        </w:rPr>
      </w:pPr>
      <w:r>
        <w:rPr>
          <w:rFonts w:asciiTheme="minorHAnsi" w:hAnsiTheme="minorHAnsi" w:cs="Times New Roman"/>
        </w:rPr>
        <w:t>Resolved requires certainty</w:t>
      </w:r>
    </w:p>
    <w:p w:rsidR="00B91EA4" w:rsidRDefault="00B91EA4" w:rsidP="00B91EA4">
      <w:proofErr w:type="spellStart"/>
      <w:r>
        <w:rPr>
          <w:rStyle w:val="Style13ptBold"/>
        </w:rPr>
        <w:t>Websters</w:t>
      </w:r>
      <w:proofErr w:type="spellEnd"/>
      <w:r>
        <w:rPr>
          <w:rStyle w:val="Style13ptBold"/>
        </w:rPr>
        <w:t xml:space="preserve"> Revised Dictionary 1996</w:t>
      </w:r>
      <w:r>
        <w:t xml:space="preserve"> ((1.) </w:t>
      </w:r>
      <w:r w:rsidRPr="007E3798">
        <w:t>RESOLVED</w:t>
      </w:r>
      <w:r>
        <w:t xml:space="preserve"> MEANS “</w:t>
      </w:r>
      <w:r w:rsidRPr="007E3798">
        <w:t>HAVING A FIXED PURPOSE</w:t>
      </w:r>
      <w:r>
        <w:rPr>
          <w:highlight w:val="cyan"/>
        </w:rPr>
        <w:t>;</w:t>
      </w:r>
      <w:r>
        <w:t xml:space="preserve"> DETERMINED; RESOLUTE”) </w:t>
      </w:r>
    </w:p>
    <w:p w:rsidR="00B91EA4" w:rsidRPr="007E3798" w:rsidRDefault="00B91EA4" w:rsidP="007E3798">
      <w:pPr>
        <w:pStyle w:val="Heading3"/>
      </w:pPr>
      <w:r w:rsidRPr="007E3798">
        <w:lastRenderedPageBreak/>
        <w:t>Resolved – Policy</w:t>
      </w:r>
    </w:p>
    <w:p w:rsidR="00B91EA4" w:rsidRPr="00183FD1" w:rsidRDefault="00B91EA4" w:rsidP="00B91EA4">
      <w:pPr>
        <w:pStyle w:val="Heading4"/>
        <w:rPr>
          <w:rStyle w:val="cite"/>
          <w:rFonts w:cstheme="minorHAnsi"/>
          <w:b/>
        </w:rPr>
      </w:pPr>
      <w:r>
        <w:rPr>
          <w:rFonts w:cstheme="minorHAnsi"/>
        </w:rPr>
        <w:t>Resolved</w:t>
      </w:r>
      <w:r w:rsidRPr="00183FD1">
        <w:rPr>
          <w:rFonts w:cstheme="minorHAnsi"/>
        </w:rPr>
        <w:t xml:space="preserve"> denotes a proposal to be enacted by law </w:t>
      </w:r>
    </w:p>
    <w:p w:rsidR="00B91EA4" w:rsidRDefault="00B91EA4" w:rsidP="00B91EA4">
      <w:pPr>
        <w:rPr>
          <w:rFonts w:cstheme="minorHAnsi"/>
        </w:rPr>
      </w:pPr>
      <w:r w:rsidRPr="00183FD1">
        <w:rPr>
          <w:rStyle w:val="Style13ptBold"/>
          <w:rFonts w:cstheme="minorHAnsi"/>
        </w:rPr>
        <w:t>Words and Phrases 1964</w:t>
      </w:r>
      <w:r w:rsidRPr="00183FD1">
        <w:rPr>
          <w:rStyle w:val="cite"/>
          <w:rFonts w:cstheme="minorHAnsi"/>
        </w:rPr>
        <w:t xml:space="preserve"> </w:t>
      </w:r>
      <w:r w:rsidRPr="00183FD1">
        <w:rPr>
          <w:rFonts w:cstheme="minorHAnsi"/>
        </w:rPr>
        <w:t xml:space="preserve">Permanent Edition </w:t>
      </w:r>
    </w:p>
    <w:p w:rsidR="00B91EA4" w:rsidRPr="00183FD1" w:rsidRDefault="00B91EA4" w:rsidP="00B91EA4">
      <w:pPr>
        <w:pStyle w:val="card"/>
        <w:ind w:left="0"/>
        <w:rPr>
          <w:rFonts w:asciiTheme="minorHAnsi" w:hAnsiTheme="minorHAnsi" w:cstheme="minorHAnsi"/>
        </w:rPr>
      </w:pPr>
      <w:r w:rsidRPr="00183FD1">
        <w:rPr>
          <w:rFonts w:asciiTheme="minorHAnsi" w:hAnsiTheme="minorHAnsi" w:cstheme="minorHAnsi"/>
        </w:rPr>
        <w:t>Definition of the word “resolve,” given by Webster is “</w:t>
      </w:r>
      <w:r w:rsidRPr="00183FD1">
        <w:rPr>
          <w:rStyle w:val="StyleUnderline"/>
          <w:rFonts w:asciiTheme="minorHAnsi" w:hAnsiTheme="minorHAnsi" w:cstheme="minorHAnsi"/>
        </w:rPr>
        <w:t>to express an opinion or determination by resolution or vote; as ‘it was resolved by the legislature;</w:t>
      </w:r>
      <w:r w:rsidRPr="00183FD1">
        <w:rPr>
          <w:rFonts w:asciiTheme="minorHAnsi" w:hAnsiTheme="minorHAnsi" w:cstheme="minorHAnsi"/>
        </w:rPr>
        <w:t xml:space="preserve">” It is of </w:t>
      </w:r>
      <w:r w:rsidRPr="00183FD1">
        <w:rPr>
          <w:rStyle w:val="StyleUnderline"/>
          <w:rFonts w:asciiTheme="minorHAnsi" w:hAnsiTheme="minorHAnsi" w:cstheme="minorHAnsi"/>
        </w:rPr>
        <w:t>similar</w:t>
      </w:r>
      <w:r w:rsidRPr="00183FD1">
        <w:rPr>
          <w:rFonts w:asciiTheme="minorHAnsi" w:hAnsiTheme="minorHAnsi" w:cstheme="minorHAnsi"/>
        </w:rPr>
        <w:t xml:space="preserve"> force </w:t>
      </w:r>
      <w:r w:rsidRPr="00183FD1">
        <w:rPr>
          <w:rStyle w:val="underline"/>
          <w:rFonts w:asciiTheme="minorHAnsi" w:hAnsiTheme="minorHAnsi" w:cstheme="minorHAnsi"/>
        </w:rPr>
        <w:t>to the word “enact,”</w:t>
      </w:r>
      <w:r w:rsidRPr="00183FD1">
        <w:rPr>
          <w:rFonts w:asciiTheme="minorHAnsi" w:hAnsiTheme="minorHAnsi" w:cstheme="minorHAnsi"/>
        </w:rPr>
        <w:t xml:space="preserve"> which is </w:t>
      </w:r>
      <w:r w:rsidRPr="00183FD1">
        <w:rPr>
          <w:rStyle w:val="underline"/>
          <w:rFonts w:asciiTheme="minorHAnsi" w:hAnsiTheme="minorHAnsi" w:cstheme="minorHAnsi"/>
        </w:rPr>
        <w:t>defined</w:t>
      </w:r>
      <w:r w:rsidRPr="00183FD1">
        <w:rPr>
          <w:rFonts w:asciiTheme="minorHAnsi" w:hAnsiTheme="minorHAnsi" w:cstheme="minorHAnsi"/>
        </w:rPr>
        <w:t xml:space="preserve"> by </w:t>
      </w:r>
      <w:proofErr w:type="spellStart"/>
      <w:r w:rsidRPr="00183FD1">
        <w:rPr>
          <w:rFonts w:asciiTheme="minorHAnsi" w:hAnsiTheme="minorHAnsi" w:cstheme="minorHAnsi"/>
        </w:rPr>
        <w:t>Bouvier</w:t>
      </w:r>
      <w:proofErr w:type="spellEnd"/>
      <w:r w:rsidRPr="00183FD1">
        <w:rPr>
          <w:rFonts w:asciiTheme="minorHAnsi" w:hAnsiTheme="minorHAnsi" w:cstheme="minorHAnsi"/>
        </w:rPr>
        <w:t xml:space="preserve"> </w:t>
      </w:r>
      <w:r w:rsidRPr="00183FD1">
        <w:rPr>
          <w:rStyle w:val="underline"/>
          <w:rFonts w:asciiTheme="minorHAnsi" w:hAnsiTheme="minorHAnsi" w:cstheme="minorHAnsi"/>
        </w:rPr>
        <w:t>as</w:t>
      </w:r>
      <w:r w:rsidRPr="00183FD1">
        <w:rPr>
          <w:rFonts w:asciiTheme="minorHAnsi" w:hAnsiTheme="minorHAnsi" w:cstheme="minorHAnsi"/>
        </w:rPr>
        <w:t xml:space="preserve"> meaning “</w:t>
      </w:r>
      <w:r w:rsidRPr="00183FD1">
        <w:rPr>
          <w:rStyle w:val="underline"/>
          <w:rFonts w:asciiTheme="minorHAnsi" w:hAnsiTheme="minorHAnsi" w:cstheme="minorHAnsi"/>
        </w:rPr>
        <w:t>to establish by law</w:t>
      </w:r>
      <w:r w:rsidRPr="00183FD1">
        <w:rPr>
          <w:rFonts w:asciiTheme="minorHAnsi" w:hAnsiTheme="minorHAnsi" w:cstheme="minorHAnsi"/>
        </w:rPr>
        <w:t xml:space="preserve">”.  </w:t>
      </w:r>
    </w:p>
    <w:p w:rsidR="00B91EA4" w:rsidRDefault="00B91EA4" w:rsidP="00B91EA4">
      <w:pPr>
        <w:pStyle w:val="Heading3"/>
      </w:pPr>
      <w:r>
        <w:lastRenderedPageBreak/>
        <w:t>Resolved – Not Certain</w:t>
      </w:r>
    </w:p>
    <w:p w:rsidR="00B91EA4" w:rsidRPr="00D7044C" w:rsidRDefault="00B91EA4" w:rsidP="00B91EA4">
      <w:pPr>
        <w:pStyle w:val="Heading4"/>
      </w:pPr>
      <w:r>
        <w:t>Resolved</w:t>
      </w:r>
      <w:r w:rsidRPr="00D7044C">
        <w:t xml:space="preserve"> doesn’t require certainty</w:t>
      </w:r>
    </w:p>
    <w:p w:rsidR="00B91EA4" w:rsidRPr="00B3682E" w:rsidRDefault="00B91EA4" w:rsidP="00B91EA4">
      <w:r w:rsidRPr="00A801AD">
        <w:rPr>
          <w:rStyle w:val="Style13ptBold"/>
        </w:rPr>
        <w:t>Merriam Webster 2009</w:t>
      </w:r>
      <w:r>
        <w:t xml:space="preserve"> </w:t>
      </w:r>
      <w:r w:rsidRPr="00D7044C">
        <w:t>http://www.merriam-webster.com/dictionar</w:t>
      </w:r>
      <w:r>
        <w:t>y/resolved</w:t>
      </w:r>
    </w:p>
    <w:p w:rsidR="00B91EA4" w:rsidRDefault="00B91EA4" w:rsidP="00B91EA4">
      <w:pPr>
        <w:rPr>
          <w:sz w:val="16"/>
          <w:szCs w:val="18"/>
        </w:rPr>
      </w:pPr>
      <w:r w:rsidRPr="00D7044C">
        <w:rPr>
          <w:sz w:val="16"/>
          <w:szCs w:val="18"/>
        </w:rPr>
        <w:t># Main Entry: 1re·solve # Pronunciation: \</w:t>
      </w:r>
      <w:proofErr w:type="spellStart"/>
      <w:r w:rsidRPr="00D7044C">
        <w:rPr>
          <w:sz w:val="16"/>
          <w:szCs w:val="18"/>
        </w:rPr>
        <w:t>ri</w:t>
      </w:r>
      <w:proofErr w:type="spellEnd"/>
      <w:r w:rsidRPr="00D7044C">
        <w:rPr>
          <w:sz w:val="16"/>
          <w:szCs w:val="18"/>
        </w:rPr>
        <w:t>-ˈ</w:t>
      </w:r>
      <w:proofErr w:type="spellStart"/>
      <w:r w:rsidRPr="00D7044C">
        <w:rPr>
          <w:sz w:val="16"/>
          <w:szCs w:val="18"/>
        </w:rPr>
        <w:t>zälv</w:t>
      </w:r>
      <w:proofErr w:type="spellEnd"/>
      <w:r w:rsidRPr="00D7044C">
        <w:rPr>
          <w:sz w:val="16"/>
          <w:szCs w:val="18"/>
        </w:rPr>
        <w:t>, -ˈ</w:t>
      </w:r>
      <w:proofErr w:type="spellStart"/>
      <w:r w:rsidRPr="00D7044C">
        <w:rPr>
          <w:sz w:val="16"/>
          <w:szCs w:val="18"/>
        </w:rPr>
        <w:t>zo</w:t>
      </w:r>
      <w:r w:rsidRPr="00D7044C">
        <w:rPr>
          <w:rFonts w:ascii="Cambria Math" w:hAnsi="Cambria Math" w:cs="Cambria Math"/>
          <w:sz w:val="16"/>
          <w:szCs w:val="18"/>
        </w:rPr>
        <w:t>̇</w:t>
      </w:r>
      <w:r w:rsidRPr="00D7044C">
        <w:rPr>
          <w:sz w:val="16"/>
          <w:szCs w:val="18"/>
        </w:rPr>
        <w:t>lv</w:t>
      </w:r>
      <w:proofErr w:type="spellEnd"/>
      <w:r w:rsidRPr="00D7044C">
        <w:rPr>
          <w:sz w:val="16"/>
          <w:szCs w:val="18"/>
        </w:rPr>
        <w:t xml:space="preserve"> also -ˈ</w:t>
      </w:r>
      <w:proofErr w:type="spellStart"/>
      <w:r w:rsidRPr="00D7044C">
        <w:rPr>
          <w:sz w:val="16"/>
          <w:szCs w:val="18"/>
        </w:rPr>
        <w:t>zäv</w:t>
      </w:r>
      <w:proofErr w:type="spellEnd"/>
      <w:r w:rsidRPr="00D7044C">
        <w:rPr>
          <w:sz w:val="16"/>
          <w:szCs w:val="18"/>
        </w:rPr>
        <w:t xml:space="preserve"> or -ˈ</w:t>
      </w:r>
      <w:proofErr w:type="spellStart"/>
      <w:r w:rsidRPr="00D7044C">
        <w:rPr>
          <w:sz w:val="16"/>
          <w:szCs w:val="18"/>
        </w:rPr>
        <w:t>zo</w:t>
      </w:r>
      <w:r w:rsidRPr="00D7044C">
        <w:rPr>
          <w:rFonts w:ascii="Cambria Math" w:hAnsi="Cambria Math" w:cs="Cambria Math"/>
          <w:sz w:val="16"/>
          <w:szCs w:val="18"/>
        </w:rPr>
        <w:t>̇</w:t>
      </w:r>
      <w:r w:rsidRPr="00D7044C">
        <w:rPr>
          <w:sz w:val="16"/>
          <w:szCs w:val="18"/>
        </w:rPr>
        <w:t>v</w:t>
      </w:r>
      <w:proofErr w:type="spellEnd"/>
      <w:r w:rsidRPr="00D7044C">
        <w:rPr>
          <w:sz w:val="16"/>
          <w:szCs w:val="18"/>
        </w:rPr>
        <w:t xml:space="preserve">\ # Function: verb # Inflected Form(s): </w:t>
      </w:r>
      <w:proofErr w:type="spellStart"/>
      <w:r w:rsidRPr="00D7044C">
        <w:rPr>
          <w:rStyle w:val="StyleUnderline"/>
        </w:rPr>
        <w:t>re·solved</w:t>
      </w:r>
      <w:proofErr w:type="spellEnd"/>
      <w:r w:rsidRPr="00D7044C">
        <w:rPr>
          <w:sz w:val="16"/>
          <w:szCs w:val="18"/>
        </w:rPr>
        <w:t xml:space="preserve">; </w:t>
      </w:r>
      <w:proofErr w:type="spellStart"/>
      <w:r w:rsidRPr="00D7044C">
        <w:rPr>
          <w:sz w:val="16"/>
          <w:szCs w:val="18"/>
        </w:rPr>
        <w:t>re·solv·ing</w:t>
      </w:r>
      <w:proofErr w:type="spellEnd"/>
      <w:r w:rsidRPr="00D7044C">
        <w:rPr>
          <w:sz w:val="16"/>
          <w:szCs w:val="18"/>
        </w:rPr>
        <w:t xml:space="preserve"> 1 : to become separated into component parts; also : to become reduced by dissolving or analysis 2 : to form a resolution : determine 3 : </w:t>
      </w:r>
      <w:r w:rsidRPr="00D7044C">
        <w:rPr>
          <w:rStyle w:val="StyleUnderline"/>
        </w:rPr>
        <w:t>consult, deliberate</w:t>
      </w:r>
      <w:r w:rsidRPr="00D7044C">
        <w:rPr>
          <w:sz w:val="16"/>
          <w:szCs w:val="18"/>
        </w:rPr>
        <w:t xml:space="preserve"> </w:t>
      </w:r>
    </w:p>
    <w:p w:rsidR="003775C0" w:rsidRDefault="003775C0" w:rsidP="003775C0">
      <w:pPr>
        <w:pStyle w:val="Heading3"/>
      </w:pPr>
      <w:r>
        <w:lastRenderedPageBreak/>
        <w:t>Resolved – Law</w:t>
      </w:r>
    </w:p>
    <w:p w:rsidR="003775C0" w:rsidRPr="00160B42" w:rsidRDefault="003775C0" w:rsidP="003775C0">
      <w:pPr>
        <w:pStyle w:val="Heading4"/>
      </w:pPr>
      <w:r w:rsidRPr="00160B42">
        <w:t>Resolved means to express by formal vote</w:t>
      </w:r>
    </w:p>
    <w:p w:rsidR="003775C0" w:rsidRPr="00160B42" w:rsidRDefault="003775C0" w:rsidP="003775C0">
      <w:pPr>
        <w:rPr>
          <w:rStyle w:val="Style13ptBold"/>
        </w:rPr>
      </w:pPr>
      <w:r w:rsidRPr="00160B42">
        <w:rPr>
          <w:rStyle w:val="Style13ptBold"/>
        </w:rPr>
        <w:t>Webster’s 98</w:t>
      </w:r>
    </w:p>
    <w:p w:rsidR="003775C0" w:rsidRPr="00160B42" w:rsidRDefault="003775C0" w:rsidP="003775C0">
      <w:r w:rsidRPr="00160B42">
        <w:t>(Webster’s Revised Unabridged Dictionary, dictionary.com)</w:t>
      </w:r>
    </w:p>
    <w:p w:rsidR="003775C0" w:rsidRPr="00160B42" w:rsidRDefault="003775C0" w:rsidP="003775C0">
      <w:pPr>
        <w:rPr>
          <w:color w:val="000000"/>
        </w:rPr>
      </w:pPr>
      <w:r w:rsidRPr="00160B42">
        <w:rPr>
          <w:rStyle w:val="StyleUnderline"/>
        </w:rPr>
        <w:t>Resolved</w:t>
      </w:r>
      <w:r w:rsidRPr="00160B42">
        <w:rPr>
          <w:b/>
          <w:bCs/>
          <w:color w:val="000000"/>
        </w:rPr>
        <w:t>:</w:t>
      </w:r>
      <w:r w:rsidRPr="00160B42">
        <w:rPr>
          <w:b/>
          <w:bCs/>
          <w:color w:val="000000"/>
          <w:sz w:val="12"/>
        </w:rPr>
        <w:t xml:space="preserve">¶ </w:t>
      </w:r>
      <w:r w:rsidRPr="00160B42">
        <w:rPr>
          <w:color w:val="000000"/>
        </w:rPr>
        <w:t xml:space="preserve">5. </w:t>
      </w:r>
      <w:r w:rsidRPr="00160B42">
        <w:rPr>
          <w:rStyle w:val="StyleUnderline"/>
        </w:rPr>
        <w:t>To express, as an opinion or determination, by resolution and vote; to declare or decide by a formal vote; -- followed by a clause</w:t>
      </w:r>
      <w:r w:rsidRPr="00160B42">
        <w:rPr>
          <w:color w:val="000000"/>
        </w:rPr>
        <w:t xml:space="preserve">; as, the house resolved (or, it was resolved by the house) that no money should be </w:t>
      </w:r>
      <w:proofErr w:type="spellStart"/>
      <w:r w:rsidRPr="00160B42">
        <w:rPr>
          <w:color w:val="000000"/>
        </w:rPr>
        <w:t>apropriated</w:t>
      </w:r>
      <w:proofErr w:type="spellEnd"/>
      <w:r w:rsidRPr="00160B42">
        <w:rPr>
          <w:color w:val="000000"/>
        </w:rPr>
        <w:t xml:space="preserve"> (or, to appropriate no money).</w:t>
      </w:r>
    </w:p>
    <w:p w:rsidR="003775C0" w:rsidRPr="00160B42" w:rsidRDefault="003775C0" w:rsidP="003775C0">
      <w:pPr>
        <w:pStyle w:val="Heading4"/>
      </w:pPr>
      <w:r w:rsidRPr="00160B42">
        <w:t xml:space="preserve">‘Resolved’ denotes a proposal to be enacted by law </w:t>
      </w:r>
    </w:p>
    <w:p w:rsidR="003775C0" w:rsidRPr="00160B42" w:rsidRDefault="003775C0" w:rsidP="003775C0">
      <w:r w:rsidRPr="00160B42">
        <w:rPr>
          <w:rStyle w:val="Style13ptBold"/>
        </w:rPr>
        <w:t>Words and Phrases 64</w:t>
      </w:r>
      <w:r w:rsidRPr="00160B42">
        <w:t xml:space="preserve"> </w:t>
      </w:r>
    </w:p>
    <w:p w:rsidR="003775C0" w:rsidRPr="00160B42" w:rsidRDefault="003775C0" w:rsidP="003775C0">
      <w:pPr>
        <w:rPr>
          <w:rStyle w:val="underline"/>
        </w:rPr>
      </w:pPr>
      <w:r w:rsidRPr="00160B42">
        <w:t>(Permanent Edition)</w:t>
      </w:r>
    </w:p>
    <w:p w:rsidR="003775C0" w:rsidRPr="00160B42" w:rsidRDefault="003775C0" w:rsidP="003775C0">
      <w:r w:rsidRPr="00160B42">
        <w:rPr>
          <w:rStyle w:val="StyleUnderline"/>
        </w:rPr>
        <w:t>Definition of the word “resolve,</w:t>
      </w:r>
      <w:r w:rsidRPr="00160B42">
        <w:t xml:space="preserve">” given by Webster </w:t>
      </w:r>
      <w:r w:rsidRPr="00160B42">
        <w:rPr>
          <w:rStyle w:val="StyleUnderline"/>
        </w:rPr>
        <w:t>is “to express an opinion or determination by resolution or vote; as ‘it was resolved by the legislature;” It is of similar force to the word “enact,” which is defined</w:t>
      </w:r>
      <w:r w:rsidRPr="00160B42">
        <w:t xml:space="preserve"> by </w:t>
      </w:r>
      <w:proofErr w:type="spellStart"/>
      <w:r w:rsidRPr="00160B42">
        <w:t>Bouvier</w:t>
      </w:r>
      <w:proofErr w:type="spellEnd"/>
      <w:r w:rsidRPr="00160B42">
        <w:t xml:space="preserve"> </w:t>
      </w:r>
      <w:r w:rsidRPr="00160B42">
        <w:rPr>
          <w:rStyle w:val="StyleUnderline"/>
        </w:rPr>
        <w:t>as meaning “to establish by law”</w:t>
      </w:r>
      <w:r w:rsidRPr="00160B42">
        <w:t xml:space="preserve">.  </w:t>
      </w:r>
    </w:p>
    <w:p w:rsidR="003775C0" w:rsidRPr="003775C0" w:rsidRDefault="003775C0" w:rsidP="003775C0"/>
    <w:p w:rsidR="00B91EA4" w:rsidRDefault="00B91EA4" w:rsidP="00B91EA4">
      <w:pPr>
        <w:pStyle w:val="Heading3"/>
      </w:pPr>
      <w:r>
        <w:lastRenderedPageBreak/>
        <w:t>Resolved – Not Immediate</w:t>
      </w:r>
    </w:p>
    <w:p w:rsidR="00B91EA4" w:rsidRPr="00A90B3C" w:rsidRDefault="00B91EA4" w:rsidP="00B91EA4">
      <w:pPr>
        <w:pStyle w:val="Heading4"/>
      </w:pPr>
      <w:r>
        <w:t>Resolved doesn’t require immediacy</w:t>
      </w:r>
    </w:p>
    <w:p w:rsidR="00B91EA4" w:rsidRPr="00D7044C" w:rsidRDefault="00B91EA4" w:rsidP="00B91EA4">
      <w:pPr>
        <w:rPr>
          <w:b/>
          <w:sz w:val="18"/>
          <w:szCs w:val="18"/>
        </w:rPr>
      </w:pPr>
      <w:r w:rsidRPr="00A90B3C">
        <w:rPr>
          <w:rStyle w:val="Style13ptBold"/>
        </w:rPr>
        <w:t>Online Plain Text English Dictionary 2009</w:t>
      </w:r>
      <w:r>
        <w:rPr>
          <w:rStyle w:val="Style13ptBold"/>
        </w:rPr>
        <w:t xml:space="preserve"> </w:t>
      </w:r>
      <w:r w:rsidRPr="00D7044C">
        <w:t>http://www.onelo</w:t>
      </w:r>
      <w:r>
        <w:t>ok.com/?other=web1913&amp;w=Resolve</w:t>
      </w:r>
    </w:p>
    <w:p w:rsidR="00B91EA4" w:rsidRPr="00A90B3C" w:rsidRDefault="00B91EA4" w:rsidP="00B91EA4">
      <w:pPr>
        <w:rPr>
          <w:sz w:val="16"/>
        </w:rPr>
      </w:pPr>
      <w:r w:rsidRPr="00D7044C">
        <w:rPr>
          <w:rStyle w:val="StyleUnderline"/>
        </w:rPr>
        <w:t>Resolve</w:t>
      </w:r>
      <w:r w:rsidRPr="00D7044C">
        <w:rPr>
          <w:sz w:val="16"/>
        </w:rPr>
        <w:t xml:space="preserve">: “To form a purpose; to make a decision; especially, </w:t>
      </w:r>
      <w:r w:rsidRPr="00D7044C">
        <w:rPr>
          <w:rStyle w:val="StyleUnderline"/>
        </w:rPr>
        <w:t>to determine after reflection</w:t>
      </w:r>
      <w:r w:rsidRPr="00D7044C">
        <w:rPr>
          <w:sz w:val="16"/>
        </w:rPr>
        <w:t xml:space="preserve">; as, to resolve on a better course of life.” </w:t>
      </w:r>
    </w:p>
    <w:p w:rsidR="00B91EA4" w:rsidRPr="00B91EA4" w:rsidRDefault="00B91EA4" w:rsidP="00B91EA4"/>
    <w:p w:rsidR="00B91EA4" w:rsidRDefault="00B91EA4" w:rsidP="00B91EA4">
      <w:pPr>
        <w:pStyle w:val="Heading2"/>
      </w:pPr>
      <w:r>
        <w:lastRenderedPageBreak/>
        <w:t>Should</w:t>
      </w:r>
    </w:p>
    <w:p w:rsidR="00B91EA4" w:rsidRDefault="00B91EA4" w:rsidP="00B91EA4">
      <w:pPr>
        <w:pStyle w:val="Heading3"/>
      </w:pPr>
      <w:r>
        <w:lastRenderedPageBreak/>
        <w:t>Should – Certainty</w:t>
      </w:r>
    </w:p>
    <w:p w:rsidR="00B91EA4" w:rsidRPr="00567D47" w:rsidRDefault="00B91EA4" w:rsidP="00B91EA4">
      <w:pPr>
        <w:pStyle w:val="Heading4"/>
      </w:pPr>
      <w:r w:rsidRPr="00D90E8F">
        <w:rPr>
          <w:u w:val="single"/>
        </w:rPr>
        <w:t>Should</w:t>
      </w:r>
      <w:r w:rsidRPr="00567D47">
        <w:t xml:space="preserve"> r</w:t>
      </w:r>
      <w:r>
        <w:t>equires immediacy and certainty</w:t>
      </w:r>
    </w:p>
    <w:p w:rsidR="007960A1" w:rsidRDefault="00B91EA4" w:rsidP="00B91EA4">
      <w:pPr>
        <w:contextualSpacing/>
        <w:rPr>
          <w:rStyle w:val="Style13ptBold"/>
          <w:rFonts w:eastAsia="Times New Roman"/>
        </w:rPr>
      </w:pPr>
      <w:r w:rsidRPr="00AF1EFF">
        <w:rPr>
          <w:rStyle w:val="Style13ptBold"/>
          <w:rFonts w:eastAsia="Times New Roman"/>
        </w:rPr>
        <w:t>Summers 94</w:t>
      </w:r>
      <w:r w:rsidR="007960A1">
        <w:rPr>
          <w:rStyle w:val="Style13ptBold"/>
          <w:rFonts w:eastAsia="Times New Roman"/>
        </w:rPr>
        <w:t xml:space="preserve"> </w:t>
      </w:r>
    </w:p>
    <w:p w:rsidR="00B91EA4" w:rsidRDefault="00B91EA4" w:rsidP="00B91EA4">
      <w:pPr>
        <w:contextualSpacing/>
      </w:pPr>
      <w:r w:rsidRPr="00CA7914">
        <w:t xml:space="preserve"> (Justice – Oklahoma Supreme Court, “Kelsey v. </w:t>
      </w:r>
      <w:proofErr w:type="spellStart"/>
      <w:r w:rsidRPr="00CA7914">
        <w:t>Dollarsaver</w:t>
      </w:r>
      <w:proofErr w:type="spellEnd"/>
      <w:r w:rsidRPr="00CA7914">
        <w:t xml:space="preserve"> Food Warehouse of Durant”, 1994 OK 123</w:t>
      </w:r>
      <w:r>
        <w:t xml:space="preserve">, 11-8, </w:t>
      </w:r>
      <w:r w:rsidRPr="00CA7914">
        <w:t>http://www.oscn.net/applications/oscn/DeliverDocument.asp?CiteID=20287#marker3fn13</w:t>
      </w:r>
      <w:r>
        <w:t>)</w:t>
      </w:r>
    </w:p>
    <w:p w:rsidR="00B91EA4" w:rsidRPr="00F96E24" w:rsidRDefault="00B91EA4" w:rsidP="00B91EA4">
      <w:pPr>
        <w:rPr>
          <w:sz w:val="16"/>
        </w:rPr>
      </w:pPr>
      <w:r w:rsidRPr="00F96E24">
        <w:rPr>
          <w:sz w:val="12"/>
        </w:rPr>
        <w:t>¶</w:t>
      </w:r>
      <w:r w:rsidRPr="00F96E24">
        <w:rPr>
          <w:sz w:val="16"/>
        </w:rPr>
        <w:t xml:space="preserve">4 </w:t>
      </w:r>
      <w:r w:rsidRPr="00AF1EFF">
        <w:rPr>
          <w:rStyle w:val="TitleChar"/>
          <w:rFonts w:eastAsia="Times New Roman"/>
        </w:rPr>
        <w:t>The legal question to be resolved by the court is whether the word "should"</w:t>
      </w:r>
      <w:hyperlink r:id="rId6" w:anchor="marker3fn13" w:history="1">
        <w:r w:rsidRPr="00F96E24">
          <w:rPr>
            <w:sz w:val="16"/>
          </w:rPr>
          <w:t>13</w:t>
        </w:r>
      </w:hyperlink>
      <w:r w:rsidRPr="00F96E24">
        <w:rPr>
          <w:sz w:val="16"/>
        </w:rPr>
        <w:t xml:space="preserve"> in the May 18 order connotes futurity or </w:t>
      </w:r>
      <w:r w:rsidRPr="00AF1EFF">
        <w:rPr>
          <w:rStyle w:val="TitleChar"/>
          <w:rFonts w:eastAsia="Times New Roman"/>
        </w:rPr>
        <w:t xml:space="preserve">may be deemed a ruling </w:t>
      </w:r>
      <w:r w:rsidRPr="00AF1EFF">
        <w:rPr>
          <w:rStyle w:val="TitleChar"/>
          <w:rFonts w:eastAsia="Times New Roman"/>
          <w:i/>
        </w:rPr>
        <w:t>in praesenti</w:t>
      </w:r>
      <w:r w:rsidRPr="00F96E24">
        <w:rPr>
          <w:sz w:val="16"/>
        </w:rPr>
        <w:t>.</w:t>
      </w:r>
      <w:hyperlink r:id="rId7" w:anchor="marker3fn14" w:history="1">
        <w:r w:rsidRPr="00F96E24">
          <w:rPr>
            <w:sz w:val="16"/>
          </w:rPr>
          <w:t>14</w:t>
        </w:r>
      </w:hyperlink>
      <w:r w:rsidRPr="00F96E24">
        <w:rPr>
          <w:sz w:val="16"/>
        </w:rPr>
        <w:t xml:space="preserve"> The answer to this query is not to be divined from rules of grammar;</w:t>
      </w:r>
      <w:hyperlink r:id="rId8" w:anchor="marker3fn15" w:history="1">
        <w:r w:rsidRPr="00F96E24">
          <w:rPr>
            <w:sz w:val="16"/>
          </w:rPr>
          <w:t>15</w:t>
        </w:r>
      </w:hyperlink>
      <w:r w:rsidRPr="00F96E24">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F96E24">
        <w:rPr>
          <w:sz w:val="16"/>
        </w:rPr>
        <w:t>futuro</w:t>
      </w:r>
      <w:proofErr w:type="spellEnd"/>
      <w:r w:rsidRPr="00F96E24">
        <w:rPr>
          <w:sz w:val="16"/>
        </w:rPr>
        <w:t xml:space="preserve"> ruling - i.e., an expression of what the judge will or would do at a later stage - or (2) constitutes an in in </w:t>
      </w:r>
      <w:proofErr w:type="spellStart"/>
      <w:r w:rsidRPr="00F96E24">
        <w:rPr>
          <w:sz w:val="16"/>
        </w:rPr>
        <w:t>praesenti</w:t>
      </w:r>
      <w:proofErr w:type="spellEnd"/>
      <w:r w:rsidRPr="00F96E24">
        <w:rPr>
          <w:sz w:val="16"/>
        </w:rPr>
        <w:t xml:space="preserve"> resolution of a disputed law issue, the trial judge's intent must be garnered from the four corners of the entire record.</w:t>
      </w:r>
      <w:hyperlink r:id="rId9" w:anchor="marker3fn16" w:history="1">
        <w:r w:rsidRPr="00F96E24">
          <w:rPr>
            <w:sz w:val="16"/>
          </w:rPr>
          <w:t xml:space="preserve">16 </w:t>
        </w:r>
      </w:hyperlink>
      <w:r w:rsidRPr="00F96E24">
        <w:rPr>
          <w:sz w:val="16"/>
        </w:rPr>
        <w:t xml:space="preserve"> [CONTINUES – TO FOOTNOTE] </w:t>
      </w:r>
      <w:hyperlink r:id="rId10" w:anchor="marker2fn13" w:history="1">
        <w:r w:rsidRPr="00F96E24">
          <w:rPr>
            <w:sz w:val="16"/>
          </w:rPr>
          <w:t>13</w:t>
        </w:r>
      </w:hyperlink>
      <w:r w:rsidRPr="00F96E24">
        <w:rPr>
          <w:sz w:val="16"/>
        </w:rPr>
        <w:t xml:space="preserve"> "</w:t>
      </w:r>
      <w:r w:rsidRPr="00F96E24">
        <w:rPr>
          <w:i/>
          <w:iCs/>
          <w:sz w:val="16"/>
        </w:rPr>
        <w:t>Should</w:t>
      </w:r>
      <w:r w:rsidRPr="00F96E24">
        <w:rPr>
          <w:sz w:val="16"/>
        </w:rPr>
        <w:t xml:space="preserve">" not only is used as a "present indicative" synonymous with </w:t>
      </w:r>
      <w:r w:rsidRPr="00F96E24">
        <w:rPr>
          <w:i/>
          <w:iCs/>
          <w:sz w:val="16"/>
        </w:rPr>
        <w:t>ought</w:t>
      </w:r>
      <w:r w:rsidRPr="00F96E24">
        <w:rPr>
          <w:sz w:val="16"/>
        </w:rPr>
        <w:t xml:space="preserve"> but also is the past tense of "shall" with various shades of meaning not always easy to analyze. See 57 C.J. Shall § 9, Judgments § 121 (1932). O. JESPERSEN, GROWTH AND </w:t>
      </w:r>
      <w:r w:rsidRPr="00D90E8F">
        <w:rPr>
          <w:sz w:val="16"/>
        </w:rPr>
        <w:t xml:space="preserve">STRUCTURE OF THE ENGLISH LANGUAGE (1984); St. Louis &amp; S.F.R. Co. v. Brown, 45 </w:t>
      </w:r>
      <w:proofErr w:type="spellStart"/>
      <w:r w:rsidRPr="00D90E8F">
        <w:rPr>
          <w:sz w:val="16"/>
        </w:rPr>
        <w:t>Okl</w:t>
      </w:r>
      <w:proofErr w:type="spellEnd"/>
      <w:r w:rsidRPr="00D90E8F">
        <w:rPr>
          <w:sz w:val="16"/>
        </w:rPr>
        <w:t xml:space="preserve">. 143, 144 P. 1075, 1080-81 (1914). For a more detailed explanation, see the Partridge quotation infra note 15. </w:t>
      </w:r>
      <w:r w:rsidRPr="00D90E8F">
        <w:rPr>
          <w:rStyle w:val="TitleChar"/>
          <w:rFonts w:eastAsia="Times New Roman"/>
        </w:rPr>
        <w:t xml:space="preserve">Certain contexts mandate a construction of the term "should" as </w:t>
      </w:r>
      <w:r w:rsidRPr="00D90E8F">
        <w:rPr>
          <w:rStyle w:val="TitleChar"/>
        </w:rPr>
        <w:t>more</w:t>
      </w:r>
      <w:r w:rsidRPr="00D90E8F">
        <w:rPr>
          <w:rStyle w:val="TitleChar"/>
          <w:rFonts w:eastAsia="Times New Roman"/>
        </w:rPr>
        <w:t xml:space="preserve"> than merely indicating</w:t>
      </w:r>
      <w:r w:rsidRPr="00D90E8F">
        <w:rPr>
          <w:sz w:val="16"/>
        </w:rPr>
        <w:t xml:space="preserve"> preference or </w:t>
      </w:r>
      <w:r w:rsidRPr="00D90E8F">
        <w:rPr>
          <w:rStyle w:val="TitleChar"/>
          <w:rFonts w:eastAsia="Times New Roman"/>
        </w:rPr>
        <w:t>desirability</w:t>
      </w:r>
      <w:r w:rsidRPr="00D90E8F">
        <w:rPr>
          <w:sz w:val="16"/>
        </w:rPr>
        <w:t>. Brown, s</w:t>
      </w:r>
      <w:r w:rsidRPr="00F96E24">
        <w:rPr>
          <w:sz w:val="16"/>
        </w:rPr>
        <w:t xml:space="preserve">upra at 1080-81 (jury instructions stating that jurors "should" reduce the amount of damages in proportion to the amount of contributory negligence of the plaintiff was held to imply an </w:t>
      </w:r>
      <w:r w:rsidRPr="00F96E24">
        <w:rPr>
          <w:i/>
          <w:iCs/>
          <w:sz w:val="16"/>
        </w:rPr>
        <w:t>obligation</w:t>
      </w:r>
      <w:r w:rsidRPr="00F96E24">
        <w:rPr>
          <w:sz w:val="16"/>
        </w:rPr>
        <w:t xml:space="preserve"> </w:t>
      </w:r>
      <w:r w:rsidRPr="00F96E24">
        <w:rPr>
          <w:i/>
          <w:iCs/>
          <w:sz w:val="16"/>
        </w:rPr>
        <w:t>and to be more than advisory</w:t>
      </w:r>
      <w:r w:rsidRPr="00F96E24">
        <w:rPr>
          <w:sz w:val="16"/>
        </w:rPr>
        <w:t xml:space="preserve">); </w:t>
      </w:r>
      <w:proofErr w:type="spellStart"/>
      <w:r w:rsidRPr="00F96E24">
        <w:rPr>
          <w:sz w:val="16"/>
        </w:rPr>
        <w:t>Carrigan</w:t>
      </w:r>
      <w:proofErr w:type="spellEnd"/>
      <w:r w:rsidRPr="00F96E24">
        <w:rPr>
          <w:sz w:val="16"/>
        </w:rPr>
        <w:t xml:space="preserve"> v. California Horse Racing Board, 60 Wash. App. 79, </w:t>
      </w:r>
      <w:hyperlink r:id="rId11" w:history="1">
        <w:r w:rsidRPr="00F96E24">
          <w:rPr>
            <w:sz w:val="16"/>
          </w:rPr>
          <w:t>802 P.2d 813</w:t>
        </w:r>
      </w:hyperlink>
      <w:r w:rsidRPr="00F96E24">
        <w:rPr>
          <w:sz w:val="16"/>
        </w:rPr>
        <w:t xml:space="preserve"> (1990) (one of the Rules of Appellate Procedure requiring that a party "should devote a section of the brief to the request for the fee or expenses" was interpreted to mean that a party is under an </w:t>
      </w:r>
      <w:r w:rsidRPr="00F96E24">
        <w:rPr>
          <w:i/>
          <w:iCs/>
          <w:sz w:val="16"/>
        </w:rPr>
        <w:t>obligation</w:t>
      </w:r>
      <w:r w:rsidRPr="00F96E24">
        <w:rPr>
          <w:sz w:val="16"/>
        </w:rPr>
        <w:t xml:space="preserve"> to include the requested segment); State v. Rack, 318 S.W.2d 211, 215 (Mo. 1958) </w:t>
      </w:r>
      <w:r w:rsidRPr="00AF1EFF">
        <w:rPr>
          <w:rStyle w:val="TitleChar"/>
          <w:rFonts w:eastAsia="Times New Roman"/>
        </w:rPr>
        <w:t>(</w:t>
      </w:r>
      <w:r w:rsidRPr="00B5211C">
        <w:rPr>
          <w:rStyle w:val="TitleChar"/>
          <w:rFonts w:eastAsia="Times New Roman"/>
          <w:highlight w:val="yellow"/>
        </w:rPr>
        <w:t>"should" would mean</w:t>
      </w:r>
      <w:r w:rsidRPr="00AF1EFF">
        <w:rPr>
          <w:rStyle w:val="TitleChar"/>
          <w:rFonts w:eastAsia="Times New Roman"/>
        </w:rPr>
        <w:t xml:space="preserve"> the same as</w:t>
      </w:r>
      <w:r w:rsidRPr="00F96E24">
        <w:rPr>
          <w:sz w:val="16"/>
        </w:rPr>
        <w:t xml:space="preserve"> "shall" or </w:t>
      </w:r>
      <w:r w:rsidRPr="00B5211C">
        <w:rPr>
          <w:rStyle w:val="TitleChar"/>
          <w:rFonts w:eastAsia="Times New Roman"/>
          <w:highlight w:val="yellow"/>
        </w:rPr>
        <w:t>"must"</w:t>
      </w:r>
      <w:r w:rsidRPr="00A67EED">
        <w:rPr>
          <w:rStyle w:val="TitleChar"/>
        </w:rPr>
        <w:t xml:space="preserve"> </w:t>
      </w:r>
      <w:r w:rsidRPr="00F96E24">
        <w:rPr>
          <w:sz w:val="16"/>
        </w:rPr>
        <w:t xml:space="preserve">when used in an instruction to the jury which tells the triers they "should disregard false testimony"). </w:t>
      </w:r>
      <w:hyperlink r:id="rId12" w:anchor="marker2fn14" w:history="1">
        <w:r w:rsidRPr="00F96E24">
          <w:rPr>
            <w:sz w:val="16"/>
          </w:rPr>
          <w:t>14</w:t>
        </w:r>
      </w:hyperlink>
      <w:r w:rsidRPr="00F96E24">
        <w:rPr>
          <w:sz w:val="16"/>
        </w:rPr>
        <w:t xml:space="preserve"> </w:t>
      </w:r>
      <w:r w:rsidRPr="00AF1EFF">
        <w:rPr>
          <w:rStyle w:val="TitleChar"/>
          <w:rFonts w:eastAsia="Times New Roman"/>
          <w:i/>
        </w:rPr>
        <w:t xml:space="preserve">In </w:t>
      </w:r>
      <w:proofErr w:type="spellStart"/>
      <w:r w:rsidRPr="00AF1EFF">
        <w:rPr>
          <w:rStyle w:val="TitleChar"/>
          <w:rFonts w:eastAsia="Times New Roman"/>
          <w:i/>
        </w:rPr>
        <w:t>praesenti</w:t>
      </w:r>
      <w:proofErr w:type="spellEnd"/>
      <w:r w:rsidRPr="004E580A">
        <w:rPr>
          <w:rStyle w:val="Heading3Char"/>
          <w:rFonts w:eastAsia="Calibri"/>
          <w:color w:val="FF0000"/>
          <w:sz w:val="16"/>
        </w:rPr>
        <w:t xml:space="preserve"> </w:t>
      </w:r>
      <w:r w:rsidRPr="00AF1EFF">
        <w:rPr>
          <w:rStyle w:val="TitleChar"/>
          <w:rFonts w:eastAsia="Times New Roman"/>
        </w:rPr>
        <w:t>means literally "at the present time."</w:t>
      </w:r>
      <w:r w:rsidRPr="00F96E24">
        <w:rPr>
          <w:sz w:val="16"/>
        </w:rPr>
        <w:t xml:space="preserve"> BLACK'S LAW DICTIONARY 792 (6th Ed. 1990). In legal parlance </w:t>
      </w:r>
      <w:r w:rsidRPr="00B5211C">
        <w:rPr>
          <w:rStyle w:val="TitleChar"/>
          <w:rFonts w:eastAsia="Times New Roman"/>
          <w:highlight w:val="yellow"/>
        </w:rPr>
        <w:t>the phrase denotes</w:t>
      </w:r>
      <w:r w:rsidRPr="00F96E24">
        <w:rPr>
          <w:sz w:val="16"/>
        </w:rPr>
        <w:t xml:space="preserve"> that which in </w:t>
      </w:r>
      <w:r w:rsidRPr="00B5211C">
        <w:rPr>
          <w:rStyle w:val="TitleChar"/>
          <w:rFonts w:eastAsia="Times New Roman"/>
          <w:highlight w:val="yellow"/>
        </w:rPr>
        <w:t>law is</w:t>
      </w:r>
      <w:r w:rsidRPr="00F96E24">
        <w:rPr>
          <w:sz w:val="16"/>
        </w:rPr>
        <w:t xml:space="preserve"> </w:t>
      </w:r>
      <w:r w:rsidRPr="00F96E24">
        <w:rPr>
          <w:i/>
          <w:iCs/>
          <w:sz w:val="16"/>
        </w:rPr>
        <w:t>presently</w:t>
      </w:r>
      <w:r w:rsidRPr="00F96E24">
        <w:rPr>
          <w:sz w:val="16"/>
        </w:rPr>
        <w:t xml:space="preserve"> or </w:t>
      </w:r>
      <w:r w:rsidRPr="00B44310">
        <w:rPr>
          <w:rStyle w:val="Emphasis"/>
          <w:highlight w:val="yellow"/>
        </w:rPr>
        <w:t>immediately effective</w:t>
      </w:r>
      <w:r w:rsidRPr="00F36A10">
        <w:rPr>
          <w:rStyle w:val="TitleChar"/>
        </w:rPr>
        <w:t xml:space="preserve">, </w:t>
      </w:r>
      <w:r w:rsidRPr="00AF1EFF">
        <w:rPr>
          <w:rStyle w:val="TitleChar"/>
          <w:rFonts w:eastAsia="Times New Roman"/>
        </w:rPr>
        <w:t xml:space="preserve">as </w:t>
      </w:r>
      <w:r w:rsidRPr="00B5211C">
        <w:rPr>
          <w:rStyle w:val="TitleChar"/>
          <w:rFonts w:eastAsia="Times New Roman"/>
          <w:highlight w:val="yellow"/>
        </w:rPr>
        <w:t>opposed to</w:t>
      </w:r>
      <w:r w:rsidRPr="00AF1EFF">
        <w:rPr>
          <w:rStyle w:val="TitleChar"/>
          <w:rFonts w:eastAsia="Times New Roman"/>
        </w:rPr>
        <w:t xml:space="preserve"> something that</w:t>
      </w:r>
      <w:r w:rsidRPr="00F36A10">
        <w:rPr>
          <w:rStyle w:val="TitleChar"/>
        </w:rPr>
        <w:t xml:space="preserve"> </w:t>
      </w:r>
      <w:r w:rsidRPr="00AF1EFF">
        <w:rPr>
          <w:rStyle w:val="TitleChar"/>
          <w:rFonts w:eastAsia="Times New Roman"/>
          <w:i/>
        </w:rPr>
        <w:t>will</w:t>
      </w:r>
      <w:r w:rsidRPr="00F96E24">
        <w:rPr>
          <w:sz w:val="16"/>
        </w:rPr>
        <w:t xml:space="preserve"> or </w:t>
      </w:r>
      <w:r w:rsidRPr="00F96E24">
        <w:rPr>
          <w:i/>
          <w:iCs/>
          <w:sz w:val="16"/>
        </w:rPr>
        <w:t>would</w:t>
      </w:r>
      <w:r w:rsidRPr="00F96E24">
        <w:rPr>
          <w:sz w:val="16"/>
        </w:rPr>
        <w:t xml:space="preserve"> </w:t>
      </w:r>
      <w:r w:rsidRPr="00AF1EFF">
        <w:rPr>
          <w:rStyle w:val="TitleChar"/>
          <w:rFonts w:eastAsia="Times New Roman"/>
        </w:rPr>
        <w:t xml:space="preserve">become effective </w:t>
      </w:r>
      <w:r w:rsidRPr="00901985">
        <w:rPr>
          <w:rStyle w:val="TitleChar"/>
          <w:highlight w:val="yellow"/>
        </w:rPr>
        <w:t xml:space="preserve">in the future </w:t>
      </w:r>
      <w:r w:rsidRPr="00F96E24">
        <w:rPr>
          <w:i/>
          <w:iCs/>
          <w:sz w:val="16"/>
        </w:rPr>
        <w:t xml:space="preserve">[in </w:t>
      </w:r>
      <w:proofErr w:type="spellStart"/>
      <w:r w:rsidRPr="00F96E24">
        <w:rPr>
          <w:i/>
          <w:iCs/>
          <w:sz w:val="16"/>
        </w:rPr>
        <w:t>futurol</w:t>
      </w:r>
      <w:proofErr w:type="spellEnd"/>
      <w:r w:rsidRPr="00F96E24">
        <w:rPr>
          <w:sz w:val="16"/>
        </w:rPr>
        <w:t xml:space="preserve">]. See Van </w:t>
      </w:r>
      <w:proofErr w:type="spellStart"/>
      <w:r w:rsidRPr="00F96E24">
        <w:rPr>
          <w:sz w:val="16"/>
        </w:rPr>
        <w:t>Wyck</w:t>
      </w:r>
      <w:proofErr w:type="spellEnd"/>
      <w:r w:rsidRPr="00F96E24">
        <w:rPr>
          <w:sz w:val="16"/>
        </w:rPr>
        <w:t xml:space="preserve"> v. </w:t>
      </w:r>
      <w:proofErr w:type="spellStart"/>
      <w:r w:rsidRPr="00F96E24">
        <w:rPr>
          <w:sz w:val="16"/>
        </w:rPr>
        <w:t>Knevals</w:t>
      </w:r>
      <w:proofErr w:type="spellEnd"/>
      <w:r w:rsidRPr="00F96E24">
        <w:rPr>
          <w:sz w:val="16"/>
        </w:rPr>
        <w:t xml:space="preserve">, </w:t>
      </w:r>
      <w:hyperlink r:id="rId13" w:history="1">
        <w:r w:rsidRPr="00F96E24">
          <w:rPr>
            <w:sz w:val="16"/>
          </w:rPr>
          <w:t>106 U.S. 360</w:t>
        </w:r>
      </w:hyperlink>
      <w:r w:rsidRPr="00F96E24">
        <w:rPr>
          <w:sz w:val="16"/>
        </w:rPr>
        <w:t xml:space="preserve">, 365, 1 </w:t>
      </w:r>
      <w:proofErr w:type="spellStart"/>
      <w:r w:rsidRPr="00F96E24">
        <w:rPr>
          <w:sz w:val="16"/>
        </w:rPr>
        <w:t>S.Ct</w:t>
      </w:r>
      <w:proofErr w:type="spellEnd"/>
      <w:r w:rsidRPr="00F96E24">
        <w:rPr>
          <w:sz w:val="16"/>
        </w:rPr>
        <w:t xml:space="preserve">. 336, 337, 27 </w:t>
      </w:r>
      <w:proofErr w:type="spellStart"/>
      <w:r w:rsidRPr="00F96E24">
        <w:rPr>
          <w:sz w:val="16"/>
        </w:rPr>
        <w:t>L.Ed</w:t>
      </w:r>
      <w:proofErr w:type="spellEnd"/>
      <w:r w:rsidRPr="00F96E24">
        <w:rPr>
          <w:sz w:val="16"/>
        </w:rPr>
        <w:t>. 201 (1882).</w:t>
      </w:r>
    </w:p>
    <w:p w:rsidR="00B91EA4" w:rsidRPr="00B91EA4" w:rsidRDefault="00B91EA4" w:rsidP="00B91EA4">
      <w:pPr>
        <w:pStyle w:val="Heading3"/>
      </w:pPr>
      <w:r>
        <w:lastRenderedPageBreak/>
        <w:t>Should – Not Mandatory</w:t>
      </w:r>
    </w:p>
    <w:p w:rsidR="00B91EA4" w:rsidRDefault="00B91EA4" w:rsidP="00B91EA4">
      <w:pPr>
        <w:pStyle w:val="Heading4"/>
      </w:pPr>
      <w:r>
        <w:t xml:space="preserve">Should isn’t mandatory </w:t>
      </w:r>
    </w:p>
    <w:p w:rsidR="006D3616" w:rsidRDefault="00B91EA4" w:rsidP="00B91EA4">
      <w:r w:rsidRPr="007960A1">
        <w:rPr>
          <w:rStyle w:val="Style13ptBold"/>
        </w:rPr>
        <w:t>Taylor and Howard</w:t>
      </w:r>
      <w:r w:rsidR="007960A1" w:rsidRPr="007960A1">
        <w:rPr>
          <w:rStyle w:val="Style13ptBold"/>
        </w:rPr>
        <w:t xml:space="preserve"> 5</w:t>
      </w:r>
      <w:r w:rsidR="007960A1">
        <w:t xml:space="preserve"> </w:t>
      </w:r>
      <w:r w:rsidR="005C78F5">
        <w:t xml:space="preserve">– Former Chief Scientist @ US Agency for International Development Bureau for Food Security </w:t>
      </w:r>
    </w:p>
    <w:p w:rsidR="00B91EA4" w:rsidRDefault="00B91EA4" w:rsidP="00B91EA4">
      <w:r>
        <w:t>(Michael and Julie, “Investing in Africa's future: U.S. Agricultural development assistance for Sub-Saharan Africa”, 9/12, http://www.sarpn.org.za/documents/d0001784/5-US-agric_Sept2005_Chap2.pdf)</w:t>
      </w:r>
    </w:p>
    <w:p w:rsidR="00B91EA4" w:rsidRDefault="00B91EA4" w:rsidP="00B91EA4">
      <w: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shall in connection with  only two of these eight earmarks; the others say that USAID should make the prescribed amount  available. </w:t>
      </w:r>
      <w:r w:rsidRPr="00342F76">
        <w:rPr>
          <w:rStyle w:val="StyleUnderline"/>
        </w:rPr>
        <w:t>The difference between shall and should may have legal significance—one is clearly  mandatory while the other is a strong admonition</w:t>
      </w:r>
      <w:r>
        <w:t xml:space="preserve">—but it makes little practical difference in  USAID’s need to comply with the congressional directive to the best of its ability. </w:t>
      </w:r>
    </w:p>
    <w:p w:rsidR="00B91EA4" w:rsidRDefault="00B91EA4" w:rsidP="00B91EA4">
      <w:pPr>
        <w:pStyle w:val="Heading3"/>
      </w:pPr>
      <w:r>
        <w:lastRenderedPageBreak/>
        <w:t>XT Should – Not Mandatory</w:t>
      </w:r>
    </w:p>
    <w:p w:rsidR="00B91EA4" w:rsidRDefault="00B91EA4" w:rsidP="00B91EA4">
      <w:pPr>
        <w:pStyle w:val="Heading4"/>
      </w:pPr>
      <w:r>
        <w:t>Should means desirable or recommended, not mandatory</w:t>
      </w:r>
    </w:p>
    <w:p w:rsidR="009A2E7D" w:rsidRDefault="009939F5" w:rsidP="00B91EA4">
      <w:r>
        <w:rPr>
          <w:rStyle w:val="Style13ptBold"/>
        </w:rPr>
        <w:t>Words and Phrases</w:t>
      </w:r>
      <w:r w:rsidR="00B91EA4" w:rsidRPr="00342F76">
        <w:rPr>
          <w:rStyle w:val="Style13ptBold"/>
        </w:rPr>
        <w:t xml:space="preserve"> 2002</w:t>
      </w:r>
      <w:r w:rsidR="00B91EA4">
        <w:t xml:space="preserve">  </w:t>
      </w:r>
    </w:p>
    <w:p w:rsidR="00B91EA4" w:rsidRDefault="00B91EA4" w:rsidP="00B91EA4">
      <w:r>
        <w:t>(“Words and Phrases: Permanent Edition” Vol. 39 Set to Signed.  Pub. By Thomson West.  P. 372-373)</w:t>
      </w:r>
    </w:p>
    <w:p w:rsidR="00B91EA4" w:rsidRDefault="00B91EA4" w:rsidP="00B91EA4">
      <w: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342F76">
        <w:rPr>
          <w:rStyle w:val="StyleUnderline"/>
        </w:rPr>
        <w:t>use of word “should” was intended to convey idea that particular precaution involved was desirable and recommended, but not mandatory</w:t>
      </w:r>
      <w:r>
        <w:t>.  ORS 654.005 et seq.----</w:t>
      </w:r>
      <w:proofErr w:type="spellStart"/>
      <w:r>
        <w:t>Baldassarre</w:t>
      </w:r>
      <w:proofErr w:type="spellEnd"/>
      <w:r>
        <w:t xml:space="preserve"> v. West Oregon Lumber Co., 239 P.2d 839, 193 Or. 556.---Labor &amp; Emp. 2857</w:t>
      </w:r>
    </w:p>
    <w:p w:rsidR="00B91EA4" w:rsidRDefault="00B91EA4" w:rsidP="00B91EA4">
      <w:pPr>
        <w:pStyle w:val="Heading4"/>
      </w:pPr>
      <w:r>
        <w:t>Should isn’t mandatory.</w:t>
      </w:r>
    </w:p>
    <w:p w:rsidR="009A2E7D" w:rsidRDefault="009939F5" w:rsidP="00B91EA4">
      <w:r>
        <w:rPr>
          <w:rStyle w:val="Style13ptBold"/>
        </w:rPr>
        <w:t>Words and Phrases</w:t>
      </w:r>
      <w:r w:rsidR="00B91EA4" w:rsidRPr="00A90B3C">
        <w:rPr>
          <w:rStyle w:val="Style13ptBold"/>
        </w:rPr>
        <w:t xml:space="preserve"> 2002</w:t>
      </w:r>
      <w:r w:rsidR="00B91EA4">
        <w:t xml:space="preserve">  </w:t>
      </w:r>
    </w:p>
    <w:p w:rsidR="00B91EA4" w:rsidRDefault="00B91EA4" w:rsidP="00B91EA4">
      <w:r>
        <w:t>(“Words and Phrases: Permanent Edition” Vol. 39 Set to Signed.  Pub. By Thomson West.  P. 369)</w:t>
      </w:r>
    </w:p>
    <w:p w:rsidR="00B91EA4" w:rsidRDefault="00B91EA4" w:rsidP="00B91EA4">
      <w:r>
        <w:t xml:space="preserve">C.A.6 (Tenn.) 2001.  </w:t>
      </w:r>
      <w:r w:rsidRPr="00342F76">
        <w:rPr>
          <w:rStyle w:val="StyleUnderline"/>
        </w:rPr>
        <w:t>Word “should,” in most contexts, is precatory, not mandatory</w:t>
      </w:r>
      <w:r>
        <w:t>.</w:t>
      </w:r>
    </w:p>
    <w:p w:rsidR="00B91EA4" w:rsidRDefault="00B91EA4" w:rsidP="00B91EA4">
      <w:r>
        <w:t xml:space="preserve">----U.S. v. Rogers, 14 </w:t>
      </w:r>
      <w:proofErr w:type="spellStart"/>
      <w:r>
        <w:t>Fed.Appx</w:t>
      </w:r>
      <w:proofErr w:type="spellEnd"/>
      <w:r>
        <w:t>. 303.----Statut227</w:t>
      </w:r>
    </w:p>
    <w:p w:rsidR="00B91EA4" w:rsidRPr="00B91EA4" w:rsidRDefault="00B91EA4" w:rsidP="00B91EA4"/>
    <w:p w:rsidR="00B91EA4" w:rsidRDefault="00B91EA4" w:rsidP="00B91EA4">
      <w:pPr>
        <w:pStyle w:val="Heading2"/>
      </w:pPr>
      <w:r>
        <w:lastRenderedPageBreak/>
        <w:t>Substantially</w:t>
      </w:r>
    </w:p>
    <w:p w:rsidR="0017706F" w:rsidRPr="0017706F" w:rsidRDefault="0017706F" w:rsidP="0017706F">
      <w:pPr>
        <w:pStyle w:val="Heading3"/>
      </w:pPr>
      <w:r>
        <w:lastRenderedPageBreak/>
        <w:t>Substantial – In the Main</w:t>
      </w:r>
    </w:p>
    <w:p w:rsidR="0017706F" w:rsidRPr="001E4A1C" w:rsidRDefault="0017706F" w:rsidP="0017706F">
      <w:pPr>
        <w:pStyle w:val="Heading4"/>
      </w:pPr>
      <w:r w:rsidRPr="001E4A1C">
        <w:t>Substantially means in the main, including the essential part</w:t>
      </w:r>
    </w:p>
    <w:p w:rsidR="0017706F" w:rsidRDefault="0017706F" w:rsidP="0017706F">
      <w:pPr>
        <w:rPr>
          <w:color w:val="000000"/>
        </w:rPr>
      </w:pPr>
      <w:r>
        <w:rPr>
          <w:b/>
          <w:color w:val="000000"/>
        </w:rPr>
        <w:t>Words and Phrases</w:t>
      </w:r>
      <w:r w:rsidRPr="001E4A1C">
        <w:rPr>
          <w:b/>
          <w:color w:val="000000"/>
        </w:rPr>
        <w:t xml:space="preserve"> 2</w:t>
      </w:r>
      <w:r w:rsidRPr="001E4A1C">
        <w:rPr>
          <w:color w:val="000000"/>
        </w:rPr>
        <w:t xml:space="preserve"> </w:t>
      </w:r>
    </w:p>
    <w:p w:rsidR="0017706F" w:rsidRPr="001E4A1C" w:rsidRDefault="0017706F" w:rsidP="0017706F">
      <w:pPr>
        <w:rPr>
          <w:color w:val="000000"/>
        </w:rPr>
      </w:pPr>
      <w:r w:rsidRPr="001E4A1C">
        <w:rPr>
          <w:color w:val="000000"/>
        </w:rPr>
        <w:t>(Words and Phrases Permanent Edition, “Substantially,” Volume 40B, p. 324-330 October 2002, Thomson West)</w:t>
      </w:r>
    </w:p>
    <w:p w:rsidR="0017706F" w:rsidRPr="001E4A1C" w:rsidRDefault="0017706F" w:rsidP="0017706F">
      <w:pPr>
        <w:rPr>
          <w:color w:val="000000"/>
          <w:u w:val="single"/>
        </w:rPr>
      </w:pPr>
      <w:r w:rsidRPr="001E4A1C">
        <w:rPr>
          <w:color w:val="000000"/>
        </w:rPr>
        <w:t>Okla. 1911. “</w:t>
      </w:r>
      <w:r w:rsidRPr="001E4A1C">
        <w:rPr>
          <w:color w:val="000000"/>
          <w:u w:val="single"/>
        </w:rPr>
        <w:t>Substantially” means in substance: in the main</w:t>
      </w:r>
      <w:r w:rsidRPr="001E4A1C">
        <w:rPr>
          <w:color w:val="000000"/>
        </w:rPr>
        <w:t>; essentially;</w:t>
      </w:r>
      <w:r w:rsidRPr="001E4A1C">
        <w:rPr>
          <w:color w:val="000000"/>
          <w:u w:val="single"/>
        </w:rPr>
        <w:t xml:space="preserve"> by including the material or essential part.</w:t>
      </w:r>
    </w:p>
    <w:p w:rsidR="0017706F" w:rsidRDefault="0017706F" w:rsidP="0017706F">
      <w:pPr>
        <w:pStyle w:val="Heading3"/>
      </w:pPr>
      <w:r>
        <w:lastRenderedPageBreak/>
        <w:t>Substantial – Without Material Qualification</w:t>
      </w:r>
    </w:p>
    <w:p w:rsidR="0017706F" w:rsidRPr="001E4A1C" w:rsidRDefault="0017706F" w:rsidP="006377D6">
      <w:pPr>
        <w:pStyle w:val="Heading4"/>
      </w:pPr>
      <w:r w:rsidRPr="001E4A1C">
        <w:t>Substantially is without material qualification</w:t>
      </w:r>
    </w:p>
    <w:p w:rsidR="0017706F" w:rsidRPr="001E4A1C" w:rsidRDefault="0017706F" w:rsidP="0017706F">
      <w:pPr>
        <w:rPr>
          <w:bCs/>
          <w:color w:val="000000"/>
        </w:rPr>
      </w:pPr>
      <w:r w:rsidRPr="001E4A1C">
        <w:rPr>
          <w:b/>
          <w:bCs/>
          <w:color w:val="000000"/>
        </w:rPr>
        <w:t xml:space="preserve">Black’s Law Dictionary 1991 </w:t>
      </w:r>
      <w:r w:rsidRPr="001E4A1C">
        <w:rPr>
          <w:bCs/>
          <w:color w:val="000000"/>
        </w:rPr>
        <w:t>[p. 1024]</w:t>
      </w:r>
    </w:p>
    <w:p w:rsidR="0017706F" w:rsidRPr="001E4A1C" w:rsidRDefault="0017706F" w:rsidP="0017706F">
      <w:pPr>
        <w:rPr>
          <w:b/>
          <w:bCs/>
          <w:color w:val="000000"/>
        </w:rPr>
      </w:pPr>
    </w:p>
    <w:p w:rsidR="0017706F" w:rsidRPr="001E4A1C" w:rsidRDefault="0017706F" w:rsidP="0017706F">
      <w:pPr>
        <w:rPr>
          <w:color w:val="000000"/>
          <w:u w:val="single"/>
        </w:rPr>
      </w:pPr>
      <w:r w:rsidRPr="001E4A1C">
        <w:rPr>
          <w:color w:val="000000"/>
          <w:u w:val="single"/>
        </w:rPr>
        <w:t>Substantially - means</w:t>
      </w:r>
      <w:r w:rsidRPr="001E4A1C">
        <w:rPr>
          <w:color w:val="000000"/>
        </w:rPr>
        <w:t xml:space="preserve"> essentially; </w:t>
      </w:r>
      <w:r w:rsidRPr="001E4A1C">
        <w:rPr>
          <w:color w:val="000000"/>
          <w:u w:val="single"/>
        </w:rPr>
        <w:t>without material qualification.</w:t>
      </w:r>
    </w:p>
    <w:p w:rsidR="0017706F" w:rsidRDefault="0017706F" w:rsidP="0017706F">
      <w:pPr>
        <w:pStyle w:val="Heading3"/>
      </w:pPr>
      <w:r>
        <w:lastRenderedPageBreak/>
        <w:t>Substantial – Not a Number</w:t>
      </w:r>
    </w:p>
    <w:p w:rsidR="0017706F" w:rsidRPr="00661A83" w:rsidRDefault="0017706F" w:rsidP="0017706F">
      <w:pPr>
        <w:pStyle w:val="Heading4"/>
      </w:pPr>
      <w:r>
        <w:t xml:space="preserve">Substantial just has to be a considerable amount and </w:t>
      </w:r>
      <w:proofErr w:type="spellStart"/>
      <w:r>
        <w:t>its</w:t>
      </w:r>
      <w:proofErr w:type="spellEnd"/>
      <w:r>
        <w:t xml:space="preserve"> not quantifiable </w:t>
      </w:r>
    </w:p>
    <w:p w:rsidR="0017706F" w:rsidRDefault="0017706F" w:rsidP="0017706F">
      <w:r w:rsidRPr="00661A83">
        <w:rPr>
          <w:rStyle w:val="Style13ptBold"/>
        </w:rPr>
        <w:t>Prost 4</w:t>
      </w:r>
      <w:r w:rsidRPr="00661A83">
        <w:t xml:space="preserve"> </w:t>
      </w:r>
      <w:r>
        <w:t>– Judge on the United States Court of Appeals for the Federal Circuit</w:t>
      </w:r>
    </w:p>
    <w:p w:rsidR="0017706F" w:rsidRPr="00661A83" w:rsidRDefault="0017706F" w:rsidP="0017706F">
      <w:r>
        <w:t>(Sharon</w:t>
      </w:r>
      <w:r w:rsidRPr="00661A83">
        <w:t xml:space="preserve">, “Committee For Fairly Traded Venezuelan Cement v. United States”, 6-18, </w:t>
      </w:r>
      <w:r w:rsidRPr="0017706F">
        <w:t>http://caselaw.findlaw.com/us-federal-circuit/1378352.html</w:t>
      </w:r>
      <w:r w:rsidRPr="00661A83">
        <w:t>)</w:t>
      </w:r>
    </w:p>
    <w:p w:rsidR="0017706F" w:rsidRPr="0017706F" w:rsidRDefault="0017706F" w:rsidP="0017706F">
      <w:r w:rsidRPr="0017706F">
        <w:t>The URAA and the SAA neither amend nor refine the language of §</w:t>
      </w:r>
      <w:r w:rsidRPr="0017706F">
        <w:t> </w:t>
      </w:r>
      <w:r w:rsidRPr="0017706F">
        <w:t xml:space="preserve">1677(4)(C). </w:t>
      </w:r>
      <w:r w:rsidRPr="0017706F">
        <w:t> </w:t>
      </w:r>
      <w:r w:rsidRPr="0017706F">
        <w:t xml:space="preserve">In fact, they merely suggest, without disqualifying other alternatives, a “clearly higher/substantial proportion” approach. </w:t>
      </w:r>
      <w:r w:rsidRPr="0017706F">
        <w:t> </w:t>
      </w:r>
      <w:r w:rsidRPr="0017706F">
        <w:t xml:space="preserve"> Indeed, the SAA specifically mentions that no “precise mathematical formula” or “ ‘benchmark’ proportion” is to be used for a dumping concentration analysis. </w:t>
      </w:r>
      <w:r w:rsidRPr="0017706F">
        <w:t> </w:t>
      </w:r>
      <w:r w:rsidRPr="0017706F">
        <w:t xml:space="preserve"> SAA at 860 (citations omitted);  see also Venez. Cement, 279 F.Supp.2d at 1329-30. </w:t>
      </w:r>
      <w:r w:rsidRPr="0017706F">
        <w:t> </w:t>
      </w:r>
      <w:r w:rsidRPr="0017706F">
        <w:t xml:space="preserve"> Furthermore, as the Court of International Trade noted, the SAA emphasizes that the Commission retains the discretion to determine concentration of imports on a “case-by-case basis.” </w:t>
      </w:r>
      <w:r w:rsidRPr="0017706F">
        <w:t> </w:t>
      </w:r>
      <w:r w:rsidRPr="0017706F">
        <w:t xml:space="preserve"> SAA at 860. </w:t>
      </w:r>
      <w:r w:rsidRPr="0017706F">
        <w:t> </w:t>
      </w:r>
      <w:r w:rsidRPr="0017706F">
        <w:t xml:space="preserve"> </w:t>
      </w:r>
      <w:r w:rsidRPr="0017706F">
        <w:rPr>
          <w:rStyle w:val="StyleUnderline"/>
        </w:rPr>
        <w:t>Finally, the definition of the word “substantial” undercuts the CFTVC's argument</w:t>
      </w:r>
      <w:r w:rsidRPr="0017706F">
        <w:t xml:space="preserve">. </w:t>
      </w:r>
      <w:r w:rsidRPr="0017706F">
        <w:t> </w:t>
      </w:r>
      <w:r w:rsidRPr="0017706F">
        <w:t xml:space="preserve"> </w:t>
      </w:r>
      <w:r w:rsidRPr="0017706F">
        <w:rPr>
          <w:rStyle w:val="StyleUnderline"/>
        </w:rPr>
        <w:t>The word “substantial” generally means “</w:t>
      </w:r>
      <w:r w:rsidRPr="0017706F">
        <w:rPr>
          <w:rStyle w:val="Emphasis"/>
        </w:rPr>
        <w:t>considerable in amount, value or worth</w:t>
      </w:r>
      <w:r w:rsidRPr="0017706F">
        <w:rPr>
          <w:rStyle w:val="StyleUnderline"/>
        </w:rPr>
        <w:t>.”</w:t>
      </w:r>
      <w:r w:rsidRPr="0017706F">
        <w:t xml:space="preserve"> </w:t>
      </w:r>
      <w:r w:rsidRPr="0017706F">
        <w:t> </w:t>
      </w:r>
      <w:r w:rsidRPr="0017706F">
        <w:t xml:space="preserve"> Webster's Third New International Dictionary 2280 (1993). </w:t>
      </w:r>
      <w:r w:rsidRPr="0017706F">
        <w:t> </w:t>
      </w:r>
      <w:r w:rsidRPr="0017706F">
        <w:t xml:space="preserve"> </w:t>
      </w:r>
      <w:r w:rsidRPr="0017706F">
        <w:rPr>
          <w:rStyle w:val="StyleUnderline"/>
        </w:rPr>
        <w:t>It does not imply a specific number or cut-off</w:t>
      </w:r>
      <w:r w:rsidRPr="0017706F">
        <w:t xml:space="preserve">. </w:t>
      </w:r>
      <w:r w:rsidRPr="0017706F">
        <w:t> </w:t>
      </w:r>
      <w:r w:rsidRPr="0017706F">
        <w:t xml:space="preserve"> </w:t>
      </w:r>
      <w:r w:rsidRPr="0017706F">
        <w:rPr>
          <w:rStyle w:val="StyleUnderline"/>
        </w:rPr>
        <w:t>What may be substantial in one situation may not be in another situation</w:t>
      </w:r>
      <w:r w:rsidRPr="0017706F">
        <w:t xml:space="preserve">. </w:t>
      </w:r>
      <w:r w:rsidRPr="0017706F">
        <w:t> </w:t>
      </w:r>
      <w:r w:rsidRPr="0017706F">
        <w:t xml:space="preserve"> The very breadth of the term “substantial” undercuts the CFTVC's argument that Congress spoke clearly in establishing a standard for the Commission's regional antidumping and countervailing duty analyses. </w:t>
      </w:r>
      <w:r w:rsidRPr="0017706F">
        <w:rPr>
          <w:rStyle w:val="StyleUnderline"/>
        </w:rPr>
        <w:t> </w:t>
      </w:r>
      <w:r w:rsidRPr="0017706F">
        <w:rPr>
          <w:rStyle w:val="StyleUnderline"/>
        </w:rPr>
        <w:t xml:space="preserve"> It therefore supports the conclusion that the Commission is owed deference in its interpretation of “substantial proportion</w:t>
      </w:r>
      <w:r w:rsidRPr="0017706F">
        <w:t xml:space="preserve">.” </w:t>
      </w:r>
      <w:r w:rsidRPr="0017706F">
        <w:t> </w:t>
      </w:r>
      <w:r w:rsidRPr="0017706F">
        <w:t xml:space="preserve"> The Commission clearly embarked on its analysis having been given considerable leeway to interpret a particularly broad term.</w:t>
      </w:r>
    </w:p>
    <w:p w:rsidR="0017706F" w:rsidRDefault="006377D6" w:rsidP="006377D6">
      <w:pPr>
        <w:pStyle w:val="Heading3"/>
      </w:pPr>
      <w:r>
        <w:lastRenderedPageBreak/>
        <w:t xml:space="preserve">Substantial – </w:t>
      </w:r>
      <w:r w:rsidR="00054E36">
        <w:t>90%</w:t>
      </w:r>
    </w:p>
    <w:p w:rsidR="00054E36" w:rsidRPr="00661A83" w:rsidRDefault="00054E36" w:rsidP="00054E36">
      <w:pPr>
        <w:pStyle w:val="Heading4"/>
      </w:pPr>
      <w:r w:rsidRPr="00661A83">
        <w:t>Substantially is at least 90%</w:t>
      </w:r>
    </w:p>
    <w:p w:rsidR="00054E36" w:rsidRPr="00661A83" w:rsidRDefault="00054E36" w:rsidP="00054E36">
      <w:r>
        <w:rPr>
          <w:rStyle w:val="Style13ptBold"/>
        </w:rPr>
        <w:t>Words and Phrases</w:t>
      </w:r>
      <w:r w:rsidRPr="00661A83">
        <w:rPr>
          <w:rStyle w:val="Style13ptBold"/>
        </w:rPr>
        <w:t xml:space="preserve"> 05</w:t>
      </w:r>
      <w:r w:rsidRPr="00661A83">
        <w:t xml:space="preserve">  (v. 40B, p. 329)</w:t>
      </w:r>
    </w:p>
    <w:p w:rsidR="00054E36" w:rsidRPr="00661A83" w:rsidRDefault="00054E36" w:rsidP="00054E36">
      <w:pPr>
        <w:pStyle w:val="CardIndented"/>
      </w:pPr>
      <w:r w:rsidRPr="00661A83">
        <w:t xml:space="preserve">N.H. 1949. </w:t>
      </w:r>
      <w:r w:rsidRPr="00661A83">
        <w:rPr>
          <w:rStyle w:val="TitleChar"/>
        </w:rPr>
        <w:t xml:space="preserve"> The word “substantially</w:t>
      </w:r>
      <w:r w:rsidRPr="00661A83">
        <w:t xml:space="preserve">” as used in provision of Unemployment Compensation Act that experience rating of an employer may be transferred to an employing unit which acquires the organization, trade, or business, or “substantially” all of the assets thereof, </w:t>
      </w:r>
      <w:r w:rsidRPr="00661A83">
        <w:rPr>
          <w:rStyle w:val="TitleChar"/>
        </w:rPr>
        <w:t xml:space="preserve">is </w:t>
      </w:r>
      <w:r w:rsidRPr="00054E36">
        <w:t>an elastic term which does not include a definite, fixed amount of percentage, and the transfer</w:t>
      </w:r>
      <w:r w:rsidRPr="00661A83">
        <w:rPr>
          <w:rStyle w:val="TitleChar"/>
        </w:rPr>
        <w:t xml:space="preserve"> does not have to be 100 per cent but cannot be less than 90 per cent in the ordinary situation.</w:t>
      </w:r>
      <w:r w:rsidRPr="00661A83">
        <w:t xml:space="preserve">  R.L. c 218, § 6, </w:t>
      </w:r>
      <w:proofErr w:type="spellStart"/>
      <w:r w:rsidRPr="00661A83">
        <w:t>subd</w:t>
      </w:r>
      <w:proofErr w:type="spellEnd"/>
      <w:r w:rsidRPr="00661A83">
        <w:t>. F, as added by Laws 1945, c.138, § 16.</w:t>
      </w:r>
    </w:p>
    <w:p w:rsidR="006377D6" w:rsidRDefault="00054E36" w:rsidP="00054E36">
      <w:pPr>
        <w:pStyle w:val="Heading3"/>
      </w:pPr>
      <w:r>
        <w:lastRenderedPageBreak/>
        <w:t>Substantial – 20%</w:t>
      </w:r>
    </w:p>
    <w:p w:rsidR="00054E36" w:rsidRPr="00054E36" w:rsidRDefault="00054E36" w:rsidP="00054E36">
      <w:pPr>
        <w:pStyle w:val="Heading4"/>
      </w:pPr>
      <w:r w:rsidRPr="00054E36">
        <w:t>Substantial means at least 20%</w:t>
      </w:r>
    </w:p>
    <w:p w:rsidR="00054E36" w:rsidRPr="00661A83" w:rsidRDefault="00054E36" w:rsidP="00054E36">
      <w:pPr>
        <w:rPr>
          <w:rStyle w:val="Style13ptBold"/>
        </w:rPr>
      </w:pPr>
      <w:r w:rsidRPr="00661A83">
        <w:rPr>
          <w:rStyle w:val="Style13ptBold"/>
        </w:rPr>
        <w:t>Words &amp; Phrases 67</w:t>
      </w:r>
    </w:p>
    <w:p w:rsidR="00054E36" w:rsidRPr="00661A83" w:rsidRDefault="00054E36" w:rsidP="00054E36">
      <w:pPr>
        <w:pStyle w:val="CardIndented"/>
        <w:ind w:left="0"/>
      </w:pPr>
      <w:r w:rsidRPr="00661A83">
        <w:rPr>
          <w:rStyle w:val="TitleChar"/>
        </w:rPr>
        <w:t>"Substantial"</w:t>
      </w:r>
      <w:r w:rsidRPr="00661A83">
        <w:t xml:space="preserve"> number of tenants engaged In production of goods for commerce </w:t>
      </w:r>
      <w:r w:rsidRPr="00661A83">
        <w:rPr>
          <w:rStyle w:val="TitleChar"/>
        </w:rPr>
        <w:t>means that at least 20 per cent</w:t>
      </w:r>
      <w:r w:rsidRPr="00661A83">
        <w:t xml:space="preserve">. of building be occupied by tenants so engaged. </w:t>
      </w:r>
      <w:proofErr w:type="spellStart"/>
      <w:r w:rsidRPr="00661A83">
        <w:t>Ullo</w:t>
      </w:r>
      <w:proofErr w:type="spellEnd"/>
      <w:r w:rsidRPr="00661A83">
        <w:t xml:space="preserve"> v. Smith, D.C.N.Y., 62 </w:t>
      </w:r>
      <w:proofErr w:type="spellStart"/>
      <w:r w:rsidRPr="00661A83">
        <w:t>F.Supp</w:t>
      </w:r>
      <w:proofErr w:type="spellEnd"/>
      <w:r w:rsidRPr="00661A83">
        <w:t>. 757, 760.</w:t>
      </w:r>
    </w:p>
    <w:p w:rsidR="00054E36" w:rsidRDefault="00C72BCA" w:rsidP="00C72BCA">
      <w:pPr>
        <w:pStyle w:val="Heading3"/>
      </w:pPr>
      <w:r>
        <w:lastRenderedPageBreak/>
        <w:t>Substantial – 2%</w:t>
      </w:r>
    </w:p>
    <w:p w:rsidR="00C72BCA" w:rsidRDefault="00C72BCA" w:rsidP="00C72BCA">
      <w:pPr>
        <w:pStyle w:val="Heading4"/>
      </w:pPr>
      <w:r>
        <w:t>Substantial means at least 2%</w:t>
      </w:r>
    </w:p>
    <w:p w:rsidR="00C72BCA" w:rsidRPr="00753778" w:rsidRDefault="00C72BCA" w:rsidP="00C72BCA">
      <w:pPr>
        <w:rPr>
          <w:rStyle w:val="Style1Char"/>
          <w:b/>
          <w:bCs/>
          <w:u w:val="none"/>
        </w:rPr>
      </w:pPr>
      <w:r w:rsidRPr="00A16892">
        <w:rPr>
          <w:rStyle w:val="Style13ptBold"/>
        </w:rPr>
        <w:t>Words &amp; Phrases 60</w:t>
      </w:r>
    </w:p>
    <w:p w:rsidR="00C72BCA" w:rsidRPr="006B3C8A" w:rsidRDefault="00C72BCA" w:rsidP="00C72BCA">
      <w:pPr>
        <w:rPr>
          <w:sz w:val="16"/>
        </w:rPr>
      </w:pPr>
      <w:r w:rsidRPr="00EE0199">
        <w:rPr>
          <w:rStyle w:val="Style1Char"/>
        </w:rPr>
        <w:t>'Substantial" means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01196A">
        <w:rPr>
          <w:rStyle w:val="Emphasis"/>
        </w:rPr>
        <w:t>1/48</w:t>
      </w:r>
      <w:r w:rsidRPr="00EE0199">
        <w:rPr>
          <w:rStyle w:val="Style1Char"/>
        </w:rPr>
        <w:t xml:space="preserve"> of expenditures</w:t>
      </w:r>
      <w:r w:rsidRPr="006B3C8A">
        <w:rPr>
          <w:sz w:val="16"/>
        </w:rPr>
        <w:t xml:space="preserve"> in state, held exempt from taxation; </w:t>
      </w:r>
      <w:r w:rsidRPr="00EE0199">
        <w:rPr>
          <w:rStyle w:val="Style1Char"/>
        </w:rPr>
        <w:t>such expenditures constituting "substantial"</w:t>
      </w:r>
      <w:r w:rsidRPr="006B3C8A">
        <w:rPr>
          <w:sz w:val="16"/>
        </w:rPr>
        <w:t xml:space="preserve"> part of its </w:t>
      </w:r>
      <w:r w:rsidRPr="00EE0199">
        <w:rPr>
          <w:rStyle w:val="Style1Char"/>
        </w:rPr>
        <w:t>activities</w:t>
      </w:r>
      <w:r w:rsidRPr="006B3C8A">
        <w:rPr>
          <w:sz w:val="16"/>
        </w:rPr>
        <w:t>. Tax Commission of Ohio v. American Humane Education Soc., 181 N.E. 557, 42 Ohio App. 4.</w:t>
      </w:r>
    </w:p>
    <w:p w:rsidR="00C72BCA" w:rsidRPr="00C72BCA" w:rsidRDefault="00C72BCA" w:rsidP="00C72BCA"/>
    <w:p w:rsidR="00B91EA4" w:rsidRDefault="00B91EA4" w:rsidP="00B91EA4">
      <w:pPr>
        <w:pStyle w:val="Heading2"/>
      </w:pPr>
      <w:r>
        <w:lastRenderedPageBreak/>
        <w:t>Increase</w:t>
      </w:r>
    </w:p>
    <w:p w:rsidR="00B91EA4" w:rsidRDefault="00B91EA4" w:rsidP="00B91EA4">
      <w:pPr>
        <w:pStyle w:val="Heading3"/>
      </w:pPr>
      <w:r>
        <w:lastRenderedPageBreak/>
        <w:t>Increase – Pre-existing</w:t>
      </w:r>
    </w:p>
    <w:p w:rsidR="00B91EA4" w:rsidRPr="00EE1E94" w:rsidRDefault="00B91EA4" w:rsidP="00B91EA4">
      <w:pPr>
        <w:pStyle w:val="Heading4"/>
        <w:rPr>
          <w:rStyle w:val="cite"/>
          <w:b/>
        </w:rPr>
      </w:pPr>
      <w:r w:rsidRPr="00EE1E94">
        <w:t>Increase must be of something that already exists</w:t>
      </w:r>
    </w:p>
    <w:p w:rsidR="007960A1" w:rsidRDefault="00B91EA4" w:rsidP="00B91EA4">
      <w:pPr>
        <w:rPr>
          <w:rFonts w:cstheme="minorHAnsi"/>
          <w:color w:val="000000"/>
          <w:sz w:val="16"/>
        </w:rPr>
      </w:pPr>
      <w:r w:rsidRPr="00EE1E94">
        <w:rPr>
          <w:rStyle w:val="Style13ptBold"/>
        </w:rPr>
        <w:t>Buckley 6</w:t>
      </w:r>
      <w:r>
        <w:rPr>
          <w:rFonts w:cstheme="minorHAnsi"/>
          <w:color w:val="000000"/>
          <w:sz w:val="16"/>
        </w:rPr>
        <w:t xml:space="preserve"> </w:t>
      </w:r>
      <w:r w:rsidR="007960A1" w:rsidRPr="007960A1">
        <w:t xml:space="preserve">– Attorney </w:t>
      </w:r>
    </w:p>
    <w:p w:rsidR="00B91EA4" w:rsidRPr="007960A1" w:rsidRDefault="007960A1" w:rsidP="007960A1">
      <w:r w:rsidRPr="007960A1">
        <w:t>(</w:t>
      </w:r>
      <w:r w:rsidR="00B91EA4" w:rsidRPr="007960A1">
        <w:t xml:space="preserve">Jeremiah,  </w:t>
      </w:r>
      <w:r w:rsidRPr="007960A1">
        <w:t>“</w:t>
      </w:r>
      <w:r w:rsidR="00B91EA4" w:rsidRPr="007960A1">
        <w:t>Amicus Curiae Brief, Safeco Ins. Co. of America et al v. Charles Burr et al,</w:t>
      </w:r>
      <w:r w:rsidRPr="007960A1">
        <w:t>”</w:t>
      </w:r>
      <w:r w:rsidR="00B91EA4" w:rsidRPr="007960A1">
        <w:t xml:space="preserve"> </w:t>
      </w:r>
      <w:hyperlink r:id="rId14" w:history="1">
        <w:r w:rsidR="00B91EA4" w:rsidRPr="007960A1">
          <w:rPr>
            <w:rStyle w:val="Hyperlink"/>
          </w:rPr>
          <w:t>http://supreme.lp.findlaw.com/supreme_court/briefs/06-84/06-84.mer.ami.mica.pdf</w:t>
        </w:r>
      </w:hyperlink>
      <w:r w:rsidRPr="007960A1">
        <w:t>)</w:t>
      </w:r>
    </w:p>
    <w:p w:rsidR="00B91EA4" w:rsidRPr="002158E7" w:rsidRDefault="00B91EA4" w:rsidP="00B91EA4">
      <w:r>
        <w:t xml:space="preserve">First, the court said that </w:t>
      </w:r>
      <w:r w:rsidRPr="00886B4D">
        <w:rPr>
          <w:rStyle w:val="StyleUnderline"/>
        </w:rPr>
        <w:t>the ordinary meaning of the word “increase” is “to make something greater</w:t>
      </w:r>
      <w:r>
        <w:t xml:space="preserve">,” </w:t>
      </w:r>
      <w:r w:rsidRPr="002158E7">
        <w:rPr>
          <w:rStyle w:val="StyleUnderline"/>
        </w:rPr>
        <w:t>which it believed should not “be limited to cases in which a company raises the rate that an individual has previously been charged</w:t>
      </w:r>
      <w:r>
        <w:t xml:space="preserve">.”  435 F.3d at 1091.  </w:t>
      </w:r>
      <w:r w:rsidRPr="00886B4D">
        <w:rPr>
          <w:rStyle w:val="StyleUnderline"/>
        </w:rPr>
        <w:t>Yet the definition</w:t>
      </w:r>
      <w:r>
        <w:t xml:space="preserve"> offered by the Ninth Circuit </w:t>
      </w:r>
      <w:r w:rsidRPr="002158E7">
        <w:rPr>
          <w:rStyle w:val="StyleUnderline"/>
        </w:rPr>
        <w:t>compels the opposite conclusion</w:t>
      </w:r>
      <w:r>
        <w:t xml:space="preserve">.  </w:t>
      </w:r>
      <w:r w:rsidRPr="002158E7">
        <w:rPr>
          <w:rStyle w:val="StyleUnderline"/>
        </w:rPr>
        <w:t>Because  “increase” means “to make something greater,” there must necessarily have been an existing premium</w:t>
      </w:r>
      <w:r>
        <w:t xml:space="preserve">, to which Edo’s  actual premium may be compared, </w:t>
      </w:r>
      <w:r w:rsidRPr="002158E7">
        <w:rPr>
          <w:rStyle w:val="StyleUnderline"/>
        </w:rPr>
        <w:t>to determine whether an “increase” occurred</w:t>
      </w:r>
      <w:r>
        <w:t xml:space="preserve">.  </w:t>
      </w:r>
      <w:r w:rsidRPr="002158E7">
        <w:rPr>
          <w:rStyle w:val="StyleUnderline"/>
        </w:rPr>
        <w:t>Congress</w:t>
      </w:r>
      <w:r>
        <w:t xml:space="preserve"> could have provided that “ad-verse action” in the insurance context means charging an amount greater than the optimal premium, but instead </w:t>
      </w:r>
      <w:r w:rsidRPr="002158E7">
        <w:rPr>
          <w:rStyle w:val="StyleUnderline"/>
        </w:rPr>
        <w:t>chose to define adverse action in te</w:t>
      </w:r>
      <w:r>
        <w:rPr>
          <w:rStyle w:val="StyleUnderline"/>
        </w:rPr>
        <w:t>rms of an “increase.”  That def</w:t>
      </w:r>
      <w:r w:rsidRPr="002158E7">
        <w:rPr>
          <w:rStyle w:val="StyleUnderline"/>
        </w:rPr>
        <w:t>initional choice must be respected, not ignored.</w:t>
      </w:r>
      <w:r>
        <w:t xml:space="preserve">  See </w:t>
      </w:r>
      <w:proofErr w:type="spellStart"/>
      <w:r>
        <w:t>Colautti</w:t>
      </w:r>
      <w:proofErr w:type="spellEnd"/>
      <w:r>
        <w:t xml:space="preserve"> v. Franklin, 439 U.S. 379, 392-93 n.10 (1979) (“[a] </w:t>
      </w:r>
      <w:proofErr w:type="spellStart"/>
      <w:r>
        <w:t>defin-ition</w:t>
      </w:r>
      <w:proofErr w:type="spellEnd"/>
      <w:r>
        <w:t xml:space="preserve">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t>ing</w:t>
      </w:r>
      <w:proofErr w:type="spellEnd"/>
      <w: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2158E7">
        <w:rPr>
          <w:rStyle w:val="StyleUnderline"/>
        </w:rPr>
        <w:t>under usual canons of statutory  construction the term “increase”</w:t>
      </w:r>
      <w:r>
        <w:t xml:space="preserve"> also </w:t>
      </w:r>
      <w:r w:rsidRPr="002158E7">
        <w:rPr>
          <w:rStyle w:val="StyleUnderline"/>
        </w:rPr>
        <w:t>should be construed to  apply to increases of an already-existing policy</w:t>
      </w:r>
      <w:r>
        <w:t>.  See Hibbs v.  Winn, 542 U.S. 88, 101 (2004) (“a phrase gathers meaning from the words around it”) (citation omitted).</w:t>
      </w:r>
    </w:p>
    <w:p w:rsidR="00B91EA4" w:rsidRDefault="00B91EA4" w:rsidP="00B91EA4">
      <w:pPr>
        <w:pStyle w:val="Heading3"/>
      </w:pPr>
      <w:r>
        <w:lastRenderedPageBreak/>
        <w:t>XT Increase – Pre-existing</w:t>
      </w:r>
    </w:p>
    <w:p w:rsidR="00B91EA4" w:rsidRDefault="00B91EA4" w:rsidP="00B91EA4">
      <w:pPr>
        <w:pStyle w:val="Heading4"/>
      </w:pPr>
      <w:r>
        <w:t>“Increase” means to add to what already exists.</w:t>
      </w:r>
    </w:p>
    <w:p w:rsidR="00B91EA4" w:rsidRPr="00310A6C" w:rsidRDefault="00B91EA4" w:rsidP="00B91EA4">
      <w:pPr>
        <w:rPr>
          <w:rStyle w:val="Style13ptBold"/>
        </w:rPr>
      </w:pPr>
      <w:r w:rsidRPr="00310A6C">
        <w:rPr>
          <w:rStyle w:val="Style13ptBold"/>
        </w:rPr>
        <w:t xml:space="preserve">Corpus Juris </w:t>
      </w:r>
      <w:proofErr w:type="spellStart"/>
      <w:r w:rsidRPr="00310A6C">
        <w:rPr>
          <w:rStyle w:val="Style13ptBold"/>
        </w:rPr>
        <w:t>Secundum</w:t>
      </w:r>
      <w:proofErr w:type="spellEnd"/>
      <w:r>
        <w:rPr>
          <w:rStyle w:val="Style13ptBold"/>
        </w:rPr>
        <w:t xml:space="preserve"> </w:t>
      </w:r>
      <w:r w:rsidRPr="00310A6C">
        <w:rPr>
          <w:rStyle w:val="Style13ptBold"/>
        </w:rPr>
        <w:t xml:space="preserve"> 44</w:t>
      </w:r>
    </w:p>
    <w:p w:rsidR="00B91EA4" w:rsidRDefault="00B91EA4" w:rsidP="00B91EA4">
      <w:r>
        <w:t xml:space="preserve">Corpus Juris </w:t>
      </w:r>
      <w:proofErr w:type="spellStart"/>
      <w:r>
        <w:t>Secundum</w:t>
      </w:r>
      <w:proofErr w:type="spellEnd"/>
      <w:r>
        <w:t>, 1944, vol. 42, p. 546</w:t>
      </w:r>
    </w:p>
    <w:p w:rsidR="00B91EA4" w:rsidRPr="00310A6C" w:rsidRDefault="00B91EA4" w:rsidP="00B91EA4">
      <w:r w:rsidRPr="00C40B56">
        <w:rPr>
          <w:rStyle w:val="StyleUnderline"/>
        </w:rPr>
        <w:t>“Increase</w:t>
      </w:r>
      <w:r>
        <w:t xml:space="preserve">” As a Verb.  The term </w:t>
      </w:r>
      <w:r w:rsidRPr="00C40B56">
        <w:rPr>
          <w:rStyle w:val="StyleUnderline"/>
        </w:rPr>
        <w:t>presupposes the existence in some measure</w:t>
      </w:r>
      <w:r>
        <w:t xml:space="preserve">, or to some extent, </w:t>
      </w:r>
      <w:r w:rsidRPr="00C40B56">
        <w:rPr>
          <w:rStyle w:val="StyleUnderline"/>
        </w:rPr>
        <w:t>of something which may be enlarged</w:t>
      </w:r>
      <w:r>
        <w:t>, connotes a change or alteration in the original, and has been defined as meaning to extend or enlarge in size, extent, quantity, number, intensity, value, substance, etc.</w:t>
      </w:r>
    </w:p>
    <w:p w:rsidR="00B91EA4" w:rsidRDefault="00B91EA4" w:rsidP="00B91EA4">
      <w:pPr>
        <w:pStyle w:val="Heading3"/>
      </w:pPr>
      <w:r>
        <w:lastRenderedPageBreak/>
        <w:t>Increase – Not Pre-Existing</w:t>
      </w:r>
    </w:p>
    <w:p w:rsidR="00B91EA4" w:rsidRPr="006D0E51" w:rsidRDefault="00B91EA4" w:rsidP="00B91EA4">
      <w:pPr>
        <w:pStyle w:val="Heading4"/>
      </w:pPr>
      <w:r w:rsidRPr="006D0E51">
        <w:t>Increas</w:t>
      </w:r>
      <w:r>
        <w:t>e doesn’t require pre-existence</w:t>
      </w:r>
    </w:p>
    <w:p w:rsidR="006D3616" w:rsidRDefault="00B91EA4" w:rsidP="00B91EA4">
      <w:r w:rsidRPr="006D0E51">
        <w:rPr>
          <w:b/>
        </w:rPr>
        <w:t>Reinhardt, 05</w:t>
      </w:r>
      <w:r w:rsidRPr="006D0E51">
        <w:rPr>
          <w:sz w:val="16"/>
        </w:rPr>
        <w:t xml:space="preserve"> – </w:t>
      </w:r>
      <w:r w:rsidRPr="007960A1">
        <w:t>U.S. Judge for the</w:t>
      </w:r>
      <w:r w:rsidR="006D3616">
        <w:t xml:space="preserve"> United States Court of Appeals for the Ninth Circuit</w:t>
      </w:r>
    </w:p>
    <w:p w:rsidR="00B91EA4" w:rsidRPr="007960A1" w:rsidRDefault="00B91EA4" w:rsidP="007960A1">
      <w:r w:rsidRPr="007960A1">
        <w:t>(Stephen, JASON RAY REYNOLDS; MATTHEW RAUSCH, Plaintiffs-Appellants, v. HARTFORD FINANCIAL SERVICES GROUP, INC.; HARTFORD FIRE INSURANCE COMPANY, Defendants-Appellees., lexis)</w:t>
      </w:r>
    </w:p>
    <w:p w:rsidR="00B91EA4" w:rsidRPr="007960A1" w:rsidRDefault="00B91EA4" w:rsidP="007960A1"/>
    <w:p w:rsidR="00B91EA4" w:rsidRPr="007960A1" w:rsidRDefault="00B91EA4" w:rsidP="007960A1">
      <w:r w:rsidRPr="007960A1">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under  [*1091]  the ordinary definition of the term, </w:t>
      </w:r>
      <w:r w:rsidRPr="007960A1">
        <w:rPr>
          <w:rStyle w:val="StyleUnderline"/>
        </w:rPr>
        <w:t>an increase in a charge also occurs whenever an insurer charges a higher rate than it would otherwise have charged because of any factor</w:t>
      </w:r>
      <w:r w:rsidRPr="007960A1">
        <w:t>--such as adverse credit information, age, or driving record 8 --</w:t>
      </w:r>
      <w:r w:rsidRPr="007960A1">
        <w:rPr>
          <w:rStyle w:val="StyleUnderline"/>
        </w:rPr>
        <w:t>regardless of whether the customer was previously charged some other rate</w:t>
      </w:r>
      <w:r w:rsidRPr="007960A1">
        <w:t>. 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B91EA4" w:rsidRPr="007960A1" w:rsidRDefault="00B91EA4" w:rsidP="007960A1">
      <w:pPr>
        <w:rPr>
          <w:rStyle w:val="StyleUnderline"/>
        </w:rPr>
      </w:pPr>
      <w:r w:rsidRPr="007960A1">
        <w:t xml:space="preserve"> “</w:t>
      </w:r>
      <w:r w:rsidRPr="007960A1">
        <w:rPr>
          <w:rStyle w:val="StyleUnderline"/>
        </w:rPr>
        <w:t>Increase" means to make something greater</w:t>
      </w:r>
      <w:r w:rsidRPr="007960A1">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r w:rsidRPr="007960A1">
        <w:t>etc</w:t>
      </w:r>
      <w:proofErr w:type="spellEnd"/>
      <w:r w:rsidRPr="007960A1">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7960A1">
        <w:rPr>
          <w:rStyle w:val="StyleUnderline"/>
        </w:rPr>
        <w:t>Nothing in the definition of these words implies that the term "increase in any charge for" should be limited to cases in which a company raises the rate that an individual has previously been charged.</w:t>
      </w:r>
    </w:p>
    <w:p w:rsidR="00B91EA4" w:rsidRPr="006D0E51" w:rsidRDefault="00B91EA4" w:rsidP="00B91EA4">
      <w:pPr>
        <w:rPr>
          <w:sz w:val="16"/>
        </w:rPr>
      </w:pPr>
    </w:p>
    <w:p w:rsidR="00B91EA4" w:rsidRDefault="00B91EA4" w:rsidP="00B91EA4">
      <w:pPr>
        <w:pStyle w:val="Heading3"/>
      </w:pPr>
      <w:r>
        <w:lastRenderedPageBreak/>
        <w:t>XT Increase – Not Pre-Existing</w:t>
      </w:r>
    </w:p>
    <w:p w:rsidR="00B91EA4" w:rsidRPr="006D0E51" w:rsidRDefault="00B91EA4" w:rsidP="00B91EA4">
      <w:pPr>
        <w:pStyle w:val="Heading4"/>
      </w:pPr>
      <w:r w:rsidRPr="006D0E51">
        <w:t>One can increase from zero</w:t>
      </w:r>
    </w:p>
    <w:p w:rsidR="006D3616" w:rsidRDefault="006D3616" w:rsidP="00B91EA4">
      <w:pPr>
        <w:rPr>
          <w:b/>
        </w:rPr>
      </w:pPr>
      <w:r>
        <w:rPr>
          <w:b/>
        </w:rPr>
        <w:t>WORDS AND PHRASES</w:t>
      </w:r>
      <w:r w:rsidR="00B91EA4" w:rsidRPr="006D0E51">
        <w:rPr>
          <w:b/>
        </w:rPr>
        <w:t xml:space="preserve"> 07</w:t>
      </w:r>
    </w:p>
    <w:p w:rsidR="00B91EA4" w:rsidRPr="006D0E51" w:rsidRDefault="00B91EA4" w:rsidP="00B91EA4">
      <w:r w:rsidRPr="006D0E51">
        <w:t xml:space="preserve">(CUMULATIVE SUPPLEMENTARY PAMPHLET, 2007 Vol. 20A, 07, 76. </w:t>
      </w:r>
    </w:p>
    <w:p w:rsidR="00B91EA4" w:rsidRPr="006D0E51" w:rsidRDefault="00B91EA4" w:rsidP="00B91EA4"/>
    <w:p w:rsidR="00B91EA4" w:rsidRPr="006D0E51" w:rsidRDefault="00B91EA4" w:rsidP="00B91EA4">
      <w:r w:rsidRPr="006D0E51">
        <w:rPr>
          <w:szCs w:val="26"/>
        </w:rPr>
        <w:t xml:space="preserve">Increase: </w:t>
      </w:r>
      <w:r w:rsidRPr="006D0E51">
        <w:rPr>
          <w:szCs w:val="26"/>
          <w:highlight w:val="yellow"/>
          <w:u w:val="single"/>
        </w:rPr>
        <w:t>Salary change of from zero to $12,000</w:t>
      </w:r>
      <w:r w:rsidRPr="006D0E51">
        <w:rPr>
          <w:szCs w:val="26"/>
        </w:rPr>
        <w:t xml:space="preserve"> and $1,200 </w:t>
      </w:r>
      <w:r w:rsidRPr="006D0E51">
        <w:rPr>
          <w:szCs w:val="26"/>
          <w:u w:val="single"/>
        </w:rPr>
        <w:t>annually</w:t>
      </w:r>
      <w:r w:rsidRPr="006D0E51">
        <w:rPr>
          <w:szCs w:val="26"/>
        </w:rPr>
        <w:t xml:space="preserve"> for mayor and councilmen respectively</w:t>
      </w:r>
      <w:r w:rsidRPr="006D0E51">
        <w:rPr>
          <w:szCs w:val="26"/>
          <w:u w:val="single"/>
        </w:rPr>
        <w:t xml:space="preserve"> </w:t>
      </w:r>
      <w:r w:rsidRPr="006D0E51">
        <w:rPr>
          <w:szCs w:val="26"/>
          <w:highlight w:val="yellow"/>
          <w:u w:val="single"/>
        </w:rPr>
        <w:t>was an “increase” in salary</w:t>
      </w:r>
      <w:r w:rsidRPr="006D0E51">
        <w:rPr>
          <w:szCs w:val="26"/>
          <w:u w:val="single"/>
        </w:rPr>
        <w:t xml:space="preserve"> and not merely the fixing of salary</w:t>
      </w:r>
      <w:r w:rsidRPr="006D0E51">
        <w:rPr>
          <w:szCs w:val="26"/>
        </w:rPr>
        <w:t>. King v. Herron, 243 S.E.2d36, 241 Ga. 5.</w:t>
      </w:r>
    </w:p>
    <w:p w:rsidR="00B91EA4" w:rsidRDefault="00B91EA4" w:rsidP="00B91EA4">
      <w:pPr>
        <w:rPr>
          <w:sz w:val="16"/>
        </w:rPr>
      </w:pPr>
    </w:p>
    <w:p w:rsidR="00B91EA4" w:rsidRPr="006D0E51" w:rsidRDefault="00B91EA4" w:rsidP="00B91EA4">
      <w:pPr>
        <w:pStyle w:val="Heading4"/>
      </w:pPr>
      <w:r w:rsidRPr="006D0E51">
        <w:t>Increase requires a net increase</w:t>
      </w:r>
    </w:p>
    <w:p w:rsidR="009A2E7D" w:rsidRDefault="00B91EA4" w:rsidP="00B91EA4">
      <w:r w:rsidRPr="006D0E51">
        <w:rPr>
          <w:b/>
        </w:rPr>
        <w:t>Words and Phrases 8</w:t>
      </w:r>
      <w:r w:rsidRPr="006D0E51">
        <w:t xml:space="preserve"> </w:t>
      </w:r>
    </w:p>
    <w:p w:rsidR="00B91EA4" w:rsidRPr="006D0E51" w:rsidRDefault="00B91EA4" w:rsidP="009A2E7D">
      <w:r w:rsidRPr="006D0E51">
        <w:t>(20B W&amp;P – 265-265)</w:t>
      </w:r>
    </w:p>
    <w:p w:rsidR="00B91EA4" w:rsidRDefault="00B91EA4" w:rsidP="00B91EA4">
      <w:r w:rsidRPr="006D0E51">
        <w:t xml:space="preserve">Cal.App.2 Dist. 1991.  </w:t>
      </w:r>
      <w:r w:rsidRPr="00905628">
        <w:rPr>
          <w:rStyle w:val="StyleUnderline"/>
        </w:rPr>
        <w:t>Term “increase</w:t>
      </w:r>
      <w:r w:rsidRPr="006D0E51">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905628">
        <w:rPr>
          <w:rStyle w:val="StyleUnderline"/>
        </w:rPr>
        <w:t>refers to “net increase” in</w:t>
      </w:r>
      <w:r w:rsidRPr="006D0E51">
        <w:t xml:space="preserve"> power plant’s </w:t>
      </w:r>
      <w:r w:rsidRPr="00905628">
        <w:rPr>
          <w:rStyle w:val="StyleUnderline"/>
        </w:rPr>
        <w:t xml:space="preserve">total </w:t>
      </w:r>
      <w:r w:rsidRPr="006D0E51">
        <w:t xml:space="preserve">generating </w:t>
      </w:r>
      <w:r w:rsidRPr="00905628">
        <w:rPr>
          <w:rStyle w:val="StyleUnderline"/>
        </w:rPr>
        <w:t>capacity</w:t>
      </w:r>
      <w:r w:rsidRPr="006D0E51">
        <w:t xml:space="preserve">; in deciding whether there has been the requisite 50-megawatt increase as a result of new units being incorporated into a plant, </w:t>
      </w:r>
      <w:r w:rsidRPr="00905628">
        <w:rPr>
          <w:rStyle w:val="StyleUnderline"/>
        </w:rPr>
        <w:t xml:space="preserve">Energy Commission cannot ignore decreases in capacity </w:t>
      </w:r>
      <w:r w:rsidRPr="006D0E51">
        <w:t xml:space="preserve">caused by retirement or deactivation of other units at plant.  West’s </w:t>
      </w:r>
      <w:proofErr w:type="spellStart"/>
      <w:r w:rsidRPr="006D0E51">
        <w:t>Ann.Cal.Pub.Res.Code</w:t>
      </w:r>
      <w:proofErr w:type="spellEnd"/>
      <w:r w:rsidRPr="006D0E51">
        <w:t xml:space="preserve"> § 25123.</w:t>
      </w:r>
    </w:p>
    <w:p w:rsidR="00B91EA4" w:rsidRPr="006D0E51" w:rsidRDefault="00B91EA4" w:rsidP="00B91EA4">
      <w:pPr>
        <w:pStyle w:val="Heading4"/>
      </w:pPr>
      <w:r w:rsidRPr="006D0E51">
        <w:t>Increase requires direct comparison to a baseline to determine the increase</w:t>
      </w:r>
    </w:p>
    <w:p w:rsidR="006D3616" w:rsidRPr="006D3616" w:rsidRDefault="00B91EA4" w:rsidP="00B91EA4">
      <w:r w:rsidRPr="006D0E51">
        <w:rPr>
          <w:b/>
        </w:rPr>
        <w:t>Ripple 87</w:t>
      </w:r>
      <w:r w:rsidR="006D3616">
        <w:rPr>
          <w:b/>
        </w:rPr>
        <w:t xml:space="preserve"> </w:t>
      </w:r>
      <w:r w:rsidR="006D3616" w:rsidRPr="006D3616">
        <w:t>– Circuit Judge</w:t>
      </w:r>
    </w:p>
    <w:p w:rsidR="00B91EA4" w:rsidRPr="006D3616" w:rsidRDefault="006D3616" w:rsidP="006D3616">
      <w:r w:rsidRPr="006D3616">
        <w:t>(</w:t>
      </w:r>
      <w:proofErr w:type="spellStart"/>
      <w:r w:rsidR="00B91EA4" w:rsidRPr="006D3616">
        <w:t>Emmlee</w:t>
      </w:r>
      <w:proofErr w:type="spellEnd"/>
      <w:r w:rsidR="00B91EA4" w:rsidRPr="006D3616">
        <w:t xml:space="preserve"> K. Cameron, </w:t>
      </w:r>
      <w:r w:rsidRPr="006D3616">
        <w:t>“</w:t>
      </w:r>
      <w:r w:rsidR="00B91EA4" w:rsidRPr="006D3616">
        <w:t xml:space="preserve">Plaintiff-Appellant, v. Frances Slocum Bank &amp; Trust Company, State Automobile Insurance Association, and </w:t>
      </w:r>
      <w:proofErr w:type="spellStart"/>
      <w:r w:rsidR="00B91EA4" w:rsidRPr="006D3616">
        <w:t>Glassley</w:t>
      </w:r>
      <w:proofErr w:type="spellEnd"/>
      <w:r w:rsidR="00B91EA4" w:rsidRPr="006D3616">
        <w:t xml:space="preserve"> Agency of Whitley, Indiana, Defendants-Appellees,</w:t>
      </w:r>
      <w:r w:rsidRPr="006D3616">
        <w:t>”</w:t>
      </w:r>
      <w:r w:rsidR="00B91EA4" w:rsidRPr="006D3616">
        <w:t xml:space="preserve"> 824 F.2d 570; 1987 U.S. App. LEXIS 9816, 9/24, lexis)</w:t>
      </w:r>
    </w:p>
    <w:p w:rsidR="00B91EA4" w:rsidRPr="000C6CE2" w:rsidRDefault="00B91EA4" w:rsidP="00B91EA4">
      <w:pPr>
        <w:rPr>
          <w:rFonts w:ascii="Georgia" w:hAnsi="Georgia"/>
          <w:sz w:val="16"/>
        </w:rPr>
      </w:pPr>
      <w:r w:rsidRPr="006D0E51">
        <w:rPr>
          <w:rFonts w:ascii="Georgia" w:hAnsi="Georgia"/>
          <w:sz w:val="16"/>
        </w:rPr>
        <w:t xml:space="preserve">Also related to the waiver issue is appellees' defense relying on a provision of the insurance policy that suspends coverage where the risk is increased by any means within the knowledge or control of the insured. However, </w:t>
      </w:r>
      <w:r w:rsidRPr="006D0E51">
        <w:rPr>
          <w:rFonts w:ascii="Georgia" w:hAnsi="Georgia"/>
          <w:u w:val="single"/>
        </w:rPr>
        <w:t xml:space="preserve">the </w:t>
      </w:r>
      <w:r w:rsidRPr="00905628">
        <w:rPr>
          <w:rStyle w:val="StyleUnderline"/>
        </w:rPr>
        <w:t>term "increase" connotes change. To show change, appellees would have been required to present evidence of the condition of the building at the time the policy was issued</w:t>
      </w:r>
      <w:r w:rsidRPr="006D0E51">
        <w:rPr>
          <w:rFonts w:ascii="Georgia" w:hAnsi="Georgia"/>
          <w:sz w:val="16"/>
        </w:rPr>
        <w:t xml:space="preserve">. See 5 J. </w:t>
      </w:r>
      <w:proofErr w:type="spellStart"/>
      <w:r w:rsidRPr="006D0E51">
        <w:rPr>
          <w:rFonts w:ascii="Georgia" w:hAnsi="Georgia"/>
          <w:sz w:val="16"/>
        </w:rPr>
        <w:t>Appleman</w:t>
      </w:r>
      <w:proofErr w:type="spellEnd"/>
      <w:r w:rsidRPr="006D0E51">
        <w:rPr>
          <w:rFonts w:ascii="Georgia" w:hAnsi="Georgia"/>
          <w:sz w:val="16"/>
        </w:rPr>
        <w:t xml:space="preserve"> &amp; J. </w:t>
      </w:r>
      <w:proofErr w:type="spellStart"/>
      <w:r w:rsidRPr="006D0E51">
        <w:rPr>
          <w:rFonts w:ascii="Georgia" w:hAnsi="Georgia"/>
          <w:sz w:val="16"/>
        </w:rPr>
        <w:t>Appleman</w:t>
      </w:r>
      <w:proofErr w:type="spellEnd"/>
      <w:r w:rsidRPr="006D0E51">
        <w:rPr>
          <w:rFonts w:ascii="Georgia" w:hAnsi="Georgia"/>
          <w:sz w:val="16"/>
        </w:rPr>
        <w:t xml:space="preserve">, Insurance Law and Practice, § 2941 at 4-5 (1970). </w:t>
      </w:r>
      <w:r w:rsidRPr="00905628">
        <w:rPr>
          <w:rStyle w:val="StyleUnderline"/>
        </w:rPr>
        <w:t>Because no such evidence was presented, this court cannot determine</w:t>
      </w:r>
      <w:r w:rsidRPr="006D0E51">
        <w:rPr>
          <w:rFonts w:ascii="Georgia" w:hAnsi="Georgia"/>
          <w:sz w:val="16"/>
        </w:rPr>
        <w:t xml:space="preserve">, on this record, </w:t>
      </w:r>
      <w:r w:rsidRPr="00905628">
        <w:rPr>
          <w:rStyle w:val="StyleUnderline"/>
        </w:rPr>
        <w:t>whether the risk has, in fact, been increased</w:t>
      </w:r>
      <w:r w:rsidRPr="006D0E51">
        <w:rPr>
          <w:rFonts w:ascii="Georgia" w:hAnsi="Georgia"/>
          <w:u w:val="single"/>
        </w:rPr>
        <w:t>.</w:t>
      </w:r>
      <w:r w:rsidRPr="006D0E51">
        <w:rPr>
          <w:rFonts w:ascii="Georgia" w:hAnsi="Georgia"/>
          <w:sz w:val="16"/>
        </w:rPr>
        <w:t xml:space="preserve"> Indeed, the answer to this question may depend on Mr. </w:t>
      </w:r>
      <w:proofErr w:type="spellStart"/>
      <w:r w:rsidRPr="006D0E51">
        <w:rPr>
          <w:rFonts w:ascii="Georgia" w:hAnsi="Georgia"/>
          <w:sz w:val="16"/>
        </w:rPr>
        <w:t>Glassley's</w:t>
      </w:r>
      <w:proofErr w:type="spellEnd"/>
      <w:r w:rsidRPr="006D0E51">
        <w:rPr>
          <w:rFonts w:ascii="Georgia" w:hAnsi="Georgia"/>
          <w:sz w:val="16"/>
        </w:rPr>
        <w:t xml:space="preserve"> knowledge of the condition of the building at the time the policy was issued, see 17 J. </w:t>
      </w:r>
      <w:proofErr w:type="spellStart"/>
      <w:r w:rsidRPr="006D0E51">
        <w:rPr>
          <w:rFonts w:ascii="Georgia" w:hAnsi="Georgia"/>
          <w:sz w:val="16"/>
        </w:rPr>
        <w:t>Appleman</w:t>
      </w:r>
      <w:proofErr w:type="spellEnd"/>
      <w:r w:rsidRPr="006D0E51">
        <w:rPr>
          <w:rFonts w:ascii="Georgia" w:hAnsi="Georgia"/>
          <w:sz w:val="16"/>
        </w:rPr>
        <w:t xml:space="preserve"> &amp; J. </w:t>
      </w:r>
      <w:proofErr w:type="spellStart"/>
      <w:r w:rsidRPr="006D0E51">
        <w:rPr>
          <w:rFonts w:ascii="Georgia" w:hAnsi="Georgia"/>
          <w:sz w:val="16"/>
        </w:rPr>
        <w:t>Appleman</w:t>
      </w:r>
      <w:proofErr w:type="spellEnd"/>
      <w:r w:rsidRPr="006D0E51">
        <w:rPr>
          <w:rFonts w:ascii="Georgia" w:hAnsi="Georgia"/>
          <w:sz w:val="16"/>
        </w:rPr>
        <w:t>, Insurance Law and Practice, § 9602 at 515-16 (1981), since the fundamental issue is whether the appellees contemplated insuring the risk which incurred the loss.</w:t>
      </w:r>
    </w:p>
    <w:p w:rsidR="00B91EA4" w:rsidRPr="00B91EA4" w:rsidRDefault="00B91EA4" w:rsidP="00B91EA4"/>
    <w:p w:rsidR="00B91EA4" w:rsidRDefault="00B91EA4" w:rsidP="00B91EA4">
      <w:pPr>
        <w:pStyle w:val="Heading2"/>
      </w:pPr>
      <w:r>
        <w:lastRenderedPageBreak/>
        <w:t>Its</w:t>
      </w:r>
    </w:p>
    <w:p w:rsidR="00B91EA4" w:rsidRDefault="00B91EA4" w:rsidP="00B91EA4">
      <w:pPr>
        <w:pStyle w:val="Heading3"/>
      </w:pPr>
      <w:r>
        <w:lastRenderedPageBreak/>
        <w:t>Its – Possessive Pronoun</w:t>
      </w:r>
    </w:p>
    <w:p w:rsidR="00B91EA4" w:rsidRPr="00EE1E94" w:rsidRDefault="00B91EA4" w:rsidP="00B91EA4">
      <w:pPr>
        <w:pStyle w:val="Heading4"/>
      </w:pPr>
      <w:r w:rsidRPr="00EE1E94">
        <w:t>“Its” means belonging to it or that thing</w:t>
      </w:r>
    </w:p>
    <w:p w:rsidR="006D3616" w:rsidRDefault="006D3616" w:rsidP="00B91EA4">
      <w:pPr>
        <w:rPr>
          <w:rFonts w:cstheme="minorHAnsi"/>
          <w:sz w:val="16"/>
        </w:rPr>
      </w:pPr>
      <w:r>
        <w:rPr>
          <w:rStyle w:val="Style13ptBold"/>
        </w:rPr>
        <w:t>Oxford English Dictionary</w:t>
      </w:r>
      <w:r w:rsidR="00B91EA4" w:rsidRPr="00EE1E94">
        <w:rPr>
          <w:rStyle w:val="Style13ptBold"/>
        </w:rPr>
        <w:t xml:space="preserve"> 1989</w:t>
      </w:r>
      <w:r w:rsidR="00B91EA4" w:rsidRPr="00EE1E94">
        <w:rPr>
          <w:rFonts w:cstheme="minorHAnsi"/>
          <w:sz w:val="16"/>
        </w:rPr>
        <w:t xml:space="preserve">  </w:t>
      </w:r>
    </w:p>
    <w:p w:rsidR="00B91EA4" w:rsidRPr="00EE1E94" w:rsidRDefault="00B91EA4" w:rsidP="00B91EA4">
      <w:r w:rsidRPr="00EE1E94">
        <w:t xml:space="preserve">Its A. As adj. poss. pron. </w:t>
      </w:r>
      <w:r w:rsidRPr="00EE1E94">
        <w:rPr>
          <w:rStyle w:val="StyleUnderline"/>
        </w:rPr>
        <w:t>Of or belonging to it, or that thing</w:t>
      </w:r>
      <w:r w:rsidRPr="00EE1E94">
        <w:t xml:space="preserve"> (L. </w:t>
      </w:r>
      <w:proofErr w:type="spellStart"/>
      <w:r w:rsidRPr="00EE1E94">
        <w:t>ejus</w:t>
      </w:r>
      <w:proofErr w:type="spellEnd"/>
      <w:r w:rsidRPr="00EE1E94">
        <w:t xml:space="preserve">); also refl., Of or belonging to itself, its own (L. </w:t>
      </w:r>
      <w:proofErr w:type="spellStart"/>
      <w:r w:rsidRPr="00EE1E94">
        <w:t>suus</w:t>
      </w:r>
      <w:proofErr w:type="spellEnd"/>
      <w:r w:rsidRPr="00EE1E94">
        <w:t xml:space="preserve">). The reflexive is often more fully its own, for which in earlier times the own, </w:t>
      </w:r>
      <w:proofErr w:type="spellStart"/>
      <w:r w:rsidRPr="00EE1E94">
        <w:t>it</w:t>
      </w:r>
      <w:proofErr w:type="spellEnd"/>
      <w:r w:rsidRPr="00EE1E94">
        <w:t xml:space="preserve"> own, were used: see OWN.</w:t>
      </w:r>
    </w:p>
    <w:p w:rsidR="00B91EA4" w:rsidRDefault="00B91EA4" w:rsidP="00B91EA4">
      <w:pPr>
        <w:pStyle w:val="Heading3"/>
      </w:pPr>
      <w:r>
        <w:lastRenderedPageBreak/>
        <w:t>XT Its – Possessive Pronoun</w:t>
      </w:r>
    </w:p>
    <w:p w:rsidR="00B91EA4" w:rsidRPr="00EE1E94" w:rsidRDefault="00B91EA4" w:rsidP="00B91EA4">
      <w:pPr>
        <w:pStyle w:val="Heading4"/>
      </w:pPr>
      <w:r w:rsidRPr="00EE1E94">
        <w:t>Its” implies possession</w:t>
      </w:r>
    </w:p>
    <w:p w:rsidR="006D3616" w:rsidRDefault="006D3616" w:rsidP="00B91EA4">
      <w:pPr>
        <w:rPr>
          <w:rFonts w:cstheme="minorHAnsi"/>
          <w:sz w:val="16"/>
        </w:rPr>
      </w:pPr>
      <w:r>
        <w:rPr>
          <w:rStyle w:val="Style13ptBold"/>
        </w:rPr>
        <w:t xml:space="preserve">Corpus Juris </w:t>
      </w:r>
      <w:proofErr w:type="spellStart"/>
      <w:r>
        <w:rPr>
          <w:rStyle w:val="Style13ptBold"/>
        </w:rPr>
        <w:t>Secundum</w:t>
      </w:r>
      <w:proofErr w:type="spellEnd"/>
      <w:r w:rsidR="00B91EA4" w:rsidRPr="00EE1E94">
        <w:rPr>
          <w:rStyle w:val="Style13ptBold"/>
        </w:rPr>
        <w:t xml:space="preserve"> 1981</w:t>
      </w:r>
      <w:r w:rsidR="00B91EA4">
        <w:rPr>
          <w:rFonts w:cstheme="minorHAnsi"/>
          <w:sz w:val="16"/>
        </w:rPr>
        <w:t xml:space="preserve"> </w:t>
      </w:r>
    </w:p>
    <w:p w:rsidR="00B91EA4" w:rsidRDefault="00B91EA4" w:rsidP="00B91EA4">
      <w:pPr>
        <w:rPr>
          <w:rFonts w:cstheme="minorHAnsi"/>
          <w:sz w:val="16"/>
        </w:rPr>
      </w:pPr>
      <w:r w:rsidRPr="006D3616">
        <w:t>(Volume 48A, p. 247)</w:t>
      </w:r>
    </w:p>
    <w:p w:rsidR="00B91EA4" w:rsidRPr="00EE1E94" w:rsidRDefault="00B91EA4" w:rsidP="00B91EA4">
      <w:pPr>
        <w:pStyle w:val="card"/>
        <w:ind w:left="0"/>
        <w:rPr>
          <w:rFonts w:asciiTheme="minorHAnsi" w:hAnsiTheme="minorHAnsi" w:cstheme="minorHAnsi"/>
          <w:sz w:val="16"/>
        </w:rPr>
      </w:pPr>
      <w:r w:rsidRPr="006377D6">
        <w:t>Its</w:t>
      </w:r>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The possessive case of the neuter pronoun “it.”  </w:t>
      </w:r>
      <w:r w:rsidRPr="006377D6">
        <w:t>Also, as an adjective</w:t>
      </w:r>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meaning of or belonging to it. </w:t>
      </w:r>
      <w:r w:rsidRPr="00EE1E94">
        <w:rPr>
          <w:rFonts w:asciiTheme="minorHAnsi" w:hAnsiTheme="minorHAnsi" w:cstheme="minorHAnsi"/>
          <w:sz w:val="16"/>
        </w:rPr>
        <w:t xml:space="preserve"> </w:t>
      </w:r>
      <w:r w:rsidRPr="006377D6">
        <w:t>Sometimes referred to as the possessive word, but it does not necessarily imply ownership in fee, but may indicate merely a right to use.</w:t>
      </w:r>
    </w:p>
    <w:p w:rsidR="00B91EA4" w:rsidRPr="00EE1E94" w:rsidRDefault="00B91EA4" w:rsidP="00B91EA4">
      <w:pPr>
        <w:pStyle w:val="Heading4"/>
      </w:pPr>
      <w:r w:rsidRPr="00EE1E94">
        <w:t>“Its” is an attributive adjective showing possession</w:t>
      </w:r>
    </w:p>
    <w:p w:rsidR="00B91EA4" w:rsidRDefault="006D3616" w:rsidP="00B91EA4">
      <w:pPr>
        <w:rPr>
          <w:rFonts w:cstheme="minorHAnsi"/>
          <w:sz w:val="16"/>
        </w:rPr>
      </w:pPr>
      <w:r>
        <w:rPr>
          <w:rStyle w:val="Style13ptBold"/>
        </w:rPr>
        <w:t>Random House Dictionary</w:t>
      </w:r>
      <w:r w:rsidR="00B91EA4" w:rsidRPr="00EE1E94">
        <w:rPr>
          <w:rStyle w:val="Style13ptBold"/>
        </w:rPr>
        <w:t xml:space="preserve"> 1966</w:t>
      </w:r>
      <w:r w:rsidR="00B91EA4">
        <w:rPr>
          <w:rFonts w:cstheme="minorHAnsi"/>
          <w:sz w:val="16"/>
        </w:rPr>
        <w:t xml:space="preserve"> (p.  758)</w:t>
      </w:r>
    </w:p>
    <w:p w:rsidR="00B91EA4" w:rsidRPr="006377D6" w:rsidRDefault="00B91EA4" w:rsidP="00B91EA4">
      <w:pPr>
        <w:pStyle w:val="card"/>
        <w:ind w:left="0"/>
      </w:pPr>
      <w:r w:rsidRPr="006377D6">
        <w:t>Its (pronoun).</w:t>
      </w:r>
      <w:r w:rsidRPr="00EE1E94">
        <w:rPr>
          <w:rFonts w:asciiTheme="minorHAnsi" w:hAnsiTheme="minorHAnsi" w:cstheme="minorHAnsi"/>
          <w:sz w:val="16"/>
        </w:rPr>
        <w:t xml:space="preserve">  </w:t>
      </w:r>
      <w:r w:rsidRPr="00183FD1">
        <w:rPr>
          <w:rStyle w:val="underline"/>
          <w:rFonts w:asciiTheme="minorHAnsi" w:hAnsiTheme="minorHAnsi" w:cstheme="minorHAnsi"/>
        </w:rPr>
        <w:t>The possessive form of it (used as an attributive adjective</w:t>
      </w:r>
      <w:r w:rsidRPr="00EE1E94">
        <w:rPr>
          <w:rFonts w:asciiTheme="minorHAnsi" w:hAnsiTheme="minorHAnsi" w:cstheme="minorHAnsi"/>
          <w:sz w:val="16"/>
        </w:rPr>
        <w:t xml:space="preserve">:  </w:t>
      </w:r>
      <w:r w:rsidRPr="006377D6">
        <w:t>The book has lost its jacket.  I’m sorry about its being so late.)</w:t>
      </w:r>
    </w:p>
    <w:p w:rsidR="00B91EA4" w:rsidRPr="00B91EA4" w:rsidRDefault="00B91EA4" w:rsidP="00B91EA4"/>
    <w:p w:rsidR="005C78F5" w:rsidRDefault="005C78F5" w:rsidP="00B91EA4">
      <w:pPr>
        <w:pStyle w:val="Heading2"/>
      </w:pPr>
      <w:r>
        <w:lastRenderedPageBreak/>
        <w:t>Funding</w:t>
      </w:r>
    </w:p>
    <w:p w:rsidR="00EC4856" w:rsidRDefault="00EC4856" w:rsidP="00EC4856">
      <w:pPr>
        <w:pStyle w:val="Heading3"/>
      </w:pPr>
      <w:bookmarkStart w:id="0" w:name="_GoBack"/>
      <w:bookmarkEnd w:id="0"/>
      <w:r>
        <w:lastRenderedPageBreak/>
        <w:t>1nc Funding – Purpose</w:t>
      </w:r>
    </w:p>
    <w:p w:rsidR="00EC4856" w:rsidRDefault="00EC4856" w:rsidP="00EC4856">
      <w:pPr>
        <w:pStyle w:val="Heading4"/>
      </w:pPr>
      <w:r>
        <w:t>Funding has to be used for a particular purpose and its distinct from financing</w:t>
      </w:r>
    </w:p>
    <w:p w:rsidR="00EC4856" w:rsidRPr="009939F5" w:rsidRDefault="00EC4856" w:rsidP="00EC4856">
      <w:pPr>
        <w:rPr>
          <w:rStyle w:val="Style13ptBold"/>
        </w:rPr>
      </w:pPr>
      <w:r>
        <w:rPr>
          <w:rStyle w:val="Style13ptBold"/>
        </w:rPr>
        <w:t xml:space="preserve">Financial Times 16 </w:t>
      </w:r>
      <w:r w:rsidRPr="009939F5">
        <w:t>–</w:t>
      </w:r>
      <w:r>
        <w:rPr>
          <w:rStyle w:val="Style13ptBold"/>
        </w:rPr>
        <w:t xml:space="preserve"> </w:t>
      </w:r>
      <w:r w:rsidRPr="009939F5">
        <w:t>English Language International Newspaper</w:t>
      </w:r>
      <w:r>
        <w:rPr>
          <w:rStyle w:val="Style13ptBold"/>
        </w:rPr>
        <w:t xml:space="preserve"> </w:t>
      </w:r>
    </w:p>
    <w:p w:rsidR="00EC4856" w:rsidRPr="009939F5" w:rsidRDefault="00EC4856" w:rsidP="00EC4856">
      <w:r>
        <w:t xml:space="preserve">(Financial Times Lexicon, </w:t>
      </w:r>
      <w:r w:rsidRPr="009939F5">
        <w:t>http://lexicon.ft.com/Term?term=funding&amp;mhq5j=e2</w:t>
      </w:r>
    </w:p>
    <w:p w:rsidR="00EC4856" w:rsidRPr="009939F5" w:rsidRDefault="00EC4856" w:rsidP="00EC4856">
      <w:pPr>
        <w:rPr>
          <w:rStyle w:val="Emphasis"/>
        </w:rPr>
      </w:pPr>
      <w:r w:rsidRPr="009939F5">
        <w:rPr>
          <w:rStyle w:val="StyleUnderline"/>
        </w:rPr>
        <w:t xml:space="preserve">Money secured for a </w:t>
      </w:r>
      <w:r w:rsidRPr="009939F5">
        <w:rPr>
          <w:rStyle w:val="Emphasis"/>
        </w:rPr>
        <w:t>particular purpose</w:t>
      </w:r>
      <w:r w:rsidRPr="009939F5">
        <w:rPr>
          <w:rStyle w:val="StyleUnderline"/>
        </w:rPr>
        <w:t xml:space="preserve">, such as a project, a start-up company, </w:t>
      </w:r>
      <w:r w:rsidRPr="009939F5">
        <w:t xml:space="preserve">etc. </w:t>
      </w:r>
      <w:r w:rsidRPr="009939F5">
        <w:rPr>
          <w:rStyle w:val="StyleUnderline"/>
        </w:rPr>
        <w:t xml:space="preserve">Financing has a similar meaning, but is used </w:t>
      </w:r>
      <w:r w:rsidRPr="009939F5">
        <w:rPr>
          <w:rStyle w:val="Emphasis"/>
        </w:rPr>
        <w:t>more for loans.</w:t>
      </w:r>
    </w:p>
    <w:p w:rsidR="00EC4856" w:rsidRPr="009939F5" w:rsidRDefault="00EC4856" w:rsidP="00EC4856"/>
    <w:p w:rsidR="00967E7E" w:rsidRDefault="00967E7E" w:rsidP="00090DF8">
      <w:pPr>
        <w:pStyle w:val="Heading3"/>
      </w:pPr>
      <w:r>
        <w:lastRenderedPageBreak/>
        <w:t xml:space="preserve">1nc Funding – Monetary </w:t>
      </w:r>
    </w:p>
    <w:p w:rsidR="00090DF8" w:rsidRDefault="00F03569" w:rsidP="00090DF8">
      <w:pPr>
        <w:pStyle w:val="Heading3"/>
      </w:pPr>
      <w:r>
        <w:lastRenderedPageBreak/>
        <w:t>XT</w:t>
      </w:r>
      <w:r w:rsidR="00090DF8">
        <w:t xml:space="preserve"> Funding – Monetary </w:t>
      </w:r>
    </w:p>
    <w:p w:rsidR="00090DF8" w:rsidRDefault="00090DF8" w:rsidP="00090DF8">
      <w:pPr>
        <w:pStyle w:val="Heading4"/>
      </w:pPr>
      <w:r>
        <w:t>Funding has to be money</w:t>
      </w:r>
    </w:p>
    <w:p w:rsidR="00090DF8" w:rsidRPr="00E52ABF" w:rsidRDefault="00090DF8" w:rsidP="00090DF8">
      <w:pPr>
        <w:rPr>
          <w:rStyle w:val="Style13ptBold"/>
        </w:rPr>
      </w:pPr>
      <w:r>
        <w:rPr>
          <w:rStyle w:val="Style13ptBold"/>
        </w:rPr>
        <w:t>Cambridge Dictionary 13</w:t>
      </w:r>
    </w:p>
    <w:p w:rsidR="00090DF8" w:rsidRPr="00E52ABF" w:rsidRDefault="00090DF8" w:rsidP="00090DF8">
      <w:r>
        <w:t xml:space="preserve">(Cambridge Dictionary, </w:t>
      </w:r>
      <w:r w:rsidRPr="00E52ABF">
        <w:t>http://dictionary.cambridge.org/us/dictionary/english/funding</w:t>
      </w:r>
      <w:r>
        <w:t>)</w:t>
      </w:r>
    </w:p>
    <w:p w:rsidR="00090DF8" w:rsidRPr="00E52ABF" w:rsidRDefault="00E057D8" w:rsidP="00090DF8">
      <w:pPr>
        <w:rPr>
          <w:rStyle w:val="StyleUnderline"/>
        </w:rPr>
      </w:pPr>
      <w:hyperlink r:id="rId15" w:tooltip="money" w:history="1">
        <w:r w:rsidR="00090DF8" w:rsidRPr="00E52ABF">
          <w:rPr>
            <w:rStyle w:val="StyleUnderline"/>
          </w:rPr>
          <w:t>money</w:t>
        </w:r>
      </w:hyperlink>
      <w:r w:rsidR="00090DF8" w:rsidRPr="00E52ABF">
        <w:rPr>
          <w:rStyle w:val="StyleUnderline"/>
        </w:rPr>
        <w:t> made </w:t>
      </w:r>
      <w:hyperlink r:id="rId16" w:tooltip="available" w:history="1">
        <w:r w:rsidR="00090DF8" w:rsidRPr="00E52ABF">
          <w:rPr>
            <w:rStyle w:val="StyleUnderline"/>
          </w:rPr>
          <w:t>available</w:t>
        </w:r>
      </w:hyperlink>
      <w:r w:rsidR="00090DF8" w:rsidRPr="00E52ABF">
        <w:rPr>
          <w:rStyle w:val="StyleUnderline"/>
        </w:rPr>
        <w:t> for a </w:t>
      </w:r>
      <w:hyperlink r:id="rId17" w:tooltip="particular" w:history="1">
        <w:r w:rsidR="00090DF8" w:rsidRPr="00E52ABF">
          <w:rPr>
            <w:rStyle w:val="StyleUnderline"/>
          </w:rPr>
          <w:t>particular</w:t>
        </w:r>
      </w:hyperlink>
      <w:r w:rsidR="00090DF8" w:rsidRPr="00E52ABF">
        <w:rPr>
          <w:rStyle w:val="StyleUnderline"/>
        </w:rPr>
        <w:t> </w:t>
      </w:r>
      <w:hyperlink r:id="rId18" w:tooltip="purpose" w:history="1">
        <w:r w:rsidR="00090DF8" w:rsidRPr="00E52ABF">
          <w:rPr>
            <w:rStyle w:val="StyleUnderline"/>
          </w:rPr>
          <w:t>purpose</w:t>
        </w:r>
      </w:hyperlink>
      <w:r w:rsidR="00090DF8" w:rsidRPr="00E52ABF">
        <w:rPr>
          <w:rStyle w:val="StyleUnderline"/>
        </w:rPr>
        <w:t>:</w:t>
      </w:r>
    </w:p>
    <w:p w:rsidR="00F03569" w:rsidRDefault="00F03569" w:rsidP="00F03569">
      <w:pPr>
        <w:pStyle w:val="Heading3"/>
      </w:pPr>
      <w:r>
        <w:lastRenderedPageBreak/>
        <w:t>XT Funding – Monetary</w:t>
      </w:r>
    </w:p>
    <w:p w:rsidR="00F03569" w:rsidRDefault="00F03569" w:rsidP="00F03569">
      <w:pPr>
        <w:pStyle w:val="Heading4"/>
      </w:pPr>
      <w:r>
        <w:t xml:space="preserve">Funding has to be a </w:t>
      </w:r>
      <w:r w:rsidRPr="00F03569">
        <w:rPr>
          <w:u w:val="single"/>
        </w:rPr>
        <w:t>sum of money</w:t>
      </w:r>
      <w:r>
        <w:t xml:space="preserve"> set aside for a </w:t>
      </w:r>
      <w:r w:rsidRPr="00F03569">
        <w:rPr>
          <w:u w:val="single"/>
        </w:rPr>
        <w:t>particular purpose</w:t>
      </w:r>
      <w:r>
        <w:t xml:space="preserve"> </w:t>
      </w:r>
    </w:p>
    <w:p w:rsidR="00F03569" w:rsidRPr="00F03569" w:rsidRDefault="00F03569" w:rsidP="00F03569">
      <w:pPr>
        <w:rPr>
          <w:rStyle w:val="Style13ptBold"/>
        </w:rPr>
      </w:pPr>
      <w:r w:rsidRPr="00F03569">
        <w:rPr>
          <w:rStyle w:val="Style13ptBold"/>
        </w:rPr>
        <w:t>Law Library of King County 17</w:t>
      </w:r>
    </w:p>
    <w:p w:rsidR="00F03569" w:rsidRPr="00F03569" w:rsidRDefault="00F03569" w:rsidP="00F03569">
      <w:r>
        <w:t xml:space="preserve">(Public Law Library of King County, </w:t>
      </w:r>
      <w:r w:rsidRPr="00F03569">
        <w:t>http://pllkc2.org/probate/glossary/f/</w:t>
      </w:r>
      <w:r>
        <w:t>)</w:t>
      </w:r>
    </w:p>
    <w:p w:rsidR="00F03569" w:rsidRPr="00F03569" w:rsidRDefault="00F03569" w:rsidP="00F03569">
      <w:r w:rsidRPr="00F03569">
        <w:t xml:space="preserve">As a noun: </w:t>
      </w:r>
      <w:r w:rsidRPr="00F03569">
        <w:rPr>
          <w:rStyle w:val="StyleUnderline"/>
        </w:rPr>
        <w:t xml:space="preserve">A </w:t>
      </w:r>
      <w:r w:rsidRPr="00F03569">
        <w:rPr>
          <w:rStyle w:val="Emphasis"/>
        </w:rPr>
        <w:t>sum of money</w:t>
      </w:r>
      <w:r w:rsidRPr="00F03569">
        <w:rPr>
          <w:rStyle w:val="StyleUnderline"/>
        </w:rPr>
        <w:t xml:space="preserve"> or other assets set aside for a </w:t>
      </w:r>
      <w:r w:rsidRPr="00F03569">
        <w:rPr>
          <w:rStyle w:val="Emphasis"/>
        </w:rPr>
        <w:t>particular purpose</w:t>
      </w:r>
      <w:r w:rsidRPr="00F03569">
        <w:rPr>
          <w:rStyle w:val="StyleUnderline"/>
        </w:rPr>
        <w:t>; a sum of money or other liquid assets established for a specific purpose</w:t>
      </w:r>
      <w:r w:rsidRPr="00F03569">
        <w:t xml:space="preserve"> (a fund reserved for unanticipated expenses).</w:t>
      </w:r>
    </w:p>
    <w:p w:rsidR="00F03569" w:rsidRPr="00F03569" w:rsidRDefault="00F03569" w:rsidP="00F03569"/>
    <w:p w:rsidR="00A2288A" w:rsidRDefault="00090DF8" w:rsidP="00E52ABF">
      <w:pPr>
        <w:pStyle w:val="Heading3"/>
      </w:pPr>
      <w:r>
        <w:lastRenderedPageBreak/>
        <w:t xml:space="preserve">2ac </w:t>
      </w:r>
      <w:r w:rsidR="00A2288A">
        <w:t xml:space="preserve">Funding – </w:t>
      </w:r>
      <w:r>
        <w:t>C/I</w:t>
      </w:r>
    </w:p>
    <w:p w:rsidR="00A2288A" w:rsidRPr="00090DF8" w:rsidRDefault="00090DF8" w:rsidP="00090DF8">
      <w:pPr>
        <w:pStyle w:val="Heading4"/>
      </w:pPr>
      <w:r w:rsidRPr="00090DF8">
        <w:t xml:space="preserve">Funding is ill defined in the literature so its arbitrary to exclude the </w:t>
      </w:r>
      <w:proofErr w:type="spellStart"/>
      <w:r w:rsidRPr="00090DF8">
        <w:t>aff</w:t>
      </w:r>
      <w:proofErr w:type="spellEnd"/>
      <w:r w:rsidRPr="00090DF8">
        <w:t xml:space="preserve"> and the </w:t>
      </w:r>
      <w:proofErr w:type="spellStart"/>
      <w:r w:rsidRPr="00090DF8">
        <w:t>aff</w:t>
      </w:r>
      <w:proofErr w:type="spellEnd"/>
      <w:r w:rsidRPr="00090DF8">
        <w:t xml:space="preserve"> meets because it </w:t>
      </w:r>
      <w:r w:rsidRPr="00090DF8">
        <w:rPr>
          <w:u w:val="single"/>
        </w:rPr>
        <w:t>distributes</w:t>
      </w:r>
      <w:r w:rsidRPr="00090DF8">
        <w:t xml:space="preserve"> financial recourses  </w:t>
      </w:r>
    </w:p>
    <w:p w:rsidR="002A52B5" w:rsidRDefault="002A52B5" w:rsidP="002A52B5">
      <w:r w:rsidRPr="002A52B5">
        <w:rPr>
          <w:rStyle w:val="Style13ptBold"/>
        </w:rPr>
        <w:t>Casper 17</w:t>
      </w:r>
      <w:r>
        <w:t xml:space="preserve"> – United States District judge</w:t>
      </w:r>
    </w:p>
    <w:p w:rsidR="002A52B5" w:rsidRPr="002A52B5" w:rsidRDefault="002A52B5" w:rsidP="002A52B5">
      <w:r w:rsidRPr="002A52B5">
        <w:t>(Denise, “TERUMO AMERICAS HOLDING, INC. V. TURESKI,” May 1st 2017, Civil Action No. 14-13838-DJC</w:t>
      </w:r>
      <w:r>
        <w:t>)</w:t>
      </w:r>
    </w:p>
    <w:p w:rsidR="00A2288A" w:rsidRPr="00A2288A" w:rsidRDefault="00A2288A" w:rsidP="00A2288A">
      <w:r w:rsidRPr="00A2288A">
        <w:rPr>
          <w:rStyle w:val="StyleUnderline"/>
        </w:rPr>
        <w:t>The term "funding" as used in Section 1.6—or otherwise—</w:t>
      </w:r>
      <w:r w:rsidRPr="00A2288A">
        <w:rPr>
          <w:rStyle w:val="Emphasis"/>
        </w:rPr>
        <w:t>is not defined in the Agreement</w:t>
      </w:r>
      <w:r w:rsidRPr="00A2288A">
        <w:t>. "Under well-settled case law, Delaware courts look to dictionaries for assistance in determining the plain meaning of terms which are not defined in a contract."</w:t>
      </w:r>
      <w:r w:rsidR="002A52B5">
        <w:t xml:space="preserve"> </w:t>
      </w:r>
      <w:r w:rsidRPr="00A2288A">
        <w:t>Lorillard Tobacco Co. v. Am. Legacy Found.,</w:t>
      </w:r>
      <w:r w:rsidR="002A52B5">
        <w:t xml:space="preserve"> </w:t>
      </w:r>
      <w:hyperlink r:id="rId19" w:anchor="p738" w:history="1">
        <w:r w:rsidRPr="00A2288A">
          <w:rPr>
            <w:rStyle w:val="Hyperlink"/>
          </w:rPr>
          <w:t>903 A.2d 728, 738</w:t>
        </w:r>
      </w:hyperlink>
      <w:r w:rsidR="002A52B5">
        <w:t xml:space="preserve"> </w:t>
      </w:r>
      <w:r w:rsidRPr="00A2288A">
        <w:t>(Del. 2006)."</w:t>
      </w:r>
      <w:r w:rsidRPr="00A2288A">
        <w:rPr>
          <w:rStyle w:val="StyleUnderline"/>
        </w:rPr>
        <w:t>This is because dictionaries are the customary reference source that a reasonable person in the position of a party to a contract would use to ascertain the ordinary meaning of words not defined in the contract</w:t>
      </w:r>
      <w:r w:rsidRPr="00A2288A">
        <w:t>."</w:t>
      </w:r>
      <w:r w:rsidR="002A52B5">
        <w:t xml:space="preserve"> </w:t>
      </w:r>
      <w:r w:rsidRPr="00A2288A">
        <w:t>Id.</w:t>
      </w:r>
      <w:r w:rsidR="002A52B5">
        <w:t xml:space="preserve"> </w:t>
      </w:r>
      <w:r w:rsidRPr="00A2288A">
        <w:t>"</w:t>
      </w:r>
      <w:r w:rsidRPr="00A2288A">
        <w:rPr>
          <w:rStyle w:val="StyleUnderline"/>
        </w:rPr>
        <w:t xml:space="preserve">There may be more than one dictionary definition, and parties may disagree on the meaning of the definition as applied to their case, but if merely applying a definition in the dictionary suffices to create ambiguity, </w:t>
      </w:r>
      <w:r w:rsidRPr="00A2288A">
        <w:rPr>
          <w:rStyle w:val="Emphasis"/>
        </w:rPr>
        <w:t>no term would be unambiguous</w:t>
      </w:r>
      <w:r w:rsidRPr="00A2288A">
        <w:t>."</w:t>
      </w:r>
      <w:r w:rsidR="002A52B5">
        <w:t xml:space="preserve"> </w:t>
      </w:r>
      <w:r w:rsidRPr="00A2288A">
        <w:t>Id.</w:t>
      </w:r>
      <w:r w:rsidR="002A52B5">
        <w:t xml:space="preserve"> </w:t>
      </w:r>
      <w:r w:rsidRPr="00A2288A">
        <w:t>at 740 (internal quotation marks and citation omitted).</w:t>
      </w:r>
      <w:r w:rsidR="002A52B5">
        <w:t xml:space="preserve"> </w:t>
      </w:r>
      <w:r w:rsidRPr="00A2288A">
        <w:t xml:space="preserve">Neither party asserts that "funding" has a "'gloss' in the [relevant] industry" and thus under Delaware law </w:t>
      </w:r>
      <w:r w:rsidRPr="00A2288A">
        <w:rPr>
          <w:rStyle w:val="StyleUnderline"/>
        </w:rPr>
        <w:t>the term "should be construed in accordance with its ordinary dictionary meaning</w:t>
      </w:r>
      <w:r w:rsidRPr="00A2288A">
        <w:t>."</w:t>
      </w:r>
      <w:r w:rsidR="002A52B5">
        <w:t xml:space="preserve"> </w:t>
      </w:r>
      <w:r w:rsidRPr="00A2288A">
        <w:t>See</w:t>
      </w:r>
      <w:r w:rsidR="002A52B5">
        <w:t xml:space="preserve"> </w:t>
      </w:r>
      <w:r w:rsidRPr="00A2288A">
        <w:t>Lorillard Tobacco Co.,</w:t>
      </w:r>
      <w:r w:rsidR="002A52B5">
        <w:t xml:space="preserve"> </w:t>
      </w:r>
      <w:hyperlink r:id="rId20" w:anchor="p740" w:history="1">
        <w:r w:rsidRPr="00A2288A">
          <w:rPr>
            <w:rStyle w:val="Hyperlink"/>
          </w:rPr>
          <w:t>903 A.2d at 740</w:t>
        </w:r>
      </w:hyperlink>
      <w:r w:rsidR="002A52B5">
        <w:t xml:space="preserve"> </w:t>
      </w:r>
      <w:r w:rsidRPr="00A2288A">
        <w:t xml:space="preserve">(internal quotation mark and citation omitted). While </w:t>
      </w:r>
      <w:proofErr w:type="spellStart"/>
      <w:r w:rsidRPr="00A2288A">
        <w:t>Tureski</w:t>
      </w:r>
      <w:proofErr w:type="spellEnd"/>
      <w:r w:rsidRPr="00A2288A">
        <w:t xml:space="preserve"> argues that he and "others were well aware, through personal experience and general industry knowledge, that the total all-inclusive costs for a clinical trial from start to completion was typically tens (or even hundreds) of millions of dollars," D. 140 at 17-18, this does indicate that the term "funding," as used in the Agreement, has a specific meaning in the industry.</w:t>
      </w:r>
      <w:r w:rsidR="002A52B5">
        <w:t xml:space="preserve"> </w:t>
      </w:r>
      <w:r w:rsidRPr="00A2288A">
        <w:t xml:space="preserve">According to Black's Law Dictionary, </w:t>
      </w:r>
      <w:r w:rsidRPr="002A52B5">
        <w:rPr>
          <w:rStyle w:val="StyleUnderline"/>
        </w:rPr>
        <w:t>funding is defined as "3. The provision or allocation of money for a specific purpose, such as for a pension plan, by putting the money into a reserve fund or investments</w:t>
      </w:r>
      <w:r w:rsidRPr="00A2288A">
        <w:t xml:space="preserve">" </w:t>
      </w:r>
      <w:r w:rsidRPr="002A52B5">
        <w:rPr>
          <w:rStyle w:val="StyleUnderline"/>
        </w:rPr>
        <w:t>and "4. The provision of financial resources to finance a particular activity or project, such as a research study.</w:t>
      </w:r>
      <w:r w:rsidRPr="00A2288A">
        <w:t>"</w:t>
      </w:r>
      <w:r w:rsidR="002A52B5">
        <w:t xml:space="preserve"> </w:t>
      </w:r>
      <w:r w:rsidRPr="00A2288A">
        <w:t xml:space="preserve">Funding, Black's Law Dictionary (10th ed. 2014). </w:t>
      </w:r>
      <w:r w:rsidRPr="002A52B5">
        <w:rPr>
          <w:rStyle w:val="StyleUnderline"/>
        </w:rPr>
        <w:t xml:space="preserve">The Oxford English Dictionary defines funding as "1. Money provided, especially by an organization or government, </w:t>
      </w:r>
      <w:r w:rsidRPr="002A52B5">
        <w:rPr>
          <w:rStyle w:val="Emphasis"/>
        </w:rPr>
        <w:t>for a particular purpose</w:t>
      </w:r>
      <w:r w:rsidRPr="002A52B5">
        <w:rPr>
          <w:rStyle w:val="StyleUnderline"/>
        </w:rPr>
        <w:t>."</w:t>
      </w:r>
      <w:r w:rsidR="002A52B5">
        <w:t xml:space="preserve"> </w:t>
      </w:r>
      <w:r w:rsidRPr="00A2288A">
        <w:t xml:space="preserve">Funding, Oxford English Dictionary, https://en.oxforddictionaries.com/definition/funding (last accessed on May 1, 2016). </w:t>
      </w:r>
      <w:r w:rsidRPr="002A52B5">
        <w:rPr>
          <w:rStyle w:val="StyleUnderline"/>
        </w:rPr>
        <w:t>The Cambridge American Content Dictionary defines funding as "money made available for a</w:t>
      </w:r>
      <w:r w:rsidR="002A52B5">
        <w:rPr>
          <w:rStyle w:val="StyleUnderline"/>
        </w:rPr>
        <w:t xml:space="preserve"> </w:t>
      </w:r>
      <w:r w:rsidRPr="002A52B5">
        <w:rPr>
          <w:rStyle w:val="StyleUnderline"/>
        </w:rPr>
        <w:t>particular purpose</w:t>
      </w:r>
      <w:r w:rsidRPr="00A2288A">
        <w:t>,"</w:t>
      </w:r>
      <w:r w:rsidR="002A52B5">
        <w:t xml:space="preserve"> </w:t>
      </w:r>
      <w:r w:rsidRPr="00A2288A">
        <w:t xml:space="preserve">funding, Cambridge American Content Dictionary, http://dictionary.cambridge.org/us/dictionary/english/funding (last accessed on May 1, 2017) and </w:t>
      </w:r>
      <w:r w:rsidRPr="002A52B5">
        <w:rPr>
          <w:rStyle w:val="StyleUnderline"/>
        </w:rPr>
        <w:t>the Cambridge Business English Dictionary defines it to mean "money given by an organization or a government for a particular purpose,"</w:t>
      </w:r>
      <w:r w:rsidR="002A52B5">
        <w:t xml:space="preserve"> </w:t>
      </w:r>
      <w:r w:rsidRPr="00A2288A">
        <w:t>funding, Cambridge Business English Dictionary, http://dictionary.cambridge.org/us/dictionary/english/funding (last accessed on May 1, 2017). Likewise, the Business Dictionary, defines funding as "1. Providing financial resources to finance a need, program, or project. In general, this term is used when a firm fills the need for cash from its own internal reserves, and the term 'financing' is used when the need is filled from external or borrowed money."</w:t>
      </w:r>
      <w:r w:rsidR="002A52B5">
        <w:t xml:space="preserve"> </w:t>
      </w:r>
      <w:r w:rsidRPr="00A2288A">
        <w:t>Funding, Business Dictionary, http://www.businessdictionary.com/definition/funding.html (last accessed on May 1, 2017).</w:t>
      </w:r>
      <w:r w:rsidR="002A52B5">
        <w:t xml:space="preserve"> </w:t>
      </w:r>
      <w:r w:rsidRPr="00A2288A">
        <w:t xml:space="preserve">The Supreme Court has considered and described this source as a "colloquial business </w:t>
      </w:r>
      <w:proofErr w:type="spellStart"/>
      <w:r w:rsidRPr="00A2288A">
        <w:t>authorit</w:t>
      </w:r>
      <w:proofErr w:type="spellEnd"/>
      <w:r w:rsidRPr="00A2288A">
        <w:t>[y]."</w:t>
      </w:r>
      <w:r w:rsidR="002A52B5">
        <w:t xml:space="preserve"> </w:t>
      </w:r>
      <w:r w:rsidRPr="00A2288A">
        <w:t>See</w:t>
      </w:r>
      <w:r w:rsidR="002A52B5">
        <w:t xml:space="preserve"> </w:t>
      </w:r>
      <w:r w:rsidRPr="00A2288A">
        <w:t>Vance v. Ball State Univ.,</w:t>
      </w:r>
      <w:r w:rsidR="002A52B5">
        <w:t xml:space="preserve"> </w:t>
      </w:r>
      <w:r w:rsidRPr="00A2288A">
        <w:t>___ U.S. ___,</w:t>
      </w:r>
      <w:r w:rsidR="002A52B5">
        <w:t xml:space="preserve"> </w:t>
      </w:r>
      <w:hyperlink r:id="rId21" w:anchor="p2444" w:history="1">
        <w:r w:rsidRPr="00A2288A">
          <w:rPr>
            <w:rStyle w:val="Hyperlink"/>
          </w:rPr>
          <w:t>133 S. Ct. 2434, 2444</w:t>
        </w:r>
      </w:hyperlink>
      <w:r w:rsidR="002A52B5">
        <w:t xml:space="preserve"> </w:t>
      </w:r>
      <w:r w:rsidRPr="00A2288A">
        <w:t>&amp; n.5 (2013);</w:t>
      </w:r>
      <w:r w:rsidR="002A52B5">
        <w:t xml:space="preserve"> </w:t>
      </w:r>
      <w:r w:rsidRPr="00A2288A">
        <w:t>see also</w:t>
      </w:r>
      <w:r w:rsidR="002A52B5">
        <w:t xml:space="preserve"> </w:t>
      </w:r>
      <w:r w:rsidRPr="00A2288A">
        <w:t>In re Filene's Basement, No. 11-13511-KJC,</w:t>
      </w:r>
      <w:r w:rsidR="002A52B5">
        <w:t xml:space="preserve"> </w:t>
      </w:r>
      <w:r w:rsidRPr="00A2288A">
        <w:t>2014 WL 172137, at *5</w:t>
      </w:r>
      <w:r w:rsidR="002A52B5">
        <w:t xml:space="preserve"> </w:t>
      </w:r>
      <w:r w:rsidRPr="00A2288A">
        <w:t>(</w:t>
      </w:r>
      <w:proofErr w:type="spellStart"/>
      <w:r w:rsidRPr="00A2288A">
        <w:t>Bankr</w:t>
      </w:r>
      <w:proofErr w:type="spellEnd"/>
      <w:r w:rsidRPr="00A2288A">
        <w:t>. D. Del. Jan. 15, 2014) (considering the source).</w:t>
      </w:r>
      <w:r w:rsidR="002A52B5">
        <w:t xml:space="preserve"> </w:t>
      </w:r>
      <w:r w:rsidRPr="00A2288A">
        <w:t xml:space="preserve">These broad definitions lead the Court to conclude that an objective, reasonable third party would read the term "funding" in the clause "funding for the CLI Development Plan" as including the monies and financial resources Terumo expended for, or made in provision of, the CLI Developmental Plan. That is, considering the dictionary definitions of "funding," those monies and financial resources—whether in the form of the salaries of Harvest personnel working full-time on the CLI Pivotal Clinical Trial and their incurred travel and entertainment expenses, or the costs of "external" third parties such as </w:t>
      </w:r>
      <w:proofErr w:type="spellStart"/>
      <w:r w:rsidRPr="00A2288A">
        <w:lastRenderedPageBreak/>
        <w:t>InVentiv</w:t>
      </w:r>
      <w:proofErr w:type="spellEnd"/>
      <w:r w:rsidRPr="00A2288A">
        <w:t xml:space="preserve"> and their expenses,</w:t>
      </w:r>
      <w:r w:rsidR="002A52B5">
        <w:t xml:space="preserve"> </w:t>
      </w:r>
      <w:r w:rsidRPr="00A2288A">
        <w:t>see, e.g., D. 127 ¶¶ 78-83, 118-22; D. 131 ¶¶ 78-83, 118-22—are properly included towards Terumo's $6 million funding</w:t>
      </w:r>
      <w:r w:rsidR="002A52B5">
        <w:t xml:space="preserve"> </w:t>
      </w:r>
      <w:r w:rsidRPr="00A2288A">
        <w:t xml:space="preserve">obligation as "funding for" the CLI Developmental Plan. Notably, </w:t>
      </w:r>
      <w:proofErr w:type="spellStart"/>
      <w:r w:rsidRPr="00A2288A">
        <w:t>Tureski's</w:t>
      </w:r>
      <w:proofErr w:type="spellEnd"/>
      <w:r w:rsidRPr="00A2288A">
        <w:t xml:space="preserve"> proposed interpretation—</w:t>
      </w:r>
      <w:r w:rsidRPr="002A52B5">
        <w:rPr>
          <w:rStyle w:val="StyleUnderline"/>
        </w:rPr>
        <w:t>the four categories of funding—is not supported by any of the dictionary definitions and, therefore, it is difficult to conclude, as he urges, that a reasonable third party would not read the term in such a way</w:t>
      </w:r>
      <w:r w:rsidRPr="00A2288A">
        <w:t>.</w:t>
      </w:r>
      <w:r w:rsidR="002A52B5">
        <w:t xml:space="preserve"> </w:t>
      </w:r>
      <w:r w:rsidRPr="00A2288A">
        <w:t>Cf.</w:t>
      </w:r>
      <w:r w:rsidR="002A52B5">
        <w:t xml:space="preserve"> </w:t>
      </w:r>
      <w:r w:rsidRPr="00A2288A">
        <w:t xml:space="preserve">Seaford Golf &amp; Country Club v. E.I. </w:t>
      </w:r>
      <w:proofErr w:type="spellStart"/>
      <w:r w:rsidRPr="00A2288A">
        <w:t>duPont</w:t>
      </w:r>
      <w:proofErr w:type="spellEnd"/>
      <w:r w:rsidRPr="00A2288A">
        <w:t xml:space="preserve"> de Nemours &amp; Co.,</w:t>
      </w:r>
      <w:r w:rsidR="002A52B5">
        <w:t xml:space="preserve"> </w:t>
      </w:r>
      <w:hyperlink r:id="rId22" w:anchor="p1261" w:history="1">
        <w:r w:rsidRPr="00A2288A">
          <w:rPr>
            <w:rStyle w:val="Hyperlink"/>
          </w:rPr>
          <w:t>925 A.2d 1255, 1261-62</w:t>
        </w:r>
      </w:hyperlink>
      <w:r w:rsidR="002A52B5">
        <w:t xml:space="preserve"> </w:t>
      </w:r>
      <w:r w:rsidRPr="00A2288A">
        <w:t>(Del. 2007) (finding term ambiguous where dictionary definitions supported both parties' respective interpretations).</w:t>
      </w:r>
      <w:r w:rsidR="002A52B5">
        <w:t xml:space="preserve"> </w:t>
      </w:r>
      <w:r w:rsidRPr="00A2288A">
        <w:t>Reading the Agreement as a whole,</w:t>
      </w:r>
      <w:r w:rsidR="002A52B5">
        <w:t xml:space="preserve"> </w:t>
      </w:r>
      <w:r w:rsidRPr="00A2288A">
        <w:t>see</w:t>
      </w:r>
      <w:r w:rsidR="002A52B5">
        <w:t xml:space="preserve"> </w:t>
      </w:r>
      <w:r w:rsidRPr="00A2288A">
        <w:t>In re Viking Pump, Inc.,</w:t>
      </w:r>
      <w:r w:rsidR="002A52B5">
        <w:t xml:space="preserve"> </w:t>
      </w:r>
      <w:r w:rsidRPr="00A2288A">
        <w:t xml:space="preserve">2016 WL 4771312, at *8, </w:t>
      </w:r>
      <w:proofErr w:type="spellStart"/>
      <w:r w:rsidRPr="002A52B5">
        <w:rPr>
          <w:rStyle w:val="StyleUnderline"/>
        </w:rPr>
        <w:t>Tureski's</w:t>
      </w:r>
      <w:proofErr w:type="spellEnd"/>
      <w:r w:rsidRPr="002A52B5">
        <w:rPr>
          <w:rStyle w:val="StyleUnderline"/>
        </w:rPr>
        <w:t xml:space="preserve"> interpretation of "funding" is also not reasonable given that there is no part of the Agreement that includes or alludes to the four categories of funding he proposes such that an objective third party would not read them into the term</w:t>
      </w:r>
      <w:r w:rsidRPr="00A2288A">
        <w:t>. The parties otherwise defined the scope or excluded specific costs and expenses where certain broad terms are used in the Agreement. D. 128-1 (e.g., Sections 1.6(b)(x), 5.7(a), 8.2(a)); 128-2 (e.g., Schedule 3.9 ¶ 195); D. 126 at 17-18;</w:t>
      </w:r>
      <w:r w:rsidR="002A52B5">
        <w:t xml:space="preserve"> </w:t>
      </w:r>
      <w:r w:rsidRPr="00A2288A">
        <w:t>see</w:t>
      </w:r>
      <w:r w:rsidR="002A52B5">
        <w:t xml:space="preserve"> </w:t>
      </w:r>
      <w:r w:rsidRPr="00A2288A">
        <w:t xml:space="preserve">2009 </w:t>
      </w:r>
      <w:proofErr w:type="spellStart"/>
      <w:r w:rsidRPr="00A2288A">
        <w:t>Caiola</w:t>
      </w:r>
      <w:proofErr w:type="spellEnd"/>
      <w:r w:rsidRPr="00A2288A">
        <w:t xml:space="preserve"> Family Trust v. PWA, LLC, No. C.A. 8028-VCP,</w:t>
      </w:r>
      <w:r w:rsidR="002A52B5">
        <w:t xml:space="preserve"> </w:t>
      </w:r>
      <w:hyperlink r:id="rId23" w:anchor="p11" w:history="1">
        <w:r w:rsidRPr="00A2288A">
          <w:rPr>
            <w:rStyle w:val="Hyperlink"/>
          </w:rPr>
          <w:t>2014 WL 1813174, at *11</w:t>
        </w:r>
      </w:hyperlink>
      <w:r w:rsidR="002A52B5">
        <w:t xml:space="preserve"> </w:t>
      </w:r>
      <w:r w:rsidRPr="00A2288A">
        <w:t xml:space="preserve">(Del. Ch. Apr. 30, 2014) (rejecting plaintiff's interpretation of the section at issue where, among other things, it was inconsistent with other sections of the agreement). </w:t>
      </w:r>
      <w:r w:rsidRPr="002A52B5">
        <w:rPr>
          <w:rStyle w:val="StyleUnderline"/>
        </w:rPr>
        <w:t>As such, if the parties had intended to limit "funding," they could have done so as they had in other parts of the Agreement.</w:t>
      </w:r>
    </w:p>
    <w:p w:rsidR="00A2288A" w:rsidRPr="00A2288A" w:rsidRDefault="00A2288A" w:rsidP="00A2288A"/>
    <w:p w:rsidR="00EC4856" w:rsidRDefault="00EC4856" w:rsidP="0077473D">
      <w:pPr>
        <w:pStyle w:val="Heading3"/>
      </w:pPr>
      <w:r>
        <w:lastRenderedPageBreak/>
        <w:t xml:space="preserve">2ac Funding – </w:t>
      </w:r>
      <w:r w:rsidR="00F03569">
        <w:t>Not Money</w:t>
      </w:r>
    </w:p>
    <w:p w:rsidR="00EC4856" w:rsidRDefault="00F03569" w:rsidP="00EC4856">
      <w:pPr>
        <w:pStyle w:val="Heading4"/>
      </w:pPr>
      <w:r>
        <w:t xml:space="preserve">Funds is a </w:t>
      </w:r>
      <w:r w:rsidRPr="00F03569">
        <w:rPr>
          <w:u w:val="single"/>
        </w:rPr>
        <w:t>generic</w:t>
      </w:r>
      <w:r>
        <w:t xml:space="preserve"> term and doesn’t have to consist of money </w:t>
      </w:r>
    </w:p>
    <w:p w:rsidR="00F03569" w:rsidRPr="00F03569" w:rsidRDefault="00F03569" w:rsidP="00F03569">
      <w:pPr>
        <w:rPr>
          <w:rStyle w:val="Style13ptBold"/>
        </w:rPr>
      </w:pPr>
      <w:r>
        <w:rPr>
          <w:rStyle w:val="Style13ptBold"/>
        </w:rPr>
        <w:t xml:space="preserve">Black Law’s Dictionary </w:t>
      </w:r>
      <w:r w:rsidR="00B77A97">
        <w:rPr>
          <w:rStyle w:val="Style13ptBold"/>
        </w:rPr>
        <w:t>90</w:t>
      </w:r>
    </w:p>
    <w:p w:rsidR="00F03569" w:rsidRPr="00F03569" w:rsidRDefault="00B77A97" w:rsidP="00F03569">
      <w:r>
        <w:t xml:space="preserve">(Black’s Law Dictionary, </w:t>
      </w:r>
      <w:r w:rsidR="00F03569" w:rsidRPr="00F03569">
        <w:t>http://blacks_law.enacademic.com/29922/fund(s)</w:t>
      </w:r>
      <w:r>
        <w:t>)</w:t>
      </w:r>
    </w:p>
    <w:p w:rsidR="00EC4856" w:rsidRPr="00EC4856" w:rsidRDefault="00EC4856" w:rsidP="00EC4856">
      <w:r w:rsidRPr="00EC4856">
        <w:rPr>
          <w:rStyle w:val="StyleUnderline"/>
        </w:rPr>
        <w:t xml:space="preserve">To capitalize with a view to the production of interest. Also, to put into the form of bonds, stocks, or </w:t>
      </w:r>
      <w:r>
        <w:rPr>
          <w:rStyle w:val="StyleUnderline"/>
        </w:rPr>
        <w:t>other s</w:t>
      </w:r>
      <w:r w:rsidRPr="00EC4856">
        <w:rPr>
          <w:rStyle w:val="StyleUnderline"/>
        </w:rPr>
        <w:t>ecurities, bearing regular interest, and to provide or appropriate a fund or permanent revenue for the payment</w:t>
      </w:r>
      <w:r>
        <w:rPr>
          <w:rStyle w:val="StyleUnderline"/>
        </w:rPr>
        <w:t xml:space="preserve"> </w:t>
      </w:r>
      <w:r w:rsidRPr="00EC4856">
        <w:rPr>
          <w:rStyle w:val="StyleUnderline"/>
        </w:rPr>
        <w:t>there</w:t>
      </w:r>
      <w:r>
        <w:rPr>
          <w:rStyle w:val="StyleUnderline"/>
        </w:rPr>
        <w:t xml:space="preserve"> </w:t>
      </w:r>
      <w:r w:rsidRPr="00EC4856">
        <w:rPr>
          <w:rStyle w:val="StyleUnderline"/>
        </w:rPr>
        <w:t>of</w:t>
      </w:r>
      <w:r w:rsidRPr="00EC4856">
        <w:t>.</w:t>
      </w:r>
      <w:r>
        <w:t xml:space="preserve"> </w:t>
      </w:r>
      <w:r w:rsidRPr="00EC4856">
        <w:t>An</w:t>
      </w:r>
      <w:r>
        <w:t xml:space="preserve"> </w:t>
      </w:r>
      <w:r w:rsidRPr="00EC4856">
        <w:t>asset</w:t>
      </w:r>
      <w:r>
        <w:t xml:space="preserve"> </w:t>
      </w:r>
      <w:r w:rsidRPr="00EC4856">
        <w:t>or</w:t>
      </w:r>
      <w:r>
        <w:t xml:space="preserve"> </w:t>
      </w:r>
      <w:r w:rsidRPr="00EC4856">
        <w:t>group</w:t>
      </w:r>
      <w:r>
        <w:t xml:space="preserve"> </w:t>
      </w:r>
      <w:r w:rsidRPr="00EC4856">
        <w:t>of</w:t>
      </w:r>
      <w:r>
        <w:t xml:space="preserve"> </w:t>
      </w:r>
      <w:r w:rsidRPr="00EC4856">
        <w:t>assets</w:t>
      </w:r>
      <w:r>
        <w:t xml:space="preserve"> </w:t>
      </w:r>
      <w:r w:rsidRPr="00EC4856">
        <w:t>set</w:t>
      </w:r>
      <w:r>
        <w:t xml:space="preserve"> </w:t>
      </w:r>
      <w:r w:rsidRPr="00EC4856">
        <w:t>aside</w:t>
      </w:r>
      <w:r>
        <w:t xml:space="preserve"> </w:t>
      </w:r>
      <w:r w:rsidRPr="00EC4856">
        <w:t>for</w:t>
      </w:r>
      <w:r>
        <w:t xml:space="preserve"> </w:t>
      </w:r>
      <w:r w:rsidRPr="00EC4856">
        <w:t>a</w:t>
      </w:r>
      <w:r>
        <w:t xml:space="preserve"> </w:t>
      </w:r>
      <w:r w:rsidRPr="00EC4856">
        <w:t>specific</w:t>
      </w:r>
      <w:r>
        <w:t xml:space="preserve"> </w:t>
      </w:r>
      <w:r w:rsidRPr="00EC4856">
        <w:t>purpose.</w:t>
      </w:r>
      <w:r>
        <w:t xml:space="preserve"> </w:t>
      </w:r>
      <w:r w:rsidRPr="00EC4856">
        <w:t>To</w:t>
      </w:r>
      <w:r>
        <w:t xml:space="preserve"> </w:t>
      </w:r>
      <w:r w:rsidRPr="00EC4856">
        <w:t>fund</w:t>
      </w:r>
      <w:r>
        <w:t xml:space="preserve"> </w:t>
      </w:r>
      <w:r w:rsidRPr="00EC4856">
        <w:t>a</w:t>
      </w:r>
      <w:r>
        <w:t xml:space="preserve"> </w:t>
      </w:r>
      <w:r w:rsidRPr="00EC4856">
        <w:t>debt</w:t>
      </w:r>
      <w:r>
        <w:t xml:space="preserve"> </w:t>
      </w:r>
      <w:r w:rsidRPr="00EC4856">
        <w:t>is</w:t>
      </w:r>
      <w:r>
        <w:t xml:space="preserve"> </w:t>
      </w:r>
      <w:r w:rsidRPr="00EC4856">
        <w:t>to</w:t>
      </w:r>
      <w:r>
        <w:t xml:space="preserve"> </w:t>
      </w:r>
      <w:r w:rsidRPr="00EC4856">
        <w:t>pledge</w:t>
      </w:r>
      <w:r>
        <w:t xml:space="preserve"> </w:t>
      </w:r>
      <w:r w:rsidRPr="00EC4856">
        <w:t>a</w:t>
      </w:r>
      <w:r>
        <w:t xml:space="preserve"> </w:t>
      </w:r>
      <w:r w:rsidRPr="00EC4856">
        <w:t>specific</w:t>
      </w:r>
      <w:r>
        <w:t xml:space="preserve"> </w:t>
      </w:r>
      <w:r w:rsidRPr="00EC4856">
        <w:t>fund</w:t>
      </w:r>
      <w:r>
        <w:t xml:space="preserve"> </w:t>
      </w:r>
      <w:r w:rsidRPr="00EC4856">
        <w:t>to</w:t>
      </w:r>
      <w:r>
        <w:t xml:space="preserve"> </w:t>
      </w:r>
      <w:r w:rsidRPr="00EC4856">
        <w:t>keep</w:t>
      </w:r>
      <w:r>
        <w:t xml:space="preserve"> </w:t>
      </w:r>
      <w:r w:rsidRPr="00EC4856">
        <w:t>down</w:t>
      </w:r>
      <w:r>
        <w:t xml:space="preserve"> </w:t>
      </w:r>
      <w:r w:rsidRPr="00EC4856">
        <w:t>the</w:t>
      </w:r>
      <w:r>
        <w:t xml:space="preserve"> </w:t>
      </w:r>
      <w:r w:rsidRPr="00EC4856">
        <w:t>interest</w:t>
      </w:r>
      <w:r>
        <w:t xml:space="preserve"> </w:t>
      </w:r>
      <w:r w:rsidRPr="00EC4856">
        <w:t>and</w:t>
      </w:r>
      <w:r>
        <w:t xml:space="preserve"> </w:t>
      </w:r>
      <w:r w:rsidRPr="00EC4856">
        <w:t>reduce</w:t>
      </w:r>
      <w:r>
        <w:t xml:space="preserve"> </w:t>
      </w:r>
      <w:r w:rsidRPr="00EC4856">
        <w:t>the</w:t>
      </w:r>
      <w:r>
        <w:t xml:space="preserve"> </w:t>
      </w:r>
      <w:r w:rsidRPr="00EC4856">
        <w:t>principal</w:t>
      </w:r>
      <w:r w:rsidRPr="00F03569">
        <w:rPr>
          <w:rStyle w:val="StyleUnderline"/>
        </w:rPr>
        <w:t xml:space="preserve">. </w:t>
      </w:r>
      <w:r w:rsidRPr="00F03569">
        <w:rPr>
          <w:rStyle w:val="Emphasis"/>
        </w:rPr>
        <w:t>A generic term</w:t>
      </w:r>
      <w:r w:rsidRPr="00F03569">
        <w:rPr>
          <w:rStyle w:val="StyleUnderline"/>
        </w:rPr>
        <w:t xml:space="preserve"> and all-embracing as compared with term "money," etc., which is specific. A sum of money or other liquid assets set apart for a specific purpose, Or available for the payment of general debts, claims, or expenses. In the plural, this word has a variety of slightly different meanings, as follows: moneys and much more, such as notes, bills, checks, drafts, stocks and bonds, and in broader meaning </w:t>
      </w:r>
      <w:r w:rsidRPr="00F03569">
        <w:rPr>
          <w:rStyle w:val="Emphasis"/>
        </w:rPr>
        <w:t>may include property of every kind</w:t>
      </w:r>
      <w:r w:rsidRPr="00EC4856">
        <w:t>.</w:t>
      </w:r>
      <w:r>
        <w:t xml:space="preserve"> </w:t>
      </w:r>
      <w:r w:rsidRPr="00EC4856">
        <w:t>State</w:t>
      </w:r>
      <w:r>
        <w:t xml:space="preserve"> </w:t>
      </w:r>
      <w:r w:rsidRPr="00EC4856">
        <w:t>v.</w:t>
      </w:r>
      <w:r>
        <w:t xml:space="preserve"> </w:t>
      </w:r>
      <w:r w:rsidRPr="00EC4856">
        <w:t>Finney,</w:t>
      </w:r>
      <w:r>
        <w:t xml:space="preserve"> </w:t>
      </w:r>
      <w:r w:rsidRPr="00EC4856">
        <w:t>141</w:t>
      </w:r>
      <w:r>
        <w:t xml:space="preserve"> </w:t>
      </w:r>
      <w:r w:rsidRPr="00EC4856">
        <w:t>Kan.</w:t>
      </w:r>
      <w:r>
        <w:t xml:space="preserve"> </w:t>
      </w:r>
      <w:r w:rsidRPr="00EC4856">
        <w:t>12,</w:t>
      </w:r>
      <w:r>
        <w:t xml:space="preserve"> </w:t>
      </w:r>
      <w:r w:rsidRPr="00EC4856">
        <w:t>40</w:t>
      </w:r>
      <w:r>
        <w:t xml:space="preserve"> </w:t>
      </w:r>
      <w:r w:rsidRPr="00EC4856">
        <w:t>P.2d</w:t>
      </w:r>
      <w:r>
        <w:t xml:space="preserve"> </w:t>
      </w:r>
      <w:r w:rsidRPr="00EC4856">
        <w:t>411,</w:t>
      </w:r>
      <w:r>
        <w:t xml:space="preserve"> </w:t>
      </w:r>
      <w:r w:rsidRPr="00EC4856">
        <w:t>421.</w:t>
      </w:r>
      <w:r>
        <w:t xml:space="preserve"> </w:t>
      </w:r>
      <w:r w:rsidRPr="00EC4856">
        <w:t>Money</w:t>
      </w:r>
      <w:r>
        <w:t xml:space="preserve"> </w:t>
      </w:r>
      <w:r w:rsidRPr="00EC4856">
        <w:t>in</w:t>
      </w:r>
      <w:r>
        <w:t xml:space="preserve"> </w:t>
      </w:r>
      <w:r w:rsidRPr="00EC4856">
        <w:t>hand,</w:t>
      </w:r>
      <w:r>
        <w:t xml:space="preserve"> </w:t>
      </w:r>
      <w:r w:rsidRPr="00EC4856">
        <w:t>assets,</w:t>
      </w:r>
      <w:r>
        <w:t xml:space="preserve"> </w:t>
      </w:r>
      <w:r w:rsidRPr="00EC4856">
        <w:t>cash,</w:t>
      </w:r>
      <w:r>
        <w:t xml:space="preserve"> </w:t>
      </w:r>
      <w:r w:rsidRPr="00EC4856">
        <w:t>money</w:t>
      </w:r>
      <w:r>
        <w:t xml:space="preserve"> </w:t>
      </w:r>
      <w:r w:rsidRPr="00EC4856">
        <w:t>available</w:t>
      </w:r>
      <w:r>
        <w:t xml:space="preserve"> </w:t>
      </w:r>
      <w:r w:rsidRPr="00EC4856">
        <w:t>for</w:t>
      </w:r>
      <w:r>
        <w:t xml:space="preserve"> </w:t>
      </w:r>
      <w:r w:rsidRPr="00EC4856">
        <w:t>the</w:t>
      </w:r>
      <w:r>
        <w:t xml:space="preserve"> </w:t>
      </w:r>
      <w:r w:rsidRPr="00EC4856">
        <w:t>payment</w:t>
      </w:r>
      <w:r>
        <w:t xml:space="preserve"> </w:t>
      </w:r>
      <w:r w:rsidRPr="00EC4856">
        <w:t>of</w:t>
      </w:r>
      <w:r>
        <w:t xml:space="preserve"> </w:t>
      </w:r>
      <w:r w:rsidRPr="00EC4856">
        <w:t>a</w:t>
      </w:r>
      <w:r>
        <w:t xml:space="preserve"> </w:t>
      </w:r>
      <w:r w:rsidRPr="00EC4856">
        <w:t>debt,</w:t>
      </w:r>
      <w:r>
        <w:t xml:space="preserve"> </w:t>
      </w:r>
      <w:r w:rsidRPr="00EC4856">
        <w:t>legacy,</w:t>
      </w:r>
      <w:r>
        <w:t xml:space="preserve"> </w:t>
      </w:r>
      <w:r w:rsidRPr="00EC4856">
        <w:t>etc.</w:t>
      </w:r>
      <w:r>
        <w:t xml:space="preserve"> </w:t>
      </w:r>
      <w:r w:rsidRPr="00EC4856">
        <w:t>Corporate</w:t>
      </w:r>
      <w:r>
        <w:t xml:space="preserve"> </w:t>
      </w:r>
      <w:r w:rsidRPr="00EC4856">
        <w:t>stocks</w:t>
      </w:r>
      <w:r>
        <w:t xml:space="preserve"> </w:t>
      </w:r>
      <w:r w:rsidRPr="00EC4856">
        <w:t>or</w:t>
      </w:r>
      <w:r>
        <w:t xml:space="preserve"> </w:t>
      </w:r>
      <w:r w:rsidRPr="00EC4856">
        <w:t>government</w:t>
      </w:r>
      <w:r>
        <w:t xml:space="preserve"> </w:t>
      </w:r>
      <w:r w:rsidRPr="00EC4856">
        <w:t>securities;</w:t>
      </w:r>
      <w:r>
        <w:t xml:space="preserve"> </w:t>
      </w:r>
      <w:r w:rsidRPr="00EC4856">
        <w:t>in</w:t>
      </w:r>
      <w:r>
        <w:t xml:space="preserve"> </w:t>
      </w:r>
      <w:r w:rsidRPr="00EC4856">
        <w:t>this</w:t>
      </w:r>
      <w:r>
        <w:t xml:space="preserve"> </w:t>
      </w:r>
      <w:r w:rsidRPr="00EC4856">
        <w:t>sense</w:t>
      </w:r>
      <w:r>
        <w:t xml:space="preserve"> </w:t>
      </w:r>
      <w:r w:rsidRPr="00EC4856">
        <w:t>usually</w:t>
      </w:r>
      <w:r>
        <w:t xml:space="preserve"> </w:t>
      </w:r>
      <w:r w:rsidRPr="00EC4856">
        <w:t>spoken</w:t>
      </w:r>
      <w:r>
        <w:t xml:space="preserve"> </w:t>
      </w:r>
      <w:r w:rsidRPr="00EC4856">
        <w:t>of</w:t>
      </w:r>
      <w:r>
        <w:t xml:space="preserve"> </w:t>
      </w:r>
      <w:r w:rsidRPr="00EC4856">
        <w:t>as</w:t>
      </w:r>
      <w:r>
        <w:t xml:space="preserve"> </w:t>
      </w:r>
      <w:r w:rsidRPr="00EC4856">
        <w:t>the</w:t>
      </w:r>
      <w:r>
        <w:t xml:space="preserve"> </w:t>
      </w:r>
      <w:r w:rsidRPr="00EC4856">
        <w:t>"funds."</w:t>
      </w:r>
      <w:r>
        <w:t xml:space="preserve"> </w:t>
      </w:r>
      <w:r w:rsidRPr="00EC4856">
        <w:t>Assets,</w:t>
      </w:r>
      <w:r>
        <w:t xml:space="preserve"> </w:t>
      </w:r>
      <w:r w:rsidRPr="00EC4856">
        <w:t>securities,</w:t>
      </w:r>
      <w:r>
        <w:t xml:space="preserve"> </w:t>
      </w:r>
      <w:r w:rsidRPr="00EC4856">
        <w:t>bonds,</w:t>
      </w:r>
      <w:r>
        <w:t xml:space="preserve"> </w:t>
      </w:r>
      <w:r w:rsidRPr="00EC4856">
        <w:t>or</w:t>
      </w:r>
      <w:r>
        <w:t xml:space="preserve"> </w:t>
      </w:r>
      <w:r w:rsidRPr="00EC4856">
        <w:t>revenue</w:t>
      </w:r>
      <w:r>
        <w:t xml:space="preserve"> </w:t>
      </w:r>
      <w:r w:rsidRPr="00EC4856">
        <w:t>of</w:t>
      </w:r>
      <w:r>
        <w:t xml:space="preserve"> </w:t>
      </w:r>
      <w:r w:rsidRPr="00EC4856">
        <w:t>a</w:t>
      </w:r>
      <w:r>
        <w:t xml:space="preserve"> </w:t>
      </w:r>
      <w:r w:rsidRPr="00EC4856">
        <w:t>state</w:t>
      </w:r>
      <w:r>
        <w:t xml:space="preserve"> </w:t>
      </w:r>
      <w:r w:rsidRPr="00EC4856">
        <w:t>or</w:t>
      </w:r>
      <w:r>
        <w:t xml:space="preserve"> </w:t>
      </w:r>
      <w:r w:rsidRPr="00EC4856">
        <w:t>government</w:t>
      </w:r>
      <w:r>
        <w:t xml:space="preserve"> </w:t>
      </w:r>
      <w:r w:rsidRPr="00EC4856">
        <w:t>appropriated</w:t>
      </w:r>
      <w:r>
        <w:t xml:space="preserve"> </w:t>
      </w:r>
      <w:r w:rsidRPr="00EC4856">
        <w:t>for</w:t>
      </w:r>
      <w:r>
        <w:t xml:space="preserve"> </w:t>
      </w:r>
      <w:r w:rsidRPr="00EC4856">
        <w:t>the</w:t>
      </w:r>
      <w:r>
        <w:t xml:space="preserve"> </w:t>
      </w:r>
      <w:r w:rsidRPr="00EC4856">
        <w:t>discharge</w:t>
      </w:r>
      <w:r>
        <w:t xml:space="preserve"> </w:t>
      </w:r>
      <w:r w:rsidRPr="00EC4856">
        <w:t>of</w:t>
      </w:r>
      <w:r>
        <w:t xml:space="preserve"> </w:t>
      </w:r>
      <w:r w:rsidRPr="00EC4856">
        <w:t>its</w:t>
      </w:r>
      <w:r>
        <w:t xml:space="preserve"> </w:t>
      </w:r>
      <w:r w:rsidRPr="00EC4856">
        <w:t>debts.</w:t>
      </w:r>
      <w:r>
        <w:t xml:space="preserve"> </w:t>
      </w:r>
      <w:r w:rsidRPr="00EC4856">
        <w:t>Generally,</w:t>
      </w:r>
      <w:r>
        <w:t xml:space="preserve"> </w:t>
      </w:r>
      <w:r w:rsidRPr="00EC4856">
        <w:t>working</w:t>
      </w:r>
      <w:r>
        <w:t xml:space="preserve"> </w:t>
      </w:r>
      <w:r w:rsidRPr="00EC4856">
        <w:t>capital;</w:t>
      </w:r>
      <w:r>
        <w:t xml:space="preserve"> </w:t>
      </w:r>
      <w:r w:rsidRPr="00EC4856">
        <w:t>sometimes</w:t>
      </w:r>
      <w:r>
        <w:t xml:space="preserve"> </w:t>
      </w:r>
      <w:r w:rsidRPr="00EC4856">
        <w:t>used</w:t>
      </w:r>
      <w:r>
        <w:t xml:space="preserve"> </w:t>
      </w:r>
      <w:r w:rsidRPr="00EC4856">
        <w:t>to</w:t>
      </w:r>
      <w:r>
        <w:t xml:space="preserve"> </w:t>
      </w:r>
      <w:r w:rsidRPr="00EC4856">
        <w:t>refer</w:t>
      </w:r>
      <w:r>
        <w:t xml:space="preserve"> </w:t>
      </w:r>
      <w:r w:rsidRPr="00EC4856">
        <w:t>to</w:t>
      </w:r>
      <w:r>
        <w:t xml:space="preserve"> </w:t>
      </w:r>
      <w:r w:rsidRPr="00EC4856">
        <w:t>cash</w:t>
      </w:r>
      <w:r>
        <w:t xml:space="preserve"> </w:t>
      </w:r>
      <w:r w:rsidRPr="00EC4856">
        <w:t>or</w:t>
      </w:r>
      <w:r>
        <w:t xml:space="preserve"> </w:t>
      </w:r>
      <w:r w:rsidRPr="00EC4856">
        <w:t>to</w:t>
      </w:r>
      <w:r>
        <w:t xml:space="preserve"> </w:t>
      </w:r>
      <w:r w:rsidRPr="00EC4856">
        <w:t>cash</w:t>
      </w:r>
      <w:r>
        <w:t xml:space="preserve"> </w:t>
      </w:r>
      <w:r w:rsidRPr="00EC4856">
        <w:t>and</w:t>
      </w:r>
      <w:r>
        <w:t xml:space="preserve"> </w:t>
      </w:r>
      <w:r w:rsidRPr="00EC4856">
        <w:t>marketable</w:t>
      </w:r>
      <w:r>
        <w:t xml:space="preserve"> </w:t>
      </w:r>
      <w:r w:rsidRPr="00EC4856">
        <w:t>securities.</w:t>
      </w:r>
    </w:p>
    <w:p w:rsidR="00EC4856" w:rsidRPr="00B55AD5" w:rsidRDefault="00EC4856" w:rsidP="00EC4856"/>
    <w:p w:rsidR="00EC4856" w:rsidRPr="00EC4856" w:rsidRDefault="00EC4856" w:rsidP="00EC4856"/>
    <w:p w:rsidR="0077473D" w:rsidRDefault="0077473D" w:rsidP="0077473D">
      <w:pPr>
        <w:pStyle w:val="Heading3"/>
      </w:pPr>
      <w:r>
        <w:lastRenderedPageBreak/>
        <w:t>2ac Funding – Recourses</w:t>
      </w:r>
    </w:p>
    <w:p w:rsidR="0077473D" w:rsidRDefault="0077473D" w:rsidP="0077473D">
      <w:pPr>
        <w:pStyle w:val="Heading4"/>
      </w:pPr>
      <w:r>
        <w:t>Funding doesn’t just have to be monetary it can also be recourses</w:t>
      </w:r>
    </w:p>
    <w:p w:rsidR="0077473D" w:rsidRPr="0077473D" w:rsidRDefault="0077473D" w:rsidP="0077473D">
      <w:pPr>
        <w:rPr>
          <w:rStyle w:val="Style13ptBold"/>
        </w:rPr>
      </w:pPr>
      <w:r>
        <w:rPr>
          <w:rStyle w:val="Style13ptBold"/>
        </w:rPr>
        <w:t>Merriam Webster Dictionary 16</w:t>
      </w:r>
    </w:p>
    <w:p w:rsidR="0077473D" w:rsidRPr="0077473D" w:rsidRDefault="0077473D" w:rsidP="0077473D">
      <w:r>
        <w:t xml:space="preserve">(Merriam Webster Dictionary, </w:t>
      </w:r>
      <w:r w:rsidRPr="0077473D">
        <w:t>https://www.merriam-webster.com/dictionary/fund</w:t>
      </w:r>
      <w:r>
        <w:t>)</w:t>
      </w:r>
    </w:p>
    <w:p w:rsidR="0077473D" w:rsidRPr="0077473D" w:rsidRDefault="0077473D" w:rsidP="0077473D">
      <w:pPr>
        <w:rPr>
          <w:rStyle w:val="StyleUnderline"/>
        </w:rPr>
      </w:pPr>
      <w:r w:rsidRPr="0077473D">
        <w:rPr>
          <w:rStyle w:val="StyleUnderline"/>
        </w:rPr>
        <w:t xml:space="preserve">a sum of money </w:t>
      </w:r>
      <w:r w:rsidRPr="0077473D">
        <w:rPr>
          <w:rStyle w:val="Emphasis"/>
        </w:rPr>
        <w:t>or other resources</w:t>
      </w:r>
      <w:r w:rsidRPr="0077473D">
        <w:rPr>
          <w:rStyle w:val="StyleUnderline"/>
        </w:rPr>
        <w:t xml:space="preserve"> whose principal or interest is set apart for a specific objective</w:t>
      </w:r>
    </w:p>
    <w:p w:rsidR="00B91EA4" w:rsidRDefault="00B91EA4" w:rsidP="00B91EA4">
      <w:pPr>
        <w:pStyle w:val="Heading2"/>
      </w:pPr>
      <w:r>
        <w:lastRenderedPageBreak/>
        <w:t>Regulation</w:t>
      </w:r>
    </w:p>
    <w:p w:rsidR="00B035F4" w:rsidRDefault="00B035F4" w:rsidP="00B035F4">
      <w:pPr>
        <w:pStyle w:val="Heading3"/>
      </w:pPr>
      <w:r>
        <w:lastRenderedPageBreak/>
        <w:t>Regulation – Categories</w:t>
      </w:r>
    </w:p>
    <w:p w:rsidR="00B035F4" w:rsidRDefault="006E20D5" w:rsidP="00B035F4">
      <w:pPr>
        <w:pStyle w:val="Heading4"/>
      </w:pPr>
      <w:r>
        <w:t>There are 3 distinct categories of regulations</w:t>
      </w:r>
    </w:p>
    <w:p w:rsidR="00B035F4" w:rsidRDefault="00B035F4" w:rsidP="00B035F4">
      <w:r w:rsidRPr="00B035F4">
        <w:rPr>
          <w:rStyle w:val="Style13ptBold"/>
        </w:rPr>
        <w:t>Longley 16</w:t>
      </w:r>
      <w:r>
        <w:t xml:space="preserve"> **Citing the Office of Management and Budget</w:t>
      </w:r>
    </w:p>
    <w:p w:rsidR="00B035F4" w:rsidRPr="00B035F4" w:rsidRDefault="00B035F4" w:rsidP="00B035F4">
      <w:r w:rsidRPr="00B035F4">
        <w:t xml:space="preserve">(Robert, </w:t>
      </w:r>
      <w:r>
        <w:t>“</w:t>
      </w:r>
      <w:r w:rsidRPr="00B035F4">
        <w:t>Federal Regulations</w:t>
      </w:r>
      <w:r>
        <w:t xml:space="preserve"> </w:t>
      </w:r>
      <w:r w:rsidRPr="00B035F4">
        <w:t>The Laws Behind the Acts of Congress</w:t>
      </w:r>
      <w:r>
        <w:t>,” November 26</w:t>
      </w:r>
      <w:r w:rsidRPr="00B035F4">
        <w:rPr>
          <w:vertAlign w:val="superscript"/>
        </w:rPr>
        <w:t>th</w:t>
      </w:r>
      <w:r>
        <w:t xml:space="preserve"> 2016, </w:t>
      </w:r>
      <w:hyperlink r:id="rId24" w:history="1">
        <w:r w:rsidRPr="00B035F4">
          <w:rPr>
            <w:rStyle w:val="Hyperlink"/>
          </w:rPr>
          <w:t>https://www.thoughtco.com/federal-regulations-3322287</w:t>
        </w:r>
      </w:hyperlink>
      <w:r>
        <w:t>)</w:t>
      </w:r>
    </w:p>
    <w:p w:rsidR="00B035F4" w:rsidRPr="00B035F4" w:rsidRDefault="00B035F4" w:rsidP="00B035F4">
      <w:pPr>
        <w:rPr>
          <w:rStyle w:val="StyleUnderline"/>
        </w:rPr>
      </w:pPr>
      <w:r w:rsidRPr="00B035F4">
        <w:t xml:space="preserve">In the Office of Management and Budget's (OMB) 2000 Report to Congress on the Costs and Benefits of Federal Regulations, </w:t>
      </w:r>
      <w:r w:rsidRPr="00B035F4">
        <w:rPr>
          <w:rStyle w:val="StyleUnderline"/>
        </w:rPr>
        <w:t xml:space="preserve">OMB defines the three widely recognized categories of federal regulations as: </w:t>
      </w:r>
      <w:r w:rsidRPr="00B035F4">
        <w:rPr>
          <w:rStyle w:val="Emphasis"/>
        </w:rPr>
        <w:t>social, economic, and process</w:t>
      </w:r>
      <w:r w:rsidRPr="00B035F4">
        <w:rPr>
          <w:rStyle w:val="StyleUnderline"/>
        </w:rPr>
        <w:t>.</w:t>
      </w:r>
      <w:r>
        <w:t xml:space="preserve"> </w:t>
      </w:r>
      <w:r w:rsidRPr="00B035F4">
        <w:rPr>
          <w:rStyle w:val="StyleUnderline"/>
        </w:rPr>
        <w:t>Social regulations:</w:t>
      </w:r>
      <w:r>
        <w:rPr>
          <w:rStyle w:val="StyleUnderline"/>
        </w:rPr>
        <w:t xml:space="preserve"> </w:t>
      </w:r>
      <w:r w:rsidRPr="00B035F4">
        <w:rPr>
          <w:rStyle w:val="StyleUnderline"/>
        </w:rPr>
        <w:t>seek</w:t>
      </w:r>
      <w:r>
        <w:rPr>
          <w:rStyle w:val="StyleUnderline"/>
        </w:rPr>
        <w:t xml:space="preserve"> </w:t>
      </w:r>
      <w:r w:rsidRPr="00B035F4">
        <w:rPr>
          <w:rStyle w:val="StyleUnderline"/>
        </w:rPr>
        <w:t>to benefit the public interest in one of two ways. It prohibits firms from producing products in certain ways or with certain characteristics that are harmful to public interests such as health, safety, and the environment.</w:t>
      </w:r>
      <w:r>
        <w:rPr>
          <w:rStyle w:val="StyleUnderline"/>
        </w:rPr>
        <w:t xml:space="preserve"> </w:t>
      </w:r>
      <w:r w:rsidRPr="00B035F4">
        <w:rPr>
          <w:rStyle w:val="StyleUnderline"/>
        </w:rPr>
        <w:t>Examples would be OSHA’s rule prohibiting firms from allowing in the workplace more than one part per million of Benzene averaged over an eight hour day</w:t>
      </w:r>
      <w:r w:rsidRPr="00B035F4">
        <w:t>, and the Department of Energy’s rule prohibiting firms from selling refrigerators that do not meet certain energy efficiency standards.</w:t>
      </w:r>
      <w:r>
        <w:t xml:space="preserve"> </w:t>
      </w:r>
      <w:r w:rsidRPr="00B035F4">
        <w:rPr>
          <w:rStyle w:val="StyleUnderline"/>
        </w:rPr>
        <w:t xml:space="preserve">Social regulation also requires firms to produce products in certain ways or with certain characteristics </w:t>
      </w:r>
      <w:r w:rsidRPr="00B035F4">
        <w:rPr>
          <w:rStyle w:val="Emphasis"/>
        </w:rPr>
        <w:t>that are beneficial to these public interests.</w:t>
      </w:r>
      <w:r w:rsidRPr="00B035F4">
        <w:rPr>
          <w:rStyle w:val="StyleUnderline"/>
        </w:rPr>
        <w:t xml:space="preserve"> Examples are the Food and Drug Administration’s requirement that firms selling food products must provide a label</w:t>
      </w:r>
      <w:r w:rsidRPr="00B035F4">
        <w:t xml:space="preserve"> with specified information on its package and Department of Transportation’s requirement that automobiles be equipped with approved airbags.</w:t>
      </w:r>
      <w:r>
        <w:t xml:space="preserve"> </w:t>
      </w:r>
      <w:r w:rsidRPr="00B035F4">
        <w:rPr>
          <w:rStyle w:val="StyleUnderline"/>
        </w:rPr>
        <w:t>Economic regulations:</w:t>
      </w:r>
      <w:r>
        <w:rPr>
          <w:rStyle w:val="StyleUnderline"/>
        </w:rPr>
        <w:t xml:space="preserve"> </w:t>
      </w:r>
      <w:r w:rsidRPr="00B035F4">
        <w:rPr>
          <w:rStyle w:val="StyleUnderline"/>
        </w:rPr>
        <w:t>prohibit</w:t>
      </w:r>
      <w:r>
        <w:rPr>
          <w:rStyle w:val="StyleUnderline"/>
        </w:rPr>
        <w:t xml:space="preserve"> </w:t>
      </w:r>
      <w:r w:rsidRPr="00B035F4">
        <w:rPr>
          <w:rStyle w:val="StyleUnderline"/>
        </w:rPr>
        <w:t xml:space="preserve">firms from charging prices or entering or exiting lines of business </w:t>
      </w:r>
      <w:r w:rsidRPr="00B035F4">
        <w:rPr>
          <w:rStyle w:val="Emphasis"/>
        </w:rPr>
        <w:t>that might cause harm</w:t>
      </w:r>
      <w:r w:rsidRPr="00B035F4">
        <w:rPr>
          <w:rStyle w:val="StyleUnderline"/>
        </w:rPr>
        <w:t xml:space="preserve"> to the economic interests of other firms or economic groups</w:t>
      </w:r>
      <w:r w:rsidRPr="00B035F4">
        <w:t xml:space="preserve">. </w:t>
      </w:r>
      <w:r w:rsidRPr="00B035F4">
        <w:rPr>
          <w:rStyle w:val="StyleUnderline"/>
        </w:rPr>
        <w:t xml:space="preserve">Such regulations usually </w:t>
      </w:r>
      <w:r w:rsidRPr="00B035F4">
        <w:rPr>
          <w:rStyle w:val="Emphasis"/>
        </w:rPr>
        <w:t>apply on an industry-wide basis</w:t>
      </w:r>
      <w:r w:rsidRPr="00B035F4">
        <w:rPr>
          <w:rStyle w:val="StyleUnderline"/>
        </w:rPr>
        <w:t xml:space="preserve"> (for example, agriculture, trucking, or communications).</w:t>
      </w:r>
      <w:r>
        <w:t xml:space="preserve"> </w:t>
      </w:r>
      <w:r w:rsidRPr="00B035F4">
        <w:t xml:space="preserve">In the United States, </w:t>
      </w:r>
      <w:r w:rsidRPr="00B035F4">
        <w:rPr>
          <w:rStyle w:val="StyleUnderline"/>
        </w:rPr>
        <w:t xml:space="preserve">this type of regulation at the federal level has often been administered </w:t>
      </w:r>
      <w:r w:rsidRPr="00B035F4">
        <w:rPr>
          <w:rStyle w:val="Emphasis"/>
        </w:rPr>
        <w:t>by independent commissions</w:t>
      </w:r>
      <w:r w:rsidRPr="00B035F4">
        <w:rPr>
          <w:rStyle w:val="StyleUnderline"/>
        </w:rPr>
        <w:t xml:space="preserve"> such as the Federal Communications Commission (FCC) or the Federal Energy Regulatory Commission (FERC).</w:t>
      </w:r>
      <w:r w:rsidRPr="00B035F4">
        <w:t xml:space="preserve"> This type of regulation can cause economic loss from the higher prices and inefficient operations that often occur when competition is restrained.</w:t>
      </w:r>
      <w:r>
        <w:t xml:space="preserve"> </w:t>
      </w:r>
      <w:r w:rsidRPr="00B035F4">
        <w:rPr>
          <w:rStyle w:val="StyleUnderline"/>
        </w:rPr>
        <w:t>Process Regulations:</w:t>
      </w:r>
      <w:r>
        <w:rPr>
          <w:rStyle w:val="StyleUnderline"/>
        </w:rPr>
        <w:t xml:space="preserve"> </w:t>
      </w:r>
      <w:r w:rsidRPr="00B035F4">
        <w:rPr>
          <w:rStyle w:val="Emphasis"/>
        </w:rPr>
        <w:t>impose administrative or paperwork requirements</w:t>
      </w:r>
      <w:r w:rsidRPr="00B035F4">
        <w:rPr>
          <w:rStyle w:val="StyleUnderline"/>
        </w:rPr>
        <w:t xml:space="preserve"> such as income tax, immigration, social security, food stamps, or procurement forms</w:t>
      </w:r>
      <w:r w:rsidRPr="00B035F4">
        <w:t xml:space="preserve">. Most costs to businesses result from program administration, government procurement, and tax compliance efforts. Social and economic regulation may also impose paperwork costs due to disclosure requirements and enforcement needs. </w:t>
      </w:r>
      <w:r w:rsidRPr="00B035F4">
        <w:rPr>
          <w:rStyle w:val="StyleUnderline"/>
        </w:rPr>
        <w:t>These costs generally appear in the cost for such rules. Procurement costs generally show up in</w:t>
      </w:r>
      <w:r>
        <w:rPr>
          <w:rStyle w:val="StyleUnderline"/>
        </w:rPr>
        <w:t xml:space="preserve"> </w:t>
      </w:r>
      <w:hyperlink r:id="rId25" w:history="1">
        <w:r w:rsidRPr="00B035F4">
          <w:rPr>
            <w:rStyle w:val="StyleUnderline"/>
          </w:rPr>
          <w:t>the federal budget</w:t>
        </w:r>
      </w:hyperlink>
      <w:r>
        <w:rPr>
          <w:rStyle w:val="StyleUnderline"/>
        </w:rPr>
        <w:t xml:space="preserve"> </w:t>
      </w:r>
      <w:r w:rsidRPr="00B035F4">
        <w:rPr>
          <w:rStyle w:val="StyleUnderline"/>
        </w:rPr>
        <w:t>as greater fiscal expenditures.</w:t>
      </w:r>
    </w:p>
    <w:p w:rsidR="00B035F4" w:rsidRPr="00B035F4" w:rsidRDefault="00B035F4" w:rsidP="00B035F4"/>
    <w:p w:rsidR="00B91EA4" w:rsidRDefault="0013564F" w:rsidP="00B91EA4">
      <w:pPr>
        <w:pStyle w:val="Heading3"/>
      </w:pPr>
      <w:r>
        <w:lastRenderedPageBreak/>
        <w:t>Regulation – Modify Economic Behavior</w:t>
      </w:r>
    </w:p>
    <w:p w:rsidR="00B91EA4" w:rsidRDefault="00B91EA4" w:rsidP="00B91EA4">
      <w:pPr>
        <w:pStyle w:val="Heading4"/>
      </w:pPr>
      <w:r>
        <w:t xml:space="preserve">Regulations </w:t>
      </w:r>
      <w:r w:rsidRPr="00B91EA4">
        <w:rPr>
          <w:u w:val="single"/>
        </w:rPr>
        <w:t>require</w:t>
      </w:r>
      <w:r>
        <w:t xml:space="preserve"> modifying economic behavior </w:t>
      </w:r>
    </w:p>
    <w:p w:rsidR="00B91EA4" w:rsidRPr="0013564F" w:rsidRDefault="00B91EA4" w:rsidP="00B91EA4">
      <w:proofErr w:type="spellStart"/>
      <w:r w:rsidRPr="0013564F">
        <w:rPr>
          <w:rStyle w:val="Style13ptBold"/>
        </w:rPr>
        <w:t>Kehami</w:t>
      </w:r>
      <w:proofErr w:type="spellEnd"/>
      <w:r w:rsidRPr="0013564F">
        <w:rPr>
          <w:rStyle w:val="Style13ptBold"/>
        </w:rPr>
        <w:t xml:space="preserve"> and Shapiro 93</w:t>
      </w:r>
      <w:r>
        <w:t xml:space="preserve"> – </w:t>
      </w:r>
      <w:r w:rsidRPr="0013564F">
        <w:t xml:space="preserve">Advisor in the Financial &amp; Private Sector Development Vice-Presidency </w:t>
      </w:r>
      <w:r w:rsidR="0013564F" w:rsidRPr="0013564F">
        <w:t>@</w:t>
      </w:r>
      <w:r w:rsidRPr="0013564F">
        <w:t xml:space="preserve"> the World Bank Group</w:t>
      </w:r>
    </w:p>
    <w:p w:rsidR="00B91EA4" w:rsidRPr="00B91EA4" w:rsidRDefault="0013564F" w:rsidP="00B91EA4">
      <w:r>
        <w:t>(R.S., and D.M., “</w:t>
      </w:r>
      <w:r w:rsidR="00B91EA4" w:rsidRPr="00B91EA4">
        <w:t xml:space="preserve">Glossary of Industrial </w:t>
      </w:r>
      <w:proofErr w:type="spellStart"/>
      <w:r w:rsidR="00B91EA4" w:rsidRPr="00B91EA4">
        <w:t>Organisatio</w:t>
      </w:r>
      <w:r>
        <w:t>n</w:t>
      </w:r>
      <w:proofErr w:type="spellEnd"/>
      <w:r>
        <w:t xml:space="preserve"> Economics and Competition Law,”</w:t>
      </w:r>
      <w:r w:rsidR="00B91EA4" w:rsidRPr="00B91EA4">
        <w:t xml:space="preserve"> Directorate for Financial, Fiscal and</w:t>
      </w:r>
      <w:r>
        <w:t xml:space="preserve"> Enterprise Affairs, OECD, 1993)</w:t>
      </w:r>
    </w:p>
    <w:p w:rsidR="00B91EA4" w:rsidRPr="00B91EA4" w:rsidRDefault="00B91EA4" w:rsidP="00B91EA4">
      <w:pPr>
        <w:rPr>
          <w:rStyle w:val="StyleUnderline"/>
        </w:rPr>
      </w:pPr>
      <w:r w:rsidRPr="00B91EA4">
        <w:rPr>
          <w:rStyle w:val="StyleUnderline"/>
        </w:rPr>
        <w:t xml:space="preserve">Regulation is broadly defined as imposition of rules by government, backed by the use of penalties that are intended specifically </w:t>
      </w:r>
      <w:r w:rsidRPr="00B91EA4">
        <w:rPr>
          <w:rStyle w:val="Emphasis"/>
        </w:rPr>
        <w:t xml:space="preserve">to modify the economic </w:t>
      </w:r>
      <w:proofErr w:type="spellStart"/>
      <w:r w:rsidRPr="00B91EA4">
        <w:rPr>
          <w:rStyle w:val="Emphasis"/>
        </w:rPr>
        <w:t>behaviour</w:t>
      </w:r>
      <w:proofErr w:type="spellEnd"/>
      <w:r w:rsidRPr="00B91EA4">
        <w:rPr>
          <w:rStyle w:val="StyleUnderline"/>
        </w:rPr>
        <w:t xml:space="preserve"> of individuals and firms in the private sector</w:t>
      </w:r>
      <w:r w:rsidRPr="00B91EA4">
        <w:t xml:space="preserve">. Various regulatory instruments or targets exist. </w:t>
      </w:r>
      <w:r w:rsidRPr="00B91EA4">
        <w:rPr>
          <w:rStyle w:val="StyleUnderline"/>
        </w:rPr>
        <w:t>Prices, output, rate of return (in the form of profits, margins or commissions), disclosure of information, standards and ownership ceilings are among those frequently used.</w:t>
      </w:r>
    </w:p>
    <w:p w:rsidR="00B91EA4" w:rsidRDefault="0013564F" w:rsidP="0013564F">
      <w:pPr>
        <w:pStyle w:val="Heading3"/>
      </w:pPr>
      <w:r>
        <w:lastRenderedPageBreak/>
        <w:t>Regulation – Doesn’t Require Government</w:t>
      </w:r>
    </w:p>
    <w:p w:rsidR="0013564F" w:rsidRDefault="0013564F" w:rsidP="0013564F">
      <w:pPr>
        <w:pStyle w:val="Heading4"/>
      </w:pPr>
      <w:r>
        <w:t xml:space="preserve">Regulations </w:t>
      </w:r>
      <w:r w:rsidR="006E20D5">
        <w:t>don’t</w:t>
      </w:r>
      <w:r>
        <w:t xml:space="preserve"> require the government</w:t>
      </w:r>
    </w:p>
    <w:p w:rsidR="0013564F" w:rsidRPr="0013564F" w:rsidRDefault="0013564F" w:rsidP="0013564F">
      <w:proofErr w:type="spellStart"/>
      <w:r w:rsidRPr="0013564F">
        <w:rPr>
          <w:rStyle w:val="Style13ptBold"/>
        </w:rPr>
        <w:t>Kehami</w:t>
      </w:r>
      <w:proofErr w:type="spellEnd"/>
      <w:r w:rsidRPr="0013564F">
        <w:rPr>
          <w:rStyle w:val="Style13ptBold"/>
        </w:rPr>
        <w:t xml:space="preserve"> and Shapiro 93</w:t>
      </w:r>
      <w:r>
        <w:t xml:space="preserve"> – </w:t>
      </w:r>
      <w:r w:rsidRPr="0013564F">
        <w:t>Advisor in the Financial &amp; Private Sector Development Vice-Presidency @ the World Bank Group</w:t>
      </w:r>
    </w:p>
    <w:p w:rsidR="0013564F" w:rsidRPr="0013564F" w:rsidRDefault="0013564F" w:rsidP="0013564F">
      <w:r>
        <w:t>(R.S., and D.M., “</w:t>
      </w:r>
      <w:r w:rsidRPr="00B91EA4">
        <w:t xml:space="preserve">Glossary of Industrial </w:t>
      </w:r>
      <w:proofErr w:type="spellStart"/>
      <w:r w:rsidRPr="00B91EA4">
        <w:t>Organisatio</w:t>
      </w:r>
      <w:r>
        <w:t>n</w:t>
      </w:r>
      <w:proofErr w:type="spellEnd"/>
      <w:r>
        <w:t xml:space="preserve"> Economics and Competition Law,”</w:t>
      </w:r>
      <w:r w:rsidRPr="00B91EA4">
        <w:t xml:space="preserve"> Directorate for Financial, Fiscal and</w:t>
      </w:r>
      <w:r>
        <w:t xml:space="preserve"> Enterprise Affairs, OECD, 1993)</w:t>
      </w:r>
    </w:p>
    <w:p w:rsidR="0013564F" w:rsidRDefault="0013564F" w:rsidP="0013564F">
      <w:r w:rsidRPr="0013564F">
        <w:rPr>
          <w:rStyle w:val="StyleUnderline"/>
        </w:rPr>
        <w:t xml:space="preserve">Not all forms of regulation </w:t>
      </w:r>
      <w:r w:rsidRPr="0013564F">
        <w:rPr>
          <w:rStyle w:val="Emphasis"/>
        </w:rPr>
        <w:t>have to be mandated or imposed by government</w:t>
      </w:r>
      <w:r w:rsidRPr="0013564F">
        <w:t xml:space="preserve">. </w:t>
      </w:r>
      <w:r w:rsidRPr="0013564F">
        <w:rPr>
          <w:rStyle w:val="StyleUnderline"/>
        </w:rPr>
        <w:t>Many professions adopt self-regulation, i.e., develop and self-enforce rules commonly arrived at for the mutual benefit of members</w:t>
      </w:r>
      <w:r w:rsidRPr="0013564F">
        <w:t xml:space="preserve">. </w:t>
      </w:r>
      <w:r w:rsidRPr="0013564F">
        <w:rPr>
          <w:rStyle w:val="StyleUnderline"/>
        </w:rPr>
        <w:t>Self-regulation may be adopted in order to maintain professional reputation, education and ethical standards</w:t>
      </w:r>
      <w:r w:rsidRPr="0013564F">
        <w:t>. They may also act as a vehicle to set prices, restrict entry and ban certain practices (e.g., advertising in order to restrict competition).</w:t>
      </w:r>
    </w:p>
    <w:p w:rsidR="005745A9" w:rsidRDefault="005745A9" w:rsidP="005745A9">
      <w:pPr>
        <w:pStyle w:val="Heading3"/>
      </w:pPr>
      <w:r w:rsidRPr="005745A9">
        <w:lastRenderedPageBreak/>
        <w:t xml:space="preserve">Regulation – </w:t>
      </w:r>
      <w:r w:rsidR="004C47C9">
        <w:t xml:space="preserve">Rule </w:t>
      </w:r>
    </w:p>
    <w:p w:rsidR="00663E00" w:rsidRDefault="004C47C9" w:rsidP="00663E00">
      <w:pPr>
        <w:pStyle w:val="Heading4"/>
      </w:pPr>
      <w:r>
        <w:t xml:space="preserve">A regulation has to be a rule adopted by an agency </w:t>
      </w:r>
    </w:p>
    <w:p w:rsidR="00663E00" w:rsidRPr="00663E00" w:rsidRDefault="00663E00" w:rsidP="00663E00">
      <w:pPr>
        <w:rPr>
          <w:b/>
          <w:bCs/>
          <w:sz w:val="26"/>
        </w:rPr>
      </w:pPr>
      <w:r w:rsidRPr="00663E00">
        <w:rPr>
          <w:rStyle w:val="Style13ptBold"/>
        </w:rPr>
        <w:t xml:space="preserve">California Court of Appeals 3 </w:t>
      </w:r>
    </w:p>
    <w:p w:rsidR="00663E00" w:rsidRPr="00663E00" w:rsidRDefault="00663E00" w:rsidP="00663E00">
      <w:pPr>
        <w:rPr>
          <w:rStyle w:val="Style13ptBold"/>
          <w:b w:val="0"/>
          <w:bCs w:val="0"/>
          <w:sz w:val="22"/>
        </w:rPr>
      </w:pPr>
      <w:r>
        <w:t>(</w:t>
      </w:r>
      <w:r w:rsidRPr="00663E00">
        <w:t>Cal. Advocates for Nursing Home Reform v. </w:t>
      </w:r>
      <w:proofErr w:type="spellStart"/>
      <w:r w:rsidRPr="00663E00">
        <w:t>Bonta</w:t>
      </w:r>
      <w:proofErr w:type="spellEnd"/>
      <w:r w:rsidRPr="00663E00">
        <w:t xml:space="preserve">, 130 Cal. </w:t>
      </w:r>
      <w:proofErr w:type="spellStart"/>
      <w:r w:rsidRPr="00663E00">
        <w:t>Rptr</w:t>
      </w:r>
      <w:proofErr w:type="spellEnd"/>
      <w:r w:rsidRPr="00663E00">
        <w:t>. 2d 823 (Cal. Ct. App. 2003)</w:t>
      </w:r>
      <w:r>
        <w:t>)</w:t>
      </w:r>
    </w:p>
    <w:p w:rsidR="005745A9" w:rsidRPr="005745A9" w:rsidRDefault="005745A9" w:rsidP="005745A9">
      <w:r w:rsidRPr="005745A9">
        <w:t>"</w:t>
      </w:r>
      <w:r w:rsidRPr="00663E00">
        <w:rPr>
          <w:rStyle w:val="StyleUnderline"/>
        </w:rPr>
        <w:t xml:space="preserve">Regulation" is defined in the APA as "every rule, regulation, order, or standard of general application or the amendment, supplement, or revision of any rule, regulation, order, or standard adopted </w:t>
      </w:r>
      <w:r w:rsidRPr="00663E00">
        <w:rPr>
          <w:rStyle w:val="Emphasis"/>
        </w:rPr>
        <w:t>by any state agency</w:t>
      </w:r>
      <w:r w:rsidRPr="00663E00">
        <w:rPr>
          <w:rStyle w:val="StyleUnderline"/>
        </w:rPr>
        <w:t xml:space="preserve"> to implement, interpret, or make specific the law enforced or administered by it, or to govern its procedure</w:t>
      </w:r>
      <w:r w:rsidRPr="005745A9">
        <w:t>...." (</w:t>
      </w:r>
      <w:proofErr w:type="spellStart"/>
      <w:r w:rsidRPr="005745A9">
        <w:t>Gov.Code</w:t>
      </w:r>
      <w:proofErr w:type="spellEnd"/>
      <w:r w:rsidRPr="005745A9">
        <w:t xml:space="preserve">, § 11342.600.) "A regulation subject to the APA thus has two principal identifying characteristics. (See Union of American Physicians &amp; Dentists v. </w:t>
      </w:r>
      <w:proofErr w:type="spellStart"/>
      <w:r w:rsidRPr="005745A9">
        <w:t>Kizer</w:t>
      </w:r>
      <w:proofErr w:type="spellEnd"/>
      <w:r w:rsidRPr="005745A9">
        <w:t> (1990) </w:t>
      </w:r>
      <w:hyperlink r:id="rId26" w:history="1">
        <w:r w:rsidRPr="005745A9">
          <w:rPr>
            <w:rStyle w:val="Hyperlink"/>
          </w:rPr>
          <w:t>223 Cal. App. 3d 490</w:t>
        </w:r>
      </w:hyperlink>
      <w:r w:rsidRPr="005745A9">
        <w:t>, 497, [</w:t>
      </w:r>
      <w:hyperlink r:id="rId27" w:history="1">
        <w:r w:rsidRPr="005745A9">
          <w:rPr>
            <w:rStyle w:val="Hyperlink"/>
          </w:rPr>
          <w:t xml:space="preserve">272 Cal. </w:t>
        </w:r>
        <w:proofErr w:type="spellStart"/>
        <w:r w:rsidRPr="005745A9">
          <w:rPr>
            <w:rStyle w:val="Hyperlink"/>
          </w:rPr>
          <w:t>Rptr</w:t>
        </w:r>
        <w:proofErr w:type="spellEnd"/>
        <w:r w:rsidRPr="005745A9">
          <w:rPr>
            <w:rStyle w:val="Hyperlink"/>
          </w:rPr>
          <w:t>. 886</w:t>
        </w:r>
      </w:hyperlink>
      <w:r w:rsidRPr="005745A9">
        <w:t xml:space="preserve">] ....) </w:t>
      </w:r>
      <w:r w:rsidRPr="00663E00">
        <w:rPr>
          <w:rStyle w:val="StyleUnderline"/>
        </w:rPr>
        <w:t>First, the agency must intend its rule to apply generally, rather than in a specific case</w:t>
      </w:r>
      <w:r w:rsidRPr="005745A9">
        <w:t>. The rule need not, however, apply universally; a rule applies generally so long as it declares how a certain class of cases will be decided. (Roth v. Department of Veterans Affairs (1980) </w:t>
      </w:r>
      <w:hyperlink r:id="rId28" w:history="1">
        <w:r w:rsidRPr="005745A9">
          <w:rPr>
            <w:rStyle w:val="Hyperlink"/>
          </w:rPr>
          <w:t>110 Cal. App. 3d 622</w:t>
        </w:r>
      </w:hyperlink>
      <w:r w:rsidRPr="005745A9">
        <w:t xml:space="preserve">, 630, [167 Cal. </w:t>
      </w:r>
      <w:proofErr w:type="spellStart"/>
      <w:r w:rsidRPr="005745A9">
        <w:t>Rptr</w:t>
      </w:r>
      <w:proofErr w:type="spellEnd"/>
      <w:r w:rsidRPr="005745A9">
        <w:t xml:space="preserve">. 552]....) </w:t>
      </w:r>
      <w:r w:rsidRPr="00663E00">
        <w:rPr>
          <w:rStyle w:val="StyleUnderline"/>
        </w:rPr>
        <w:t xml:space="preserve">Second, the rule must `implement, interpret, or make specific the law enforced or administered by [the agency], or ... </w:t>
      </w:r>
      <w:r w:rsidRPr="00663E00">
        <w:rPr>
          <w:rStyle w:val="Emphasis"/>
        </w:rPr>
        <w:t>govern [the agency's] procedure.</w:t>
      </w:r>
      <w:r w:rsidRPr="005745A9">
        <w:t>' (</w:t>
      </w:r>
      <w:proofErr w:type="spellStart"/>
      <w:r w:rsidRPr="005745A9">
        <w:t>Gov.Code</w:t>
      </w:r>
      <w:proofErr w:type="spellEnd"/>
      <w:r w:rsidRPr="005745A9">
        <w:t xml:space="preserve">, *829 § 11342, </w:t>
      </w:r>
      <w:proofErr w:type="spellStart"/>
      <w:r w:rsidRPr="005745A9">
        <w:t>subd</w:t>
      </w:r>
      <w:proofErr w:type="spellEnd"/>
      <w:r w:rsidRPr="005745A9">
        <w:t xml:space="preserve">. (g).)" (Tidewater Marine Western, Inc. v. Bradshaw (1996) 14 Cal. 4th 557, 571, 59 Cal. </w:t>
      </w:r>
      <w:proofErr w:type="spellStart"/>
      <w:r w:rsidRPr="005745A9">
        <w:t>Rptr</w:t>
      </w:r>
      <w:proofErr w:type="spellEnd"/>
      <w:r w:rsidRPr="005745A9">
        <w:t>. 2d 186, 927 P.2d 296.)</w:t>
      </w:r>
    </w:p>
    <w:p w:rsidR="005745A9" w:rsidRPr="005745A9" w:rsidRDefault="005745A9" w:rsidP="005745A9"/>
    <w:p w:rsidR="00FD063D" w:rsidRDefault="004C47C9" w:rsidP="003775C0">
      <w:pPr>
        <w:pStyle w:val="Heading3"/>
      </w:pPr>
      <w:r>
        <w:lastRenderedPageBreak/>
        <w:t xml:space="preserve">XT </w:t>
      </w:r>
      <w:r w:rsidR="00FD063D">
        <w:t xml:space="preserve">Regulation – </w:t>
      </w:r>
      <w:r w:rsidR="00240EBE">
        <w:t>Rule</w:t>
      </w:r>
    </w:p>
    <w:p w:rsidR="00FD063D" w:rsidRDefault="00FD063D" w:rsidP="00FD063D">
      <w:pPr>
        <w:pStyle w:val="Heading4"/>
      </w:pPr>
      <w:r>
        <w:t>A regulation is a rule prescribed by government</w:t>
      </w:r>
    </w:p>
    <w:p w:rsidR="00FD063D" w:rsidRDefault="00FD063D" w:rsidP="00FD063D">
      <w:pPr>
        <w:rPr>
          <w:rStyle w:val="Style13ptBold"/>
        </w:rPr>
      </w:pPr>
      <w:r w:rsidRPr="00FD063D">
        <w:rPr>
          <w:rStyle w:val="Style13ptBold"/>
        </w:rPr>
        <w:t>Black’s Law Dictionary No Date</w:t>
      </w:r>
    </w:p>
    <w:p w:rsidR="00FD063D" w:rsidRPr="00FD063D" w:rsidRDefault="00FD063D" w:rsidP="00FD063D">
      <w:r w:rsidRPr="00FD063D">
        <w:t>(Black's Law Dictionary Free Online Legal Dictionary 2nd Ed, http://thelawdictionary.org/regulation/</w:t>
      </w:r>
      <w:r>
        <w:t>)</w:t>
      </w:r>
    </w:p>
    <w:p w:rsidR="00FD063D" w:rsidRPr="00FD063D" w:rsidRDefault="00FD063D" w:rsidP="00FD063D">
      <w:r w:rsidRPr="00FD063D">
        <w:rPr>
          <w:rStyle w:val="StyleUnderline"/>
        </w:rPr>
        <w:t xml:space="preserve">The act of regulating; </w:t>
      </w:r>
      <w:r w:rsidRPr="00FD063D">
        <w:rPr>
          <w:rStyle w:val="Emphasis"/>
        </w:rPr>
        <w:t>a rule or order prescribed for management or government</w:t>
      </w:r>
      <w:r w:rsidRPr="00FD063D">
        <w:rPr>
          <w:rStyle w:val="StyleUnderline"/>
        </w:rPr>
        <w:t>; a regulating principle; a precept</w:t>
      </w:r>
      <w:r w:rsidRPr="00FD063D">
        <w:t>. See Curry v. Marvin, 2 Fla. 415; Ames v. Union Pac. Ry. Co. (C. C.) 64 Fed. 178; Hunt v. Lambertville, 45 N. J. Law, 282.</w:t>
      </w:r>
    </w:p>
    <w:p w:rsidR="00095CDE" w:rsidRDefault="00095CDE" w:rsidP="00095CDE">
      <w:pPr>
        <w:pStyle w:val="Heading4"/>
      </w:pPr>
      <w:r>
        <w:t>A regulation is a rule</w:t>
      </w:r>
    </w:p>
    <w:p w:rsidR="00095CDE" w:rsidRPr="00225E92" w:rsidRDefault="00095CDE" w:rsidP="00095CDE">
      <w:pPr>
        <w:rPr>
          <w:rStyle w:val="Style13ptBold"/>
        </w:rPr>
      </w:pPr>
      <w:r w:rsidRPr="00225E92">
        <w:rPr>
          <w:rStyle w:val="Style13ptBold"/>
        </w:rPr>
        <w:t xml:space="preserve">Mack and Nash 1910 </w:t>
      </w:r>
    </w:p>
    <w:p w:rsidR="00095CDE" w:rsidRPr="00225E92" w:rsidRDefault="00095CDE" w:rsidP="00095CDE">
      <w:r w:rsidRPr="00225E92">
        <w:t>(William, and Howard, “Cyclopedia of Law and Procedure,” 1910)</w:t>
      </w:r>
    </w:p>
    <w:p w:rsidR="00095CDE" w:rsidRPr="00225E92" w:rsidRDefault="00095CDE" w:rsidP="00095CDE">
      <w:pPr>
        <w:pStyle w:val="Heading4"/>
      </w:pPr>
    </w:p>
    <w:p w:rsidR="00095CDE" w:rsidRPr="00225E92" w:rsidRDefault="00095CDE" w:rsidP="00095CDE">
      <w:pPr>
        <w:rPr>
          <w:rStyle w:val="StyleUnderline"/>
        </w:rPr>
      </w:pPr>
      <w:r>
        <w:t>REGULATION.</w:t>
      </w:r>
      <w:r w:rsidRPr="00225E92">
        <w:rPr>
          <w:rStyle w:val="Emphasis"/>
        </w:rPr>
        <w:t xml:space="preserve"> Any rule for the ordering of affairs</w:t>
      </w:r>
      <w:r w:rsidRPr="00225E92">
        <w:rPr>
          <w:rStyle w:val="StyleUnderline"/>
        </w:rPr>
        <w:t>, public or private, a rule of law by which some right is to be exercised; a rule or order prescribed by for management or government; prescription;</w:t>
      </w:r>
      <w:r>
        <w:t xml:space="preserve"> a regulating principle; a governing direction; precept; law; </w:t>
      </w:r>
      <w:r w:rsidRPr="00225E92">
        <w:rPr>
          <w:rStyle w:val="Emphasis"/>
        </w:rPr>
        <w:t>a rule or order</w:t>
      </w:r>
      <w:r w:rsidRPr="00225E92">
        <w:rPr>
          <w:rStyle w:val="StyleUnderline"/>
        </w:rPr>
        <w:t xml:space="preserve"> prescribed by a superior for the management of business, or for the government of a company or society;</w:t>
      </w:r>
    </w:p>
    <w:p w:rsidR="00FD063D" w:rsidRDefault="000A435C" w:rsidP="000A435C">
      <w:pPr>
        <w:pStyle w:val="Heading3"/>
      </w:pPr>
      <w:r>
        <w:lastRenderedPageBreak/>
        <w:t xml:space="preserve">Rule + Order – Definition </w:t>
      </w:r>
    </w:p>
    <w:p w:rsidR="000A435C" w:rsidRDefault="00225E92" w:rsidP="000A435C">
      <w:pPr>
        <w:pStyle w:val="Heading4"/>
      </w:pPr>
      <w:r>
        <w:t>Rules have to be general in scope and apply to all parties</w:t>
      </w:r>
    </w:p>
    <w:p w:rsidR="000A435C" w:rsidRPr="000A435C" w:rsidRDefault="000A435C" w:rsidP="000A435C">
      <w:pPr>
        <w:rPr>
          <w:rStyle w:val="Style13ptBold"/>
        </w:rPr>
      </w:pPr>
      <w:r w:rsidRPr="000A435C">
        <w:rPr>
          <w:rStyle w:val="Style13ptBold"/>
        </w:rPr>
        <w:t>Southern Reporter 1917</w:t>
      </w:r>
    </w:p>
    <w:p w:rsidR="000A435C" w:rsidRPr="000A435C" w:rsidRDefault="000A435C" w:rsidP="000A435C">
      <w:r>
        <w:t xml:space="preserve">(Southern Reporter, Volume 74, </w:t>
      </w:r>
      <w:proofErr w:type="spellStart"/>
      <w:r>
        <w:t>Pg</w:t>
      </w:r>
      <w:proofErr w:type="spellEnd"/>
      <w:r>
        <w:t xml:space="preserve"> 602, Comprehensive Law Reports and Digest) </w:t>
      </w:r>
    </w:p>
    <w:p w:rsidR="000A435C" w:rsidRPr="000A435C" w:rsidRDefault="000A435C" w:rsidP="000A435C">
      <w:r w:rsidRPr="000A435C">
        <w:rPr>
          <w:rStyle w:val="StyleUnderline"/>
        </w:rPr>
        <w:t xml:space="preserve">The words “rule” and “order” when used in a statute </w:t>
      </w:r>
      <w:r w:rsidRPr="000A435C">
        <w:rPr>
          <w:rStyle w:val="Emphasis"/>
        </w:rPr>
        <w:t>have a definite significance</w:t>
      </w:r>
      <w:r>
        <w:t xml:space="preserve">. They are different in their nature and extent. </w:t>
      </w:r>
      <w:r w:rsidRPr="000A435C">
        <w:rPr>
          <w:rStyle w:val="StyleUnderline"/>
        </w:rPr>
        <w:t xml:space="preserve">A “rule” to be valid, </w:t>
      </w:r>
      <w:r w:rsidRPr="000A435C">
        <w:rPr>
          <w:rStyle w:val="Emphasis"/>
        </w:rPr>
        <w:t>must be general in scope</w:t>
      </w:r>
      <w:r w:rsidRPr="000A435C">
        <w:rPr>
          <w:rStyle w:val="StyleUnderline"/>
        </w:rPr>
        <w:t xml:space="preserve"> and undiscriminating in its application</w:t>
      </w:r>
      <w:r>
        <w:t xml:space="preserve">; </w:t>
      </w:r>
      <w:r w:rsidRPr="000A435C">
        <w:rPr>
          <w:rStyle w:val="StyleUnderline"/>
        </w:rPr>
        <w:t xml:space="preserve">an “order” </w:t>
      </w:r>
      <w:r w:rsidRPr="000A435C">
        <w:rPr>
          <w:rStyle w:val="Emphasis"/>
        </w:rPr>
        <w:t>is specific and not limited in its application</w:t>
      </w:r>
      <w:r>
        <w:t xml:space="preserve">. The function of an order relates more particularly to the execution or enforcement of a previous rule made. </w:t>
      </w:r>
    </w:p>
    <w:p w:rsidR="00741224" w:rsidRDefault="00741224" w:rsidP="00741224">
      <w:pPr>
        <w:pStyle w:val="Heading3"/>
      </w:pPr>
      <w:r>
        <w:lastRenderedPageBreak/>
        <w:t>Regulation – Statute</w:t>
      </w:r>
    </w:p>
    <w:p w:rsidR="00741224" w:rsidRDefault="00741224" w:rsidP="00741224">
      <w:pPr>
        <w:pStyle w:val="Heading4"/>
      </w:pPr>
      <w:r>
        <w:t>Regulations have to be issued by the executive and have to draw their authority from a pre-existing statute</w:t>
      </w:r>
    </w:p>
    <w:p w:rsidR="00741224" w:rsidRDefault="00741224" w:rsidP="00741224">
      <w:proofErr w:type="spellStart"/>
      <w:r w:rsidRPr="005C78F5">
        <w:rPr>
          <w:rStyle w:val="Style13ptBold"/>
        </w:rPr>
        <w:t>Durhaime</w:t>
      </w:r>
      <w:proofErr w:type="spellEnd"/>
      <w:r w:rsidRPr="005C78F5">
        <w:rPr>
          <w:rStyle w:val="Style13ptBold"/>
        </w:rPr>
        <w:t xml:space="preserve"> 14</w:t>
      </w:r>
      <w:r>
        <w:t xml:space="preserve"> – Lawyer and Attorney</w:t>
      </w:r>
    </w:p>
    <w:p w:rsidR="00741224" w:rsidRPr="005745A9" w:rsidRDefault="00741224" w:rsidP="00741224">
      <w:r>
        <w:t>(Lloyd, “</w:t>
      </w:r>
      <w:proofErr w:type="spellStart"/>
      <w:r w:rsidRPr="005745A9">
        <w:t>Duhaime's</w:t>
      </w:r>
      <w:proofErr w:type="spellEnd"/>
      <w:r w:rsidRPr="005745A9">
        <w:t xml:space="preserve"> Law Dictionary</w:t>
      </w:r>
      <w:r>
        <w:t xml:space="preserve">,” </w:t>
      </w:r>
      <w:r w:rsidRPr="005745A9">
        <w:t>http://www.duhaime.org/Le</w:t>
      </w:r>
      <w:r>
        <w:t>galDictionary/R/Regulation.aspx)</w:t>
      </w:r>
    </w:p>
    <w:p w:rsidR="00741224" w:rsidRPr="00AD20AE" w:rsidRDefault="00741224" w:rsidP="00741224">
      <w:r w:rsidRPr="00AD20AE">
        <w:rPr>
          <w:rStyle w:val="StyleUnderline"/>
        </w:rPr>
        <w:t xml:space="preserve">A regulation is essentially a law but </w:t>
      </w:r>
      <w:r w:rsidRPr="00AD20AE">
        <w:rPr>
          <w:rStyle w:val="Emphasis"/>
        </w:rPr>
        <w:t>which draws its life not from the decision of a legislative assembly</w:t>
      </w:r>
      <w:r w:rsidRPr="00AD20AE">
        <w:rPr>
          <w:rStyle w:val="StyleUnderline"/>
        </w:rPr>
        <w:t xml:space="preserve"> directly but indirectly</w:t>
      </w:r>
      <w:r w:rsidRPr="00AD20AE">
        <w:t xml:space="preserve">. </w:t>
      </w:r>
      <w:r w:rsidRPr="00AD20AE">
        <w:rPr>
          <w:rStyle w:val="StyleUnderline"/>
        </w:rPr>
        <w:t>A regulation is often passed by the executive branch of government</w:t>
      </w:r>
      <w:r w:rsidRPr="00AD20AE">
        <w:t xml:space="preserve">. For example, </w:t>
      </w:r>
      <w:r w:rsidRPr="00AD20AE">
        <w:rPr>
          <w:rStyle w:val="StyleUnderline"/>
        </w:rPr>
        <w:t>the federal cabinet meeting in session endorses a</w:t>
      </w:r>
      <w:r>
        <w:rPr>
          <w:rStyle w:val="StyleUnderline"/>
        </w:rPr>
        <w:t xml:space="preserve"> </w:t>
      </w:r>
      <w:r w:rsidRPr="00AD20AE">
        <w:rPr>
          <w:rStyle w:val="StyleUnderline"/>
        </w:rPr>
        <w:t xml:space="preserve">regulation. But a regulation has a unique feature: </w:t>
      </w:r>
      <w:r w:rsidRPr="00AD20AE">
        <w:rPr>
          <w:rStyle w:val="Emphasis"/>
        </w:rPr>
        <w:t>it must draw its authority from a statute</w:t>
      </w:r>
      <w:r w:rsidRPr="00AD20AE">
        <w:t>. Every regulation must</w:t>
      </w:r>
      <w:r>
        <w:t xml:space="preserve"> </w:t>
      </w:r>
      <w:r w:rsidRPr="00AD20AE">
        <w:t>have some statute which enables it.</w:t>
      </w:r>
      <w:r>
        <w:t xml:space="preserve"> </w:t>
      </w:r>
      <w:r w:rsidRPr="00AD20AE">
        <w:t>In</w:t>
      </w:r>
      <w:r>
        <w:t xml:space="preserve"> </w:t>
      </w:r>
      <w:r w:rsidRPr="00AD20AE">
        <w:t>California Advocates, Justice Kline of the California Court of Appeal, building off a statutory definition,</w:t>
      </w:r>
      <w:r>
        <w:t xml:space="preserve"> </w:t>
      </w:r>
      <w:r w:rsidRPr="00AD20AE">
        <w:t>used these words to define</w:t>
      </w:r>
      <w:r>
        <w:t xml:space="preserve"> </w:t>
      </w:r>
      <w:r w:rsidRPr="00AD20AE">
        <w:t>regulation:</w:t>
      </w:r>
      <w:r>
        <w:t xml:space="preserve"> </w:t>
      </w:r>
      <w:r w:rsidRPr="00AD20AE">
        <w:t>"... every rule, regulation, order, or standard of general application or the amendment, supplement, or revision of any rule, regulation, order, or standard adopted by any state agency to implement, interpret, or make specific the law enforced or administered by it, or to govern its procedure....</w:t>
      </w:r>
      <w:r>
        <w:t xml:space="preserve"> </w:t>
      </w:r>
      <w:r w:rsidRPr="00AD20AE">
        <w:t>"</w:t>
      </w:r>
      <w:r w:rsidRPr="00AD20AE">
        <w:rPr>
          <w:rStyle w:val="StyleUnderline"/>
        </w:rPr>
        <w:t xml:space="preserve">A regulation ... has two principal identifying characteristics. First, the agency </w:t>
      </w:r>
      <w:r w:rsidRPr="00AD20AE">
        <w:rPr>
          <w:rStyle w:val="Emphasis"/>
        </w:rPr>
        <w:t>must intend its rule to apply generally</w:t>
      </w:r>
      <w:r w:rsidRPr="00AD20AE">
        <w:rPr>
          <w:rStyle w:val="StyleUnderline"/>
        </w:rPr>
        <w:t>, rather than in a specific case</w:t>
      </w:r>
      <w:r w:rsidRPr="00AD20AE">
        <w:t xml:space="preserve">. The rule need not, however, apply universally; </w:t>
      </w:r>
      <w:r w:rsidRPr="00AD20AE">
        <w:rPr>
          <w:rStyle w:val="StyleUnderline"/>
        </w:rPr>
        <w:t xml:space="preserve">a rule applies generally so long as it declares how a certain class of cases will be decided. Second, the rule </w:t>
      </w:r>
      <w:r w:rsidRPr="00AD20AE">
        <w:rPr>
          <w:rStyle w:val="Emphasis"/>
        </w:rPr>
        <w:t>must implement, interpret, or make specific the law enforced</w:t>
      </w:r>
      <w:r w:rsidRPr="00AD20AE">
        <w:rPr>
          <w:rStyle w:val="StyleUnderline"/>
        </w:rPr>
        <w:t xml:space="preserve"> or administered by the agency, or govern the agency's procedure</w:t>
      </w:r>
      <w:r w:rsidRPr="00AD20AE">
        <w:t>."</w:t>
      </w:r>
      <w:r>
        <w:t xml:space="preserve"> </w:t>
      </w:r>
      <w:r w:rsidRPr="00AD20AE">
        <w:t>As Justices Anglin and Fitzpatrick wrote in</w:t>
      </w:r>
      <w:r>
        <w:t xml:space="preserve"> </w:t>
      </w:r>
      <w:r w:rsidRPr="00AD20AE">
        <w:t>Re Gray:</w:t>
      </w:r>
      <w:r>
        <w:t xml:space="preserve"> </w:t>
      </w:r>
      <w:r w:rsidRPr="00AD20AE">
        <w:t>"[R]</w:t>
      </w:r>
      <w:proofErr w:type="spellStart"/>
      <w:r w:rsidRPr="00AD20AE">
        <w:t>egulations</w:t>
      </w:r>
      <w:proofErr w:type="spellEnd"/>
      <w:r w:rsidRPr="00AD20AE">
        <w:t xml:space="preserve"> is a term usually employed to describe provisions of an ancillary or subordinate nature which the executive, or a Minister, or some subordinate body is empowered to make to facilitate the carrying out of a statute....</w:t>
      </w:r>
      <w:r>
        <w:t xml:space="preserve"> </w:t>
      </w:r>
      <w:r w:rsidRPr="00AD20AE">
        <w:t>"The practice of authorizing administrative bodies to make regulations to carry out the object of an act, instead of setting out all the details in the Act itself, is well known and its legality is unquestioned. But it is said that the power to make such regulations could not constitutionally be granted to such an extent as to enable the express provisions of a statute to be amended or repealed; that under the constitution Parliament alone is to make laws, the Governor-in-Council to execute them, and the courts to interpret them; that it follows that no one of these fundamental branches of government can constitutionally either delegate or accept the functions of any other branch."</w:t>
      </w:r>
      <w:r>
        <w:t xml:space="preserve"> </w:t>
      </w:r>
      <w:r w:rsidRPr="00AD20AE">
        <w:t>The usual course is for a government to issue broad or essential points of law in the enabling statute but delegate</w:t>
      </w:r>
      <w:r>
        <w:t xml:space="preserve"> </w:t>
      </w:r>
      <w:r w:rsidRPr="00AD20AE">
        <w:t>the elaboration of points of details to regulation.</w:t>
      </w:r>
      <w:r>
        <w:t xml:space="preserve"> </w:t>
      </w:r>
      <w:r w:rsidRPr="00AD20AE">
        <w:t>Often, such a statute will use words such as, to use the example of Canada:</w:t>
      </w:r>
      <w:r>
        <w:t xml:space="preserve"> </w:t>
      </w:r>
      <w:r w:rsidRPr="00AD20AE">
        <w:t>"The lieutenant governor in council may make regulations pursuant to this act in the following areas...."</w:t>
      </w:r>
      <w:r>
        <w:t xml:space="preserve"> </w:t>
      </w:r>
      <w:r w:rsidRPr="00AD20AE">
        <w:t>In</w:t>
      </w:r>
      <w:r>
        <w:t xml:space="preserve"> </w:t>
      </w:r>
      <w:hyperlink r:id="rId29" w:history="1">
        <w:r w:rsidRPr="00AD20AE">
          <w:rPr>
            <w:rStyle w:val="Hyperlink"/>
          </w:rPr>
          <w:t>Drew v BC</w:t>
        </w:r>
      </w:hyperlink>
      <w:r w:rsidRPr="00AD20AE">
        <w:t>, Justice Hunter adopts these words:</w:t>
      </w:r>
      <w:r>
        <w:t xml:space="preserve"> </w:t>
      </w:r>
      <w:r w:rsidRPr="00AD20AE">
        <w:rPr>
          <w:rStyle w:val="StyleUnderline"/>
        </w:rPr>
        <w:t xml:space="preserve">"A regulation </w:t>
      </w:r>
      <w:r w:rsidRPr="00AD20AE">
        <w:rPr>
          <w:rStyle w:val="Emphasis"/>
        </w:rPr>
        <w:t>is in fact an enactment</w:t>
      </w:r>
      <w:r w:rsidRPr="00AD20AE">
        <w:rPr>
          <w:rStyle w:val="StyleUnderline"/>
        </w:rPr>
        <w:t xml:space="preserve"> controlled by another enactment of a different and higher order, a statute</w:t>
      </w:r>
      <w:r w:rsidRPr="00AD20AE">
        <w:t>.</w:t>
      </w:r>
      <w:r>
        <w:t xml:space="preserve"> </w:t>
      </w:r>
      <w:r w:rsidRPr="00AD20AE">
        <w:rPr>
          <w:rStyle w:val="StyleUnderline"/>
        </w:rPr>
        <w:t>Whereas a statute is passed by the sovereign legislative body, a regulation, made by an administrative agency, is always subordinate to Parliament and to the statute</w:t>
      </w:r>
      <w:r w:rsidRPr="00AD20AE">
        <w:t>. It is specifically this subordinate nature which justifies the imposition of specific limits or conditions upon the exercise of regulation-making power."</w:t>
      </w:r>
      <w:r>
        <w:t xml:space="preserve"> </w:t>
      </w:r>
      <w:r w:rsidRPr="00AD20AE">
        <w:t>In</w:t>
      </w:r>
      <w:r>
        <w:t xml:space="preserve"> </w:t>
      </w:r>
      <w:hyperlink r:id="rId30" w:history="1">
        <w:r w:rsidRPr="00AD20AE">
          <w:rPr>
            <w:rStyle w:val="Hyperlink"/>
          </w:rPr>
          <w:t>Manitoba Language Rights</w:t>
        </w:r>
      </w:hyperlink>
      <w:r w:rsidRPr="00AD20AE">
        <w:t>, Canada's Supreme Court quoted these words:</w:t>
      </w:r>
      <w:r>
        <w:t xml:space="preserve"> </w:t>
      </w:r>
      <w:r w:rsidRPr="00AD20AE">
        <w:rPr>
          <w:rStyle w:val="StyleUnderline"/>
        </w:rPr>
        <w:t xml:space="preserve">"A regulation </w:t>
      </w:r>
      <w:r w:rsidRPr="00AD20AE">
        <w:rPr>
          <w:rStyle w:val="Emphasis"/>
        </w:rPr>
        <w:t>is a rule of conduct</w:t>
      </w:r>
      <w:r w:rsidRPr="00AD20AE">
        <w:rPr>
          <w:rStyle w:val="StyleUnderline"/>
        </w:rPr>
        <w:t>, enacted by a regulation-making authority pursuant to an Act of Parliament, which has the force of law for an undetermined number of persons."</w:t>
      </w:r>
      <w:r>
        <w:rPr>
          <w:rStyle w:val="StyleUnderline"/>
        </w:rPr>
        <w:t xml:space="preserve"> </w:t>
      </w:r>
      <w:r w:rsidRPr="00AD20AE">
        <w:t>These distinctions sometimes appear trivial and even in practice, are not rigorously followed. To the average citizen, the body of law contained in regulation outweighs, by far, the impact of the body of law contained in statutes. There can be no question that the executive branch, contrary to the wishful opinion of Justice Fitzpatrick in</w:t>
      </w:r>
      <w:r>
        <w:t xml:space="preserve"> </w:t>
      </w:r>
      <w:r w:rsidRPr="00AD20AE">
        <w:t>Re Grey, makes law.</w:t>
      </w:r>
    </w:p>
    <w:p w:rsidR="00741224" w:rsidRPr="00AD20AE" w:rsidRDefault="00741224" w:rsidP="00741224"/>
    <w:p w:rsidR="002A52B5" w:rsidRDefault="002A52B5" w:rsidP="003775C0">
      <w:pPr>
        <w:pStyle w:val="Heading3"/>
      </w:pPr>
      <w:r>
        <w:lastRenderedPageBreak/>
        <w:t>Regulation – Not Ban</w:t>
      </w:r>
    </w:p>
    <w:p w:rsidR="002A52B5" w:rsidRDefault="002A52B5" w:rsidP="002A52B5">
      <w:pPr>
        <w:pStyle w:val="Heading4"/>
      </w:pPr>
      <w:r>
        <w:t xml:space="preserve">Regulations can </w:t>
      </w:r>
      <w:r w:rsidRPr="002A52B5">
        <w:rPr>
          <w:u w:val="single"/>
        </w:rPr>
        <w:t>only</w:t>
      </w:r>
      <w:r>
        <w:t xml:space="preserve"> modify behavior but they </w:t>
      </w:r>
      <w:proofErr w:type="spellStart"/>
      <w:r>
        <w:t>cant</w:t>
      </w:r>
      <w:proofErr w:type="spellEnd"/>
      <w:r>
        <w:t xml:space="preserve"> ban or replace – prefer it it’s the </w:t>
      </w:r>
      <w:r w:rsidRPr="002A52B5">
        <w:rPr>
          <w:u w:val="single"/>
        </w:rPr>
        <w:t>most</w:t>
      </w:r>
      <w:r>
        <w:t xml:space="preserve"> limiting interpretation of the topic</w:t>
      </w:r>
    </w:p>
    <w:p w:rsidR="00101F7D" w:rsidRDefault="00101F7D" w:rsidP="00101F7D">
      <w:r w:rsidRPr="00313265">
        <w:rPr>
          <w:rStyle w:val="Style13ptBold"/>
        </w:rPr>
        <w:t xml:space="preserve">Lodge and Koop </w:t>
      </w:r>
      <w:r>
        <w:rPr>
          <w:rStyle w:val="Style13ptBold"/>
        </w:rPr>
        <w:t>17</w:t>
      </w:r>
      <w:r>
        <w:t xml:space="preserve"> – Department of Political Economy @ King’s College London</w:t>
      </w:r>
    </w:p>
    <w:p w:rsidR="00101F7D" w:rsidRPr="00BD7347" w:rsidRDefault="00101F7D" w:rsidP="00101F7D">
      <w:r>
        <w:t>(Martin and Christel, “</w:t>
      </w:r>
      <w:r w:rsidRPr="00313265">
        <w:t>What is regulation? An interdisciplinary concept analysis</w:t>
      </w:r>
      <w:r>
        <w:t>,” March 1</w:t>
      </w:r>
      <w:r w:rsidRPr="00101F7D">
        <w:rPr>
          <w:vertAlign w:val="superscript"/>
        </w:rPr>
        <w:t>st</w:t>
      </w:r>
      <w:r>
        <w:t xml:space="preserve"> 2017, </w:t>
      </w:r>
      <w:r w:rsidRPr="00313265">
        <w:t>http://onlinelibrary.wiley.com/doi/10.1111/rego.12094/full</w:t>
      </w:r>
      <w:r>
        <w:t>)</w:t>
      </w:r>
    </w:p>
    <w:p w:rsidR="002A52B5" w:rsidRPr="002A52B5" w:rsidRDefault="002A52B5" w:rsidP="002A52B5">
      <w:r w:rsidRPr="002A52B5">
        <w:rPr>
          <w:rStyle w:val="StyleUnderline"/>
        </w:rPr>
        <w:t xml:space="preserve">Nonetheless, two main observations can be made. First, at an abstract level, authors agree that regulation </w:t>
      </w:r>
      <w:r w:rsidRPr="002A52B5">
        <w:rPr>
          <w:rStyle w:val="Emphasis"/>
        </w:rPr>
        <w:t>is about intervention in the behavior</w:t>
      </w:r>
      <w:r w:rsidRPr="002A52B5">
        <w:rPr>
          <w:rStyle w:val="StyleUnderline"/>
        </w:rPr>
        <w:t xml:space="preserve"> or activities of individual and/or corporate actors</w:t>
      </w:r>
      <w:r w:rsidRPr="002A52B5">
        <w:t>. As </w:t>
      </w:r>
      <w:proofErr w:type="spellStart"/>
      <w:r w:rsidR="00B77A97">
        <w:fldChar w:fldCharType="begin"/>
      </w:r>
      <w:r w:rsidR="00B77A97">
        <w:instrText xml:space="preserve"> HYPERLINK "http://onlinelibrary.wiley.com/doi/10.1111/rego.12094/full" \l "rego12094-bib-0039" \o "Link to bibliographic citation" </w:instrText>
      </w:r>
      <w:r w:rsidR="00B77A97">
        <w:fldChar w:fldCharType="separate"/>
      </w:r>
      <w:r w:rsidRPr="002A52B5">
        <w:rPr>
          <w:rStyle w:val="Hyperlink"/>
        </w:rPr>
        <w:t>Mitnick</w:t>
      </w:r>
      <w:proofErr w:type="spellEnd"/>
      <w:r w:rsidR="00B77A97">
        <w:rPr>
          <w:rStyle w:val="Hyperlink"/>
        </w:rPr>
        <w:fldChar w:fldCharType="end"/>
      </w:r>
      <w:r w:rsidRPr="002A52B5">
        <w:t> puts it, “</w:t>
      </w:r>
      <w:r w:rsidRPr="002A52B5">
        <w:rPr>
          <w:rStyle w:val="StyleUnderline"/>
        </w:rPr>
        <w:t xml:space="preserve">the central element of the class of behaviors that might be termed ‘regulation’ is an interference of some sort in the activity subject to regulation </w:t>
      </w:r>
      <w:r w:rsidRPr="002A52B5">
        <w:t xml:space="preserve">– </w:t>
      </w:r>
      <w:r w:rsidRPr="002A52B5">
        <w:rPr>
          <w:rStyle w:val="Emphasis"/>
        </w:rPr>
        <w:t>it is to be governed, altered, controlled, guided, regulated</w:t>
      </w:r>
      <w:r w:rsidRPr="002A52B5">
        <w:rPr>
          <w:rStyle w:val="StyleUnderline"/>
        </w:rPr>
        <w:t> in some way</w:t>
      </w:r>
      <w:r w:rsidRPr="002A52B5">
        <w:t>” (1980, p. 2; emphasis in original). Similarly, Moran indicates, “</w:t>
      </w:r>
      <w:r w:rsidRPr="002A52B5">
        <w:rPr>
          <w:rStyle w:val="StyleUnderline"/>
        </w:rPr>
        <w:t>its core meaning is mechanical and immediately invokes the act of steering</w:t>
      </w:r>
      <w:r w:rsidRPr="002A52B5">
        <w:t>” (Moran </w:t>
      </w:r>
      <w:hyperlink r:id="rId31" w:anchor="rego12094-bib-0040" w:tooltip="Link to bibliographic citation" w:history="1">
        <w:r w:rsidRPr="002A52B5">
          <w:rPr>
            <w:rStyle w:val="Hyperlink"/>
          </w:rPr>
          <w:t>2003</w:t>
        </w:r>
      </w:hyperlink>
      <w:r w:rsidRPr="002A52B5">
        <w:t xml:space="preserve">, p. 13). </w:t>
      </w:r>
      <w:proofErr w:type="spellStart"/>
      <w:r w:rsidRPr="002A52B5">
        <w:t>Mitnick</w:t>
      </w:r>
      <w:proofErr w:type="spellEnd"/>
      <w:r w:rsidRPr="002A52B5">
        <w:t xml:space="preserve"> adds that </w:t>
      </w:r>
      <w:r w:rsidRPr="002A52B5">
        <w:rPr>
          <w:rStyle w:val="StyleUnderline"/>
        </w:rPr>
        <w:t xml:space="preserve">this implies that regulated activities </w:t>
      </w:r>
      <w:r w:rsidRPr="002A52B5">
        <w:rPr>
          <w:rStyle w:val="Emphasis"/>
        </w:rPr>
        <w:t>are not to be replaced or banned</w:t>
      </w:r>
      <w:r w:rsidRPr="002A52B5">
        <w:rPr>
          <w:rStyle w:val="StyleUnderline"/>
        </w:rPr>
        <w:t>; they are only to be regulated</w:t>
      </w:r>
      <w:r w:rsidRPr="002A52B5">
        <w:t xml:space="preserve">. This is reflected in Selznick's definition, </w:t>
      </w:r>
      <w:r w:rsidRPr="002A52B5">
        <w:rPr>
          <w:rStyle w:val="StyleUnderline"/>
        </w:rPr>
        <w:t xml:space="preserve">which refers to “activities that are valued by a community” and, thus, </w:t>
      </w:r>
      <w:r w:rsidRPr="002A52B5">
        <w:rPr>
          <w:rStyle w:val="Emphasis"/>
        </w:rPr>
        <w:t>excludes most areas of criminal law enforcement</w:t>
      </w:r>
      <w:r w:rsidRPr="002A52B5">
        <w:rPr>
          <w:rStyle w:val="StyleUnderline"/>
        </w:rPr>
        <w:t xml:space="preserve"> </w:t>
      </w:r>
      <w:r w:rsidRPr="002A52B5">
        <w:t>(Selznick </w:t>
      </w:r>
      <w:hyperlink r:id="rId32" w:anchor="rego12094-bib-0049" w:tooltip="Link to bibliographic citation" w:history="1">
        <w:r w:rsidRPr="002A52B5">
          <w:rPr>
            <w:rStyle w:val="Hyperlink"/>
          </w:rPr>
          <w:t>1985</w:t>
        </w:r>
      </w:hyperlink>
      <w:r w:rsidRPr="002A52B5">
        <w:t xml:space="preserve">, p. 363; cf. </w:t>
      </w:r>
      <w:proofErr w:type="spellStart"/>
      <w:r w:rsidRPr="002A52B5">
        <w:t>Ogus</w:t>
      </w:r>
      <w:proofErr w:type="spellEnd"/>
      <w:r w:rsidRPr="002A52B5">
        <w:t> </w:t>
      </w:r>
      <w:hyperlink r:id="rId33" w:anchor="rego12094-bib-0044" w:tooltip="Link to bibliographic citation" w:history="1">
        <w:r w:rsidRPr="002A52B5">
          <w:rPr>
            <w:rStyle w:val="Hyperlink"/>
          </w:rPr>
          <w:t>1994</w:t>
        </w:r>
      </w:hyperlink>
      <w:r w:rsidRPr="002A52B5">
        <w:t>, p. 1; Baldwin et al. </w:t>
      </w:r>
      <w:hyperlink r:id="rId34" w:anchor="rego12094-bib-0001" w:tooltip="Link to bibliographic citation" w:history="1">
        <w:r w:rsidRPr="002A52B5">
          <w:rPr>
            <w:rStyle w:val="Hyperlink"/>
          </w:rPr>
          <w:t>1998</w:t>
        </w:r>
      </w:hyperlink>
      <w:r w:rsidRPr="002A52B5">
        <w:t xml:space="preserve">, p. 3). In </w:t>
      </w:r>
      <w:proofErr w:type="spellStart"/>
      <w:r w:rsidRPr="002A52B5">
        <w:t>Mitnick's</w:t>
      </w:r>
      <w:proofErr w:type="spellEnd"/>
      <w:r w:rsidRPr="002A52B5">
        <w:t xml:space="preserve"> view, “[t]here should be public recognition that the regulated activity is worthwhile in itself and therefore needs protection as well as control” (1985, p. 363). Hence, </w:t>
      </w:r>
      <w:r w:rsidRPr="002A52B5">
        <w:rPr>
          <w:rStyle w:val="StyleUnderline"/>
        </w:rPr>
        <w:t>we find some agreement on regulation being about intervention in activities, and there are various attempts to establish boundaries around the realm of regulation</w:t>
      </w:r>
      <w:r w:rsidRPr="002A52B5">
        <w:t xml:space="preserve">. For </w:t>
      </w:r>
      <w:proofErr w:type="spellStart"/>
      <w:r w:rsidRPr="002A52B5">
        <w:t>Mitnick</w:t>
      </w:r>
      <w:proofErr w:type="spellEnd"/>
      <w:r w:rsidRPr="002A52B5">
        <w:t xml:space="preserve"> (</w:t>
      </w:r>
      <w:hyperlink r:id="rId35" w:anchor="rego12094-bib-0039" w:tooltip="Link to bibliographic citation" w:history="1">
        <w:r w:rsidRPr="002A52B5">
          <w:rPr>
            <w:rStyle w:val="Hyperlink"/>
          </w:rPr>
          <w:t>1980</w:t>
        </w:r>
      </w:hyperlink>
      <w:r w:rsidRPr="002A52B5">
        <w:t>) and Selznick (</w:t>
      </w:r>
      <w:hyperlink r:id="rId36" w:anchor="rego12094-bib-0049" w:tooltip="Link to bibliographic citation" w:history="1">
        <w:r w:rsidRPr="002A52B5">
          <w:rPr>
            <w:rStyle w:val="Hyperlink"/>
          </w:rPr>
          <w:t>1985</w:t>
        </w:r>
      </w:hyperlink>
      <w:r w:rsidRPr="002A52B5">
        <w:t xml:space="preserve">), </w:t>
      </w:r>
      <w:r w:rsidRPr="002A52B5">
        <w:rPr>
          <w:rStyle w:val="StyleUnderline"/>
        </w:rPr>
        <w:t xml:space="preserve">this is largely about separating regulatory intervention </w:t>
      </w:r>
      <w:r w:rsidRPr="002A52B5">
        <w:rPr>
          <w:rStyle w:val="Emphasis"/>
        </w:rPr>
        <w:t>from the realm of forbiddance</w:t>
      </w:r>
      <w:r w:rsidRPr="002A52B5">
        <w:t>.</w:t>
      </w:r>
    </w:p>
    <w:p w:rsidR="002A52B5" w:rsidRPr="002A52B5" w:rsidRDefault="002A52B5" w:rsidP="002A52B5"/>
    <w:p w:rsidR="00AB0387" w:rsidRDefault="00090DF8" w:rsidP="003775C0">
      <w:pPr>
        <w:pStyle w:val="Heading3"/>
      </w:pPr>
      <w:r>
        <w:lastRenderedPageBreak/>
        <w:t>Regulation – Direct Intervention</w:t>
      </w:r>
    </w:p>
    <w:p w:rsidR="00313265" w:rsidRPr="00313265" w:rsidRDefault="00313265" w:rsidP="00313265">
      <w:pPr>
        <w:pStyle w:val="Heading4"/>
      </w:pPr>
      <w:r>
        <w:t xml:space="preserve">Regulations have to be a direct intervention anything else </w:t>
      </w:r>
      <w:r w:rsidRPr="00313265">
        <w:rPr>
          <w:u w:val="single"/>
        </w:rPr>
        <w:t>blows open</w:t>
      </w:r>
      <w:r>
        <w:t xml:space="preserve"> limits and makes the topic </w:t>
      </w:r>
      <w:r w:rsidRPr="00313265">
        <w:rPr>
          <w:u w:val="single"/>
        </w:rPr>
        <w:t>meaningless</w:t>
      </w:r>
      <w:r>
        <w:t xml:space="preserve"> </w:t>
      </w:r>
    </w:p>
    <w:p w:rsidR="00101F7D" w:rsidRDefault="00101F7D" w:rsidP="00101F7D">
      <w:r w:rsidRPr="00313265">
        <w:rPr>
          <w:rStyle w:val="Style13ptBold"/>
        </w:rPr>
        <w:t xml:space="preserve">Lodge and Koop </w:t>
      </w:r>
      <w:r>
        <w:rPr>
          <w:rStyle w:val="Style13ptBold"/>
        </w:rPr>
        <w:t>17</w:t>
      </w:r>
      <w:r>
        <w:t xml:space="preserve"> – Department of Political Economy @ King’s College London</w:t>
      </w:r>
    </w:p>
    <w:p w:rsidR="00101F7D" w:rsidRPr="00BD7347" w:rsidRDefault="00101F7D" w:rsidP="00101F7D">
      <w:r>
        <w:t>(Martin and Christel, “</w:t>
      </w:r>
      <w:r w:rsidRPr="00313265">
        <w:t>What is regulation? An interdisciplinary concept analysis</w:t>
      </w:r>
      <w:r>
        <w:t>,” March 1</w:t>
      </w:r>
      <w:r w:rsidRPr="00101F7D">
        <w:rPr>
          <w:vertAlign w:val="superscript"/>
        </w:rPr>
        <w:t>st</w:t>
      </w:r>
      <w:r>
        <w:t xml:space="preserve"> 2017, </w:t>
      </w:r>
      <w:r w:rsidRPr="00313265">
        <w:t>http://onlinelibrary.wiley.com/doi/10.1111/rego.12094/full</w:t>
      </w:r>
      <w:r>
        <w:t>)</w:t>
      </w:r>
    </w:p>
    <w:p w:rsidR="00AB0387" w:rsidRPr="00AB0387" w:rsidRDefault="00AB0387" w:rsidP="00AB0387">
      <w:r w:rsidRPr="00AB0387">
        <w:rPr>
          <w:rStyle w:val="StyleUnderline"/>
        </w:rPr>
        <w:t xml:space="preserve">While regulation is viewed as a type of intervention, there is disagreement over what the scope of regulation is, </w:t>
      </w:r>
      <w:r w:rsidRPr="00AB0387">
        <w:rPr>
          <w:rStyle w:val="Emphasis"/>
        </w:rPr>
        <w:t>with a particular focus</w:t>
      </w:r>
      <w:r w:rsidRPr="00AB0387">
        <w:rPr>
          <w:rStyle w:val="StyleUnderline"/>
        </w:rPr>
        <w:t xml:space="preserve"> on direct and indirect intervention</w:t>
      </w:r>
      <w:r w:rsidRPr="00AB0387">
        <w:t xml:space="preserve">. </w:t>
      </w:r>
      <w:r w:rsidRPr="00AB0387">
        <w:rPr>
          <w:rStyle w:val="StyleUnderline"/>
        </w:rPr>
        <w:t xml:space="preserve">Authors often agree that regulation </w:t>
      </w:r>
      <w:r w:rsidRPr="00AB0387">
        <w:rPr>
          <w:rStyle w:val="Emphasis"/>
        </w:rPr>
        <w:t>is about direct intervention</w:t>
      </w:r>
      <w:r w:rsidRPr="00AB0387">
        <w:rPr>
          <w:rStyle w:val="StyleUnderline"/>
        </w:rPr>
        <w:t>, which can be defined as the introduction and/or implementation of standards that directly apply to the target behavior or characteristics of a specified population</w:t>
      </w:r>
      <w:r w:rsidRPr="00AB0387">
        <w:t xml:space="preserve">. </w:t>
      </w:r>
      <w:r w:rsidRPr="00AB0387">
        <w:rPr>
          <w:rStyle w:val="StyleUnderline"/>
        </w:rPr>
        <w:t xml:space="preserve">There is </w:t>
      </w:r>
      <w:r w:rsidRPr="00AB0387">
        <w:rPr>
          <w:rStyle w:val="Emphasis"/>
        </w:rPr>
        <w:t>less agreement</w:t>
      </w:r>
      <w:r w:rsidRPr="00AB0387">
        <w:rPr>
          <w:rStyle w:val="StyleUnderline"/>
        </w:rPr>
        <w:t xml:space="preserve"> on whether regulation also includes indirect intervention</w:t>
      </w:r>
      <w:r w:rsidRPr="00AB0387">
        <w:t xml:space="preserve"> – that is, the introduction and/or implementation of standards that apply to the context in which the target behavior or characteristics of a specified population are generated. </w:t>
      </w:r>
      <w:r w:rsidRPr="00AB0387">
        <w:rPr>
          <w:rStyle w:val="StyleUnderline"/>
        </w:rPr>
        <w:t xml:space="preserve">This may include incentive-based tools, </w:t>
      </w:r>
      <w:r w:rsidRPr="00AB0387">
        <w:rPr>
          <w:rStyle w:val="Emphasis"/>
        </w:rPr>
        <w:t>such as taxation, subsidization, and the imposition of disclosure requirements</w:t>
      </w:r>
      <w:r w:rsidRPr="00AB0387">
        <w:rPr>
          <w:rStyle w:val="StyleUnderline"/>
        </w:rPr>
        <w:t>.</w:t>
      </w:r>
      <w:r w:rsidRPr="00AB0387">
        <w:t xml:space="preserve"> It may also include the whole range of measures that are aimed at stabilizing capitalism – the focus of the French </w:t>
      </w:r>
      <w:proofErr w:type="spellStart"/>
      <w:r w:rsidRPr="00AB0387">
        <w:t>régulation</w:t>
      </w:r>
      <w:proofErr w:type="spellEnd"/>
      <w:r w:rsidRPr="00AB0387">
        <w:t> literature (Boyer </w:t>
      </w:r>
      <w:hyperlink r:id="rId37" w:anchor="rego12094-bib-0008" w:tooltip="Link to bibliographic citation" w:history="1">
        <w:r w:rsidRPr="00AB0387">
          <w:rPr>
            <w:rStyle w:val="Hyperlink"/>
          </w:rPr>
          <w:t>2002</w:t>
        </w:r>
      </w:hyperlink>
      <w:r w:rsidRPr="00AB0387">
        <w:t>).</w:t>
      </w:r>
      <w:hyperlink r:id="rId38" w:anchor="rego12094-note-0009" w:tooltip="Link to note" w:history="1">
        <w:r w:rsidRPr="00AB0387">
          <w:rPr>
            <w:rStyle w:val="Hyperlink"/>
          </w:rPr>
          <w:t>8</w:t>
        </w:r>
      </w:hyperlink>
    </w:p>
    <w:p w:rsidR="00AB0387" w:rsidRPr="00AB0387" w:rsidRDefault="00AB0387" w:rsidP="00AB0387">
      <w:r w:rsidRPr="00AB0387">
        <w:rPr>
          <w:rStyle w:val="StyleUnderline"/>
        </w:rPr>
        <w:t>These narrow and broad conceptions are reflected in the distinction between regulation as “the promulgation of an authoritative set of rules” and as “all the efforts of state agencies to steer the economy</w:t>
      </w:r>
      <w:r w:rsidRPr="00AB0387">
        <w:t>” (Baldwin et al. </w:t>
      </w:r>
      <w:hyperlink r:id="rId39" w:anchor="rego12094-bib-0001" w:tooltip="Link to bibliographic citation" w:history="1">
        <w:r w:rsidRPr="00AB0387">
          <w:rPr>
            <w:rStyle w:val="Hyperlink"/>
          </w:rPr>
          <w:t>1998</w:t>
        </w:r>
      </w:hyperlink>
      <w:r w:rsidRPr="00AB0387">
        <w:t xml:space="preserve">, p. 3). Whereas the former only includes direct intervention, the latter incorporates both direct and indirect forms of intervention. </w:t>
      </w:r>
      <w:r w:rsidRPr="00AB0387">
        <w:rPr>
          <w:rStyle w:val="StyleUnderline"/>
        </w:rPr>
        <w:t xml:space="preserve">The authors indicate that if we use a broad conception, we can no longer view regulation </w:t>
      </w:r>
      <w:r w:rsidRPr="00AB0387">
        <w:rPr>
          <w:rStyle w:val="Emphasis"/>
        </w:rPr>
        <w:t>as a distinctive form of governance</w:t>
      </w:r>
      <w:r w:rsidRPr="00AB0387">
        <w:t xml:space="preserve"> (Baldwin et al. </w:t>
      </w:r>
      <w:hyperlink r:id="rId40" w:anchor="rego12094-bib-0001" w:tooltip="Link to bibliographic citation" w:history="1">
        <w:r w:rsidRPr="00AB0387">
          <w:rPr>
            <w:rStyle w:val="Hyperlink"/>
          </w:rPr>
          <w:t>1998</w:t>
        </w:r>
      </w:hyperlink>
      <w:r w:rsidRPr="00AB0387">
        <w:t>, p. 4). The advantage is that “a variety of tools are considered as possible alternatives to traditional ‘command and control’ type regulation […] so that where rulemaking seems to be inappropriate as a means for achieving policy objectives, other tools may be used” (Baldwin et al. </w:t>
      </w:r>
      <w:hyperlink r:id="rId41" w:anchor="rego12094-bib-0001" w:tooltip="Link to bibliographic citation" w:history="1">
        <w:r w:rsidRPr="00AB0387">
          <w:rPr>
            <w:rStyle w:val="Hyperlink"/>
          </w:rPr>
          <w:t>1998</w:t>
        </w:r>
      </w:hyperlink>
      <w:r w:rsidRPr="00AB0387">
        <w:t xml:space="preserve">, p. 3). </w:t>
      </w:r>
      <w:r w:rsidRPr="00AB0387">
        <w:rPr>
          <w:rStyle w:val="StyleUnderline"/>
        </w:rPr>
        <w:t xml:space="preserve">A broad conception can, for instance, be found in the work of Breyer, who distinguishes between “classical regulation” – which is of a command-and-control nature – </w:t>
      </w:r>
      <w:r w:rsidRPr="00AB0387">
        <w:rPr>
          <w:rStyle w:val="Emphasis"/>
        </w:rPr>
        <w:t>and “alternatives to classical regulation</w:t>
      </w:r>
      <w:r w:rsidRPr="00AB0387">
        <w:rPr>
          <w:rStyle w:val="StyleUnderline"/>
        </w:rPr>
        <w:t>,” which include less restrictive interventions, such as taxation and the use of disclosure requirements</w:t>
      </w:r>
      <w:r w:rsidRPr="00AB0387">
        <w:t xml:space="preserve"> (Breyer </w:t>
      </w:r>
      <w:hyperlink r:id="rId42" w:anchor="rego12094-bib-0009" w:tooltip="Link to bibliographic citation" w:history="1">
        <w:r w:rsidRPr="00AB0387">
          <w:rPr>
            <w:rStyle w:val="Hyperlink"/>
          </w:rPr>
          <w:t>1982</w:t>
        </w:r>
      </w:hyperlink>
      <w:r w:rsidRPr="00AB0387">
        <w:t>, Ch. 8). For </w:t>
      </w:r>
      <w:hyperlink r:id="rId43" w:anchor="rego12094-bib-0009" w:tooltip="Link to bibliographic citation" w:history="1">
        <w:r w:rsidRPr="00AB0387">
          <w:rPr>
            <w:rStyle w:val="Hyperlink"/>
          </w:rPr>
          <w:t>Breyer</w:t>
        </w:r>
      </w:hyperlink>
      <w:r w:rsidRPr="00AB0387">
        <w:t>, distinguishing between “ ‘regulatory’ action” and “the entire realm of governmental activity” is both difficult and subject to controversy (1982, p. 7).</w:t>
      </w:r>
    </w:p>
    <w:p w:rsidR="00AB0387" w:rsidRPr="00313265" w:rsidRDefault="00AB0387" w:rsidP="00313265">
      <w:r w:rsidRPr="00313265">
        <w:t>Stigler (</w:t>
      </w:r>
      <w:hyperlink r:id="rId44" w:anchor="rego12094-bib-0051" w:tooltip="Link to bibliographic citation" w:history="1">
        <w:r w:rsidRPr="00313265">
          <w:rPr>
            <w:rStyle w:val="Hyperlink"/>
          </w:rPr>
          <w:t>1971</w:t>
        </w:r>
      </w:hyperlink>
      <w:r w:rsidRPr="00313265">
        <w:t xml:space="preserve">) and </w:t>
      </w:r>
      <w:proofErr w:type="spellStart"/>
      <w:r w:rsidRPr="00313265">
        <w:t>Mitnick</w:t>
      </w:r>
      <w:proofErr w:type="spellEnd"/>
      <w:r w:rsidRPr="00313265">
        <w:t xml:space="preserve"> (</w:t>
      </w:r>
      <w:hyperlink r:id="rId45" w:anchor="rego12094-bib-0039" w:tooltip="Link to bibliographic citation" w:history="1">
        <w:r w:rsidRPr="00313265">
          <w:rPr>
            <w:rStyle w:val="Hyperlink"/>
          </w:rPr>
          <w:t>1980</w:t>
        </w:r>
      </w:hyperlink>
      <w:r w:rsidRPr="00313265">
        <w:t>) also advance broad conceptions. </w:t>
      </w:r>
      <w:hyperlink r:id="rId46" w:anchor="rego12094-bib-0051" w:tooltip="Link to bibliographic citation" w:history="1">
        <w:r w:rsidRPr="00313265">
          <w:rPr>
            <w:rStyle w:val="Hyperlink"/>
          </w:rPr>
          <w:t>Stigler</w:t>
        </w:r>
      </w:hyperlink>
      <w:r w:rsidRPr="00313265">
        <w:t> uses the term regulation to refer to a range of policy instruments that can be used to affect business behavior, including market entry control, price setting, taxes, and tariffs (1971, pp. 3–6). </w:t>
      </w:r>
      <w:proofErr w:type="spellStart"/>
      <w:r w:rsidRPr="00313265">
        <w:fldChar w:fldCharType="begin"/>
      </w:r>
      <w:r w:rsidRPr="00313265">
        <w:instrText xml:space="preserve"> HYPERLINK "http://onlinelibrary.wiley.com/doi/10.1111/rego.12094/full" \l "rego12094-bib-0039" \o "Link to bibliographic citation" </w:instrText>
      </w:r>
      <w:r w:rsidRPr="00313265">
        <w:fldChar w:fldCharType="separate"/>
      </w:r>
      <w:r w:rsidRPr="00313265">
        <w:rPr>
          <w:rStyle w:val="Hyperlink"/>
        </w:rPr>
        <w:t>Mitnick</w:t>
      </w:r>
      <w:proofErr w:type="spellEnd"/>
      <w:r w:rsidRPr="00313265">
        <w:fldChar w:fldCharType="end"/>
      </w:r>
      <w:r w:rsidRPr="00313265">
        <w:t> is primarily concerned with regulation as “the public administrative policing of a private activity with respect to a rule prescribed in the public interest” (1980, p. 7), but emphasizes that “it is possible to distinguish both directive and incentive means, e.g. administrative standards vs. effluent charges or subsidies as means or regulation” (1980, p. 6).</w:t>
      </w:r>
    </w:p>
    <w:p w:rsidR="00AB0387" w:rsidRPr="00AB0387" w:rsidRDefault="00AB0387" w:rsidP="00AB0387">
      <w:r w:rsidRPr="00AB0387">
        <w:t xml:space="preserve">According to Noll, however, </w:t>
      </w:r>
      <w:r w:rsidRPr="00313265">
        <w:rPr>
          <w:rStyle w:val="StyleUnderline"/>
        </w:rPr>
        <w:t>such a broad conception makes scholars, government officials, and business people uncomfortable</w:t>
      </w:r>
      <w:r w:rsidRPr="00AB0387">
        <w:t xml:space="preserve"> (Noll </w:t>
      </w:r>
      <w:hyperlink r:id="rId47" w:anchor="rego12094-bib-0042" w:tooltip="Link to bibliographic citation" w:history="1">
        <w:r w:rsidRPr="00AB0387">
          <w:rPr>
            <w:rStyle w:val="Hyperlink"/>
          </w:rPr>
          <w:t>1980</w:t>
        </w:r>
      </w:hyperlink>
      <w:r w:rsidRPr="00AB0387">
        <w:t>, p. 14). Emphasizing the importance of conceptual familiarity, Noll conceives regulation as only one of the methods that governments use to control private-sector economic activities (</w:t>
      </w:r>
      <w:hyperlink r:id="rId48" w:anchor="rego12094-bib-0043" w:tooltip="Link to bibliographic citation" w:history="1">
        <w:r w:rsidRPr="00AB0387">
          <w:rPr>
            <w:rStyle w:val="Hyperlink"/>
          </w:rPr>
          <w:t>1985</w:t>
        </w:r>
      </w:hyperlink>
      <w:r w:rsidRPr="00AB0387">
        <w:t>, p. 9). As “</w:t>
      </w:r>
      <w:r w:rsidRPr="00313265">
        <w:rPr>
          <w:rStyle w:val="StyleUnderline"/>
        </w:rPr>
        <w:t xml:space="preserve">regulation is not just what regulators do, it is also how they do it,” regulation is characterized by the role of administrative law and procedural rules </w:t>
      </w:r>
      <w:r w:rsidRPr="00AB0387">
        <w:t>(Noll </w:t>
      </w:r>
      <w:hyperlink r:id="rId49" w:anchor="rego12094-bib-0042" w:tooltip="Link to bibliographic citation" w:history="1">
        <w:r w:rsidRPr="00AB0387">
          <w:rPr>
            <w:rStyle w:val="Hyperlink"/>
          </w:rPr>
          <w:t>1980</w:t>
        </w:r>
      </w:hyperlink>
      <w:r w:rsidRPr="00AB0387">
        <w:t>, pp. 16–17). Hence,</w:t>
      </w:r>
      <w:r w:rsidRPr="00313265">
        <w:rPr>
          <w:rStyle w:val="StyleUnderline"/>
        </w:rPr>
        <w:t xml:space="preserve"> regulation </w:t>
      </w:r>
      <w:r w:rsidRPr="00313265">
        <w:rPr>
          <w:rStyle w:val="Emphasis"/>
        </w:rPr>
        <w:t>is a method of control</w:t>
      </w:r>
      <w:r w:rsidRPr="00313265">
        <w:rPr>
          <w:rStyle w:val="StyleUnderline"/>
        </w:rPr>
        <w:t xml:space="preserve"> where a government agency is assigned the task of “writing rules constraining certain kinds of private economic decisions, using a quasi-judicial administrative process to develop these rules</w:t>
      </w:r>
      <w:r w:rsidRPr="00AB0387">
        <w:t>” (Noll </w:t>
      </w:r>
      <w:hyperlink r:id="rId50" w:anchor="rego12094-bib-0043" w:tooltip="Link to bibliographic citation" w:history="1">
        <w:r w:rsidRPr="00AB0387">
          <w:rPr>
            <w:rStyle w:val="Hyperlink"/>
          </w:rPr>
          <w:t>1985</w:t>
        </w:r>
      </w:hyperlink>
      <w:r w:rsidRPr="00AB0387">
        <w:t>, p. 9).</w:t>
      </w:r>
    </w:p>
    <w:p w:rsidR="00AB0387" w:rsidRPr="00AB0387" w:rsidRDefault="00AB0387" w:rsidP="00AB0387">
      <w:r w:rsidRPr="00313265">
        <w:rPr>
          <w:rStyle w:val="StyleUnderline"/>
        </w:rPr>
        <w:lastRenderedPageBreak/>
        <w:t xml:space="preserve">This view of regulation as a distinct mode of governance can also be found </w:t>
      </w:r>
      <w:r w:rsidRPr="00313265">
        <w:rPr>
          <w:rStyle w:val="Emphasis"/>
        </w:rPr>
        <w:t>in other influential contributions</w:t>
      </w:r>
      <w:r w:rsidRPr="00AB0387">
        <w:t>. For example, </w:t>
      </w:r>
      <w:proofErr w:type="spellStart"/>
      <w:r w:rsidR="00B77A97">
        <w:fldChar w:fldCharType="begin"/>
      </w:r>
      <w:r w:rsidR="00B77A97">
        <w:instrText xml:space="preserve"> HYPERLINK "http://onlinelibrary.wiley.com/doi/10.1111/rego.12094/full" \l "rego12094-bib-0034" \o "Link to bibliographic citation" </w:instrText>
      </w:r>
      <w:r w:rsidR="00B77A97">
        <w:fldChar w:fldCharType="separate"/>
      </w:r>
      <w:r w:rsidRPr="00AB0387">
        <w:rPr>
          <w:rStyle w:val="Hyperlink"/>
        </w:rPr>
        <w:t>Lowi</w:t>
      </w:r>
      <w:proofErr w:type="spellEnd"/>
      <w:r w:rsidR="00B77A97">
        <w:rPr>
          <w:rStyle w:val="Hyperlink"/>
        </w:rPr>
        <w:fldChar w:fldCharType="end"/>
      </w:r>
      <w:r w:rsidRPr="00AB0387">
        <w:t xml:space="preserve"> argues that </w:t>
      </w:r>
      <w:r w:rsidRPr="00313265">
        <w:rPr>
          <w:rStyle w:val="StyleUnderline"/>
        </w:rPr>
        <w:t>regulation – or regulatory policy – refers to a specific type of policy intervention that differs from other types</w:t>
      </w:r>
      <w:r w:rsidRPr="00AB0387">
        <w:t>. Policies vary on two main dimensions: (</w:t>
      </w:r>
      <w:proofErr w:type="spellStart"/>
      <w:r w:rsidRPr="00AB0387">
        <w:t>i</w:t>
      </w:r>
      <w:proofErr w:type="spellEnd"/>
      <w:r w:rsidRPr="00AB0387">
        <w:t xml:space="preserve">) </w:t>
      </w:r>
      <w:r w:rsidRPr="00313265">
        <w:rPr>
          <w:rStyle w:val="StyleUnderline"/>
        </w:rPr>
        <w:t>the form of the intended impact – that is, whether policies work through individual conduct or the environment of conduct – and (ii) the form of expressed intention – whether policies impose obligations or positions (primary rules) or confer powers or privileges</w:t>
      </w:r>
      <w:r w:rsidRPr="00AB0387">
        <w:t xml:space="preserve"> (secondary rules) (1985, pp. 73–75).</w:t>
      </w:r>
      <w:hyperlink r:id="rId51" w:anchor="rego12094-note-0010" w:tooltip="Link to note" w:history="1">
        <w:r w:rsidRPr="00AB0387">
          <w:rPr>
            <w:rStyle w:val="Hyperlink"/>
          </w:rPr>
          <w:t>9</w:t>
        </w:r>
      </w:hyperlink>
      <w:r w:rsidRPr="00AB0387">
        <w:t> Regulatory policy involves primary rules which work through individual conduct, “where identities and questions of compliance and noncompliance must be involved” (</w:t>
      </w:r>
      <w:proofErr w:type="spellStart"/>
      <w:r w:rsidRPr="00AB0387">
        <w:t>Lowi</w:t>
      </w:r>
      <w:proofErr w:type="spellEnd"/>
      <w:r w:rsidRPr="00AB0387">
        <w:t> </w:t>
      </w:r>
      <w:hyperlink r:id="rId52" w:anchor="rego12094-bib-0034" w:tooltip="Link to bibliographic citation" w:history="1">
        <w:r w:rsidRPr="00AB0387">
          <w:rPr>
            <w:rStyle w:val="Hyperlink"/>
          </w:rPr>
          <w:t>1985</w:t>
        </w:r>
      </w:hyperlink>
      <w:r w:rsidRPr="00AB0387">
        <w:t xml:space="preserve">, p. 73). </w:t>
      </w:r>
      <w:r w:rsidRPr="00313265">
        <w:rPr>
          <w:rStyle w:val="StyleUnderline"/>
        </w:rPr>
        <w:t>Although the implementation of such policy may lead to an environment which is conducive of certain conduct, this is “a behavioral hypothesis about the political or societal impact and has nothing to do with the definition of the legal rule itself</w:t>
      </w:r>
      <w:r w:rsidRPr="00AB0387">
        <w:t>” (</w:t>
      </w:r>
      <w:proofErr w:type="spellStart"/>
      <w:r w:rsidRPr="00AB0387">
        <w:t>Lowi</w:t>
      </w:r>
      <w:proofErr w:type="spellEnd"/>
      <w:r w:rsidRPr="00AB0387">
        <w:t> </w:t>
      </w:r>
      <w:hyperlink r:id="rId53" w:anchor="rego12094-bib-0034" w:tooltip="Link to bibliographic citation" w:history="1">
        <w:r w:rsidRPr="00AB0387">
          <w:rPr>
            <w:rStyle w:val="Hyperlink"/>
          </w:rPr>
          <w:t>1985</w:t>
        </w:r>
      </w:hyperlink>
      <w:r w:rsidRPr="00AB0387">
        <w:t xml:space="preserve">, p. 73). While rejecting </w:t>
      </w:r>
      <w:proofErr w:type="spellStart"/>
      <w:r w:rsidRPr="00AB0387">
        <w:t>Lowi's</w:t>
      </w:r>
      <w:proofErr w:type="spellEnd"/>
      <w:r w:rsidRPr="00AB0387">
        <w:t xml:space="preserve"> suggestion that policy types can easily be separated, the more recent literature on “regulatory governance” emphasizes the difference between regulation and other modes of governance (Braithwaite </w:t>
      </w:r>
      <w:hyperlink r:id="rId54" w:anchor="rego12094-bib-0006" w:tooltip="Link to bibliographic citation" w:history="1">
        <w:r w:rsidRPr="00AB0387">
          <w:rPr>
            <w:rStyle w:val="Hyperlink"/>
          </w:rPr>
          <w:t>2000</w:t>
        </w:r>
      </w:hyperlink>
      <w:r w:rsidRPr="00AB0387">
        <w:t>; Levi-</w:t>
      </w:r>
      <w:proofErr w:type="spellStart"/>
      <w:r w:rsidRPr="00AB0387">
        <w:t>Faur</w:t>
      </w:r>
      <w:proofErr w:type="spellEnd"/>
      <w:r w:rsidRPr="00AB0387">
        <w:t> </w:t>
      </w:r>
      <w:hyperlink r:id="rId55" w:anchor="rego12094-bib-0028" w:tooltip="Link to bibliographic citation" w:history="1">
        <w:r w:rsidRPr="00AB0387">
          <w:rPr>
            <w:rStyle w:val="Hyperlink"/>
          </w:rPr>
          <w:t>2005</w:t>
        </w:r>
      </w:hyperlink>
      <w:r w:rsidRPr="00AB0387">
        <w:t>), where regulation is about “steering the flow of events and behavior, as opposed to providing and distributing” (Braithwaite et al. </w:t>
      </w:r>
      <w:hyperlink r:id="rId56" w:anchor="rego12094-bib-0007" w:tooltip="Link to bibliographic citation" w:history="1">
        <w:r w:rsidRPr="00AB0387">
          <w:rPr>
            <w:rStyle w:val="Hyperlink"/>
          </w:rPr>
          <w:t>2007</w:t>
        </w:r>
      </w:hyperlink>
      <w:r w:rsidRPr="00AB0387">
        <w:t>, p. 3; cf. Braithwaite </w:t>
      </w:r>
      <w:hyperlink r:id="rId57" w:anchor="rego12094-bib-0005" w:tooltip="Link to bibliographic citation" w:history="1">
        <w:r w:rsidRPr="00AB0387">
          <w:rPr>
            <w:rStyle w:val="Hyperlink"/>
          </w:rPr>
          <w:t>2008</w:t>
        </w:r>
      </w:hyperlink>
      <w:r w:rsidRPr="00AB0387">
        <w:t>). At the same time, for Levi-</w:t>
      </w:r>
      <w:proofErr w:type="spellStart"/>
      <w:r w:rsidRPr="00AB0387">
        <w:t>Faur</w:t>
      </w:r>
      <w:proofErr w:type="spellEnd"/>
      <w:r w:rsidRPr="00AB0387">
        <w:t xml:space="preserve"> (</w:t>
      </w:r>
      <w:hyperlink r:id="rId58" w:anchor="rego12094-bib-0030" w:tooltip="Link to bibliographic citation" w:history="1">
        <w:r w:rsidRPr="00AB0387">
          <w:rPr>
            <w:rStyle w:val="Hyperlink"/>
          </w:rPr>
          <w:t>2013</w:t>
        </w:r>
      </w:hyperlink>
      <w:r w:rsidRPr="00AB0387">
        <w:t xml:space="preserve">, p. 30), the regulatory state, “the application of informal and formal rule making, rule monitoring, rule enforcement,” has to be understood as one “morph” that interacts with other “morphs” characterizing statehood, such as the </w:t>
      </w:r>
      <w:proofErr w:type="spellStart"/>
      <w:r w:rsidRPr="00AB0387">
        <w:t>redistributional</w:t>
      </w:r>
      <w:proofErr w:type="spellEnd"/>
      <w:r w:rsidRPr="00AB0387">
        <w:t xml:space="preserve"> welfare state (cf. Levi-</w:t>
      </w:r>
      <w:proofErr w:type="spellStart"/>
      <w:r w:rsidRPr="00AB0387">
        <w:t>Faur</w:t>
      </w:r>
      <w:proofErr w:type="spellEnd"/>
      <w:r w:rsidRPr="00AB0387">
        <w:t> </w:t>
      </w:r>
      <w:hyperlink r:id="rId59" w:anchor="rego12094-bib-0031" w:tooltip="Link to bibliographic citation" w:history="1">
        <w:r w:rsidRPr="00AB0387">
          <w:rPr>
            <w:rStyle w:val="Hyperlink"/>
          </w:rPr>
          <w:t>2014</w:t>
        </w:r>
      </w:hyperlink>
      <w:r w:rsidRPr="00AB0387">
        <w:t xml:space="preserve">). </w:t>
      </w:r>
      <w:r w:rsidRPr="00313265">
        <w:rPr>
          <w:rStyle w:val="StyleUnderline"/>
        </w:rPr>
        <w:t>On the basis of this distinction, we may expect to find differences in terms of the political behavior of regulatory agencies and other types of government agencies</w:t>
      </w:r>
      <w:r w:rsidRPr="00AB0387">
        <w:t xml:space="preserve"> (see Dunleavy </w:t>
      </w:r>
      <w:hyperlink r:id="rId60" w:anchor="rego12094-bib-0015" w:tooltip="Link to bibliographic citation" w:history="1">
        <w:r w:rsidRPr="00AB0387">
          <w:rPr>
            <w:rStyle w:val="Hyperlink"/>
          </w:rPr>
          <w:t>1991</w:t>
        </w:r>
      </w:hyperlink>
      <w:r w:rsidRPr="00AB0387">
        <w:t>, Ch. 7).</w:t>
      </w:r>
    </w:p>
    <w:p w:rsidR="00AB0387" w:rsidRPr="00AB0387" w:rsidRDefault="00AB0387" w:rsidP="00AB0387"/>
    <w:p w:rsidR="00090DF8" w:rsidRDefault="00090DF8" w:rsidP="00090DF8">
      <w:pPr>
        <w:pStyle w:val="Heading3"/>
      </w:pPr>
      <w:r>
        <w:lastRenderedPageBreak/>
        <w:t xml:space="preserve">Regulation – Direct Intervention </w:t>
      </w:r>
    </w:p>
    <w:p w:rsidR="005438A5" w:rsidRDefault="00AF077C" w:rsidP="00AF077C">
      <w:pPr>
        <w:pStyle w:val="Heading4"/>
      </w:pPr>
      <w:r>
        <w:t>It’s the best interpretation of the topic and there doesn’t need to be a consensus about it in the literature</w:t>
      </w:r>
    </w:p>
    <w:p w:rsidR="00101F7D" w:rsidRDefault="00101F7D" w:rsidP="00101F7D">
      <w:r w:rsidRPr="00313265">
        <w:rPr>
          <w:rStyle w:val="Style13ptBold"/>
        </w:rPr>
        <w:t xml:space="preserve">Lodge and Koop </w:t>
      </w:r>
      <w:r>
        <w:rPr>
          <w:rStyle w:val="Style13ptBold"/>
        </w:rPr>
        <w:t>17</w:t>
      </w:r>
      <w:r>
        <w:t xml:space="preserve"> – Department of Political Economy @ King’s College London</w:t>
      </w:r>
    </w:p>
    <w:p w:rsidR="00101F7D" w:rsidRPr="00BD7347" w:rsidRDefault="00101F7D" w:rsidP="00101F7D">
      <w:r>
        <w:t>(Martin and Christel, “</w:t>
      </w:r>
      <w:r w:rsidRPr="00313265">
        <w:t>What is regulation? An interdisciplinary concept analysis</w:t>
      </w:r>
      <w:r>
        <w:t>,” March 1</w:t>
      </w:r>
      <w:r w:rsidRPr="00101F7D">
        <w:rPr>
          <w:vertAlign w:val="superscript"/>
        </w:rPr>
        <w:t>st</w:t>
      </w:r>
      <w:r>
        <w:t xml:space="preserve"> 2017, </w:t>
      </w:r>
      <w:r w:rsidRPr="00313265">
        <w:t>http://onlinelibrary.wiley.com/doi/10.1111/rego.12094/full</w:t>
      </w:r>
      <w:r>
        <w:t>)</w:t>
      </w:r>
    </w:p>
    <w:p w:rsidR="00AF077C" w:rsidRPr="00AF077C" w:rsidRDefault="00AF077C" w:rsidP="00AF077C">
      <w:r w:rsidRPr="00AF077C">
        <w:rPr>
          <w:rStyle w:val="StyleUnderline"/>
        </w:rPr>
        <w:t>This definition allows us to distinguish between instances of regulation and instances that do not fall into that category – primarily, instances of non-intentional intervention and instances where no intervention is involved</w:t>
      </w:r>
      <w:r w:rsidRPr="00AF077C">
        <w:t>. However, the minimal definition leads to a rather broad conception of regulation, which makes it hard to distinguish it from the concept of policy. The latter has, for instance, been defined as “intentional action by actors who are most interested in achieving policy outcomes” (</w:t>
      </w:r>
      <w:proofErr w:type="spellStart"/>
      <w:r w:rsidRPr="00AF077C">
        <w:t>Scharpf</w:t>
      </w:r>
      <w:proofErr w:type="spellEnd"/>
      <w:r w:rsidRPr="00AF077C">
        <w:t> </w:t>
      </w:r>
      <w:hyperlink r:id="rId61" w:anchor="rego12094-bib-0048" w:tooltip="Link to bibliographic citation" w:history="1">
        <w:r w:rsidRPr="00AF077C">
          <w:rPr>
            <w:rStyle w:val="Hyperlink"/>
          </w:rPr>
          <w:t>1997</w:t>
        </w:r>
      </w:hyperlink>
      <w:r w:rsidRPr="00AF077C">
        <w:t xml:space="preserve">, p. 36). </w:t>
      </w:r>
      <w:r w:rsidRPr="00AF077C">
        <w:rPr>
          <w:rStyle w:val="StyleUnderline"/>
        </w:rPr>
        <w:t xml:space="preserve">Defined broadly, regulation may </w:t>
      </w:r>
      <w:r w:rsidRPr="00AF077C">
        <w:rPr>
          <w:rStyle w:val="Emphasis"/>
        </w:rPr>
        <w:t>seem to be little more than a substitute for policy</w:t>
      </w:r>
      <w:r w:rsidRPr="00AF077C">
        <w:rPr>
          <w:rStyle w:val="StyleUnderline"/>
        </w:rPr>
        <w:t>.</w:t>
      </w:r>
      <w:r w:rsidRPr="00AF077C">
        <w:t xml:space="preserve"> Similarly, </w:t>
      </w:r>
      <w:r w:rsidRPr="00AF077C">
        <w:rPr>
          <w:rStyle w:val="StyleUnderline"/>
        </w:rPr>
        <w:t>regulation may resemble the concept of governance: the essence-based definition does not allow us to regard regulation – and regulatory governance – as a subcategory of governance</w:t>
      </w:r>
      <w:r w:rsidRPr="00AF077C">
        <w:t xml:space="preserve"> (see Braithwaite et al. </w:t>
      </w:r>
      <w:hyperlink r:id="rId62" w:anchor="rego12094-bib-0007" w:tooltip="Link to bibliographic citation" w:history="1">
        <w:r w:rsidRPr="00AF077C">
          <w:rPr>
            <w:rStyle w:val="Hyperlink"/>
          </w:rPr>
          <w:t>2007</w:t>
        </w:r>
      </w:hyperlink>
      <w:r w:rsidRPr="00AF077C">
        <w:t xml:space="preserve">). We should perhaps not be surprised to find that a classical definition is characterized by a high level of abstraction: </w:t>
      </w:r>
      <w:r w:rsidRPr="00AF077C">
        <w:rPr>
          <w:rStyle w:val="StyleUnderline"/>
        </w:rPr>
        <w:t>if the literature has an interest in a wide range of manifestations of a phenomenon called regulation, there can only be agreement on a limited set of constitutive conceptual elements</w:t>
      </w:r>
      <w:r w:rsidRPr="00AF077C">
        <w:t xml:space="preserve">. As </w:t>
      </w:r>
      <w:proofErr w:type="spellStart"/>
      <w:r w:rsidRPr="00AF077C">
        <w:t>Sartori</w:t>
      </w:r>
      <w:proofErr w:type="spellEnd"/>
      <w:r w:rsidRPr="00AF077C">
        <w:t xml:space="preserve"> (</w:t>
      </w:r>
      <w:hyperlink r:id="rId63" w:anchor="rego12094-bib-0047" w:tooltip="Link to bibliographic citation" w:history="1">
        <w:r w:rsidRPr="00AF077C">
          <w:rPr>
            <w:rStyle w:val="Hyperlink"/>
          </w:rPr>
          <w:t>1970</w:t>
        </w:r>
      </w:hyperlink>
      <w:r w:rsidRPr="00AF077C">
        <w:t>) emphasizes, increases in the number of referents and decreases in the number of elements go hand in hand.</w:t>
      </w:r>
    </w:p>
    <w:p w:rsidR="00AF077C" w:rsidRPr="00AF077C" w:rsidRDefault="00AF077C" w:rsidP="00AF077C">
      <w:pPr>
        <w:rPr>
          <w:rStyle w:val="StyleUnderline"/>
        </w:rPr>
      </w:pPr>
      <w:r w:rsidRPr="00AF077C">
        <w:rPr>
          <w:rStyle w:val="StyleUnderline"/>
        </w:rPr>
        <w:t>Accepting that regulation has a wide range of referents is not to say that all referents are equally prominent</w:t>
      </w:r>
      <w:r w:rsidRPr="00AF077C">
        <w:t xml:space="preserve">. </w:t>
      </w:r>
      <w:r w:rsidRPr="00AF077C">
        <w:rPr>
          <w:rStyle w:val="StyleUnderline"/>
        </w:rPr>
        <w:t xml:space="preserve">Our pattern-based definition is not less inclusive than the essence-based one, but </w:t>
      </w:r>
      <w:r w:rsidRPr="00AF077C">
        <w:rPr>
          <w:rStyle w:val="Emphasis"/>
        </w:rPr>
        <w:t>it gives insight into the manifestations which regulation scholars are mainly concerned with</w:t>
      </w:r>
      <w:r w:rsidRPr="00AF077C">
        <w:t xml:space="preserve">, and which we consider more central to the concept. Attributing more importance to the variation in emphasis of studies, </w:t>
      </w:r>
      <w:r w:rsidRPr="00AF077C">
        <w:rPr>
          <w:rStyle w:val="StyleUnderline"/>
        </w:rPr>
        <w:t>regulation can be defined as intentional intervention in the activities of a target population, where the intervention is typically direct – involving binding standard-setting, monitoring, and sanctioning – and exercised by public-sector actors on the economic activities of private-sector actors.</w:t>
      </w:r>
    </w:p>
    <w:p w:rsidR="00AF077C" w:rsidRPr="00AF077C" w:rsidRDefault="00AF077C" w:rsidP="00AF077C"/>
    <w:p w:rsidR="003A1114" w:rsidRDefault="003A1114" w:rsidP="003A1114">
      <w:pPr>
        <w:pStyle w:val="Heading3"/>
      </w:pPr>
      <w:r>
        <w:lastRenderedPageBreak/>
        <w:t xml:space="preserve">Regulation – Direct Intervention </w:t>
      </w:r>
      <w:r w:rsidR="00B4553C">
        <w:t>Consensus</w:t>
      </w:r>
    </w:p>
    <w:p w:rsidR="003A1114" w:rsidRDefault="003A1114" w:rsidP="003A1114">
      <w:pPr>
        <w:pStyle w:val="Heading4"/>
      </w:pPr>
      <w:r>
        <w:t xml:space="preserve">It has cross-disciplinary consensus </w:t>
      </w:r>
    </w:p>
    <w:p w:rsidR="003A1114" w:rsidRDefault="003A1114" w:rsidP="003A1114">
      <w:r w:rsidRPr="00313265">
        <w:rPr>
          <w:rStyle w:val="Style13ptBold"/>
        </w:rPr>
        <w:t xml:space="preserve">Lodge and Koop </w:t>
      </w:r>
      <w:r>
        <w:rPr>
          <w:rStyle w:val="Style13ptBold"/>
        </w:rPr>
        <w:t>17</w:t>
      </w:r>
      <w:r>
        <w:t xml:space="preserve"> – Department of Political Economy @ King’s College London</w:t>
      </w:r>
    </w:p>
    <w:p w:rsidR="003A1114" w:rsidRPr="00BD7347" w:rsidRDefault="003A1114" w:rsidP="003A1114">
      <w:r>
        <w:t>(Martin and Christel, “</w:t>
      </w:r>
      <w:r w:rsidRPr="00313265">
        <w:t>What is regulation? An interdisciplinary concept analysis</w:t>
      </w:r>
      <w:r>
        <w:t>,” March 1</w:t>
      </w:r>
      <w:r w:rsidRPr="00101F7D">
        <w:rPr>
          <w:vertAlign w:val="superscript"/>
        </w:rPr>
        <w:t>st</w:t>
      </w:r>
      <w:r>
        <w:t xml:space="preserve"> 2017, </w:t>
      </w:r>
      <w:r w:rsidRPr="00313265">
        <w:t>http://onlinelibrary.wiley.com/doi/10.1111/rego.12094/full</w:t>
      </w:r>
      <w:r>
        <w:t>)</w:t>
      </w:r>
    </w:p>
    <w:p w:rsidR="003A1114" w:rsidRPr="002A52B5" w:rsidRDefault="003A1114" w:rsidP="003A1114">
      <w:r w:rsidRPr="002A52B5">
        <w:rPr>
          <w:rStyle w:val="StyleUnderline"/>
        </w:rPr>
        <w:t xml:space="preserve">Yet some definitions enjoy </w:t>
      </w:r>
      <w:r w:rsidRPr="009A2E7D">
        <w:rPr>
          <w:rStyle w:val="Emphasis"/>
        </w:rPr>
        <w:t>cross-disciplinary appeal</w:t>
      </w:r>
      <w:r w:rsidRPr="002A52B5">
        <w:t xml:space="preserve">. For instance, </w:t>
      </w:r>
      <w:r w:rsidRPr="002A52B5">
        <w:rPr>
          <w:rStyle w:val="StyleUnderline"/>
        </w:rPr>
        <w:t>many authors rely on Selznick's definition of regulation as “</w:t>
      </w:r>
      <w:r w:rsidRPr="002A52B5">
        <w:rPr>
          <w:rStyle w:val="Emphasis"/>
        </w:rPr>
        <w:t>sustained and focused control</w:t>
      </w:r>
      <w:r w:rsidRPr="002A52B5">
        <w:rPr>
          <w:rStyle w:val="StyleUnderline"/>
        </w:rPr>
        <w:t xml:space="preserve"> exercised by a public agency over activities that are valued by the community”</w:t>
      </w:r>
      <w:r w:rsidRPr="002A52B5">
        <w:t xml:space="preserve"> (Selznick </w:t>
      </w:r>
      <w:hyperlink r:id="rId64" w:anchor="rego12094-bib-0049" w:tooltip="Link to bibliographic citation" w:history="1">
        <w:r w:rsidRPr="002A52B5">
          <w:rPr>
            <w:rStyle w:val="Hyperlink"/>
          </w:rPr>
          <w:t>1985</w:t>
        </w:r>
      </w:hyperlink>
      <w:r w:rsidRPr="002A52B5">
        <w:t xml:space="preserve">, p. 363). </w:t>
      </w:r>
      <w:r w:rsidRPr="002A52B5">
        <w:rPr>
          <w:rStyle w:val="StyleUnderline"/>
        </w:rPr>
        <w:t xml:space="preserve">Equally prominent is Black's more detailed definition of regulation as “the sustained and focused attempt to alter the </w:t>
      </w:r>
      <w:proofErr w:type="spellStart"/>
      <w:r w:rsidRPr="002A52B5">
        <w:rPr>
          <w:rStyle w:val="StyleUnderline"/>
        </w:rPr>
        <w:t>behaviour</w:t>
      </w:r>
      <w:proofErr w:type="spellEnd"/>
      <w:r w:rsidRPr="002A52B5">
        <w:rPr>
          <w:rStyle w:val="StyleUnderline"/>
        </w:rPr>
        <w:t xml:space="preserve"> of others according to defined standards and purposes with the intention of producing a broadly identified outcome or outcomes, which may involve mechanisms of standard-setting, information-gathering and </w:t>
      </w:r>
      <w:proofErr w:type="spellStart"/>
      <w:r w:rsidRPr="002A52B5">
        <w:rPr>
          <w:rStyle w:val="StyleUnderline"/>
        </w:rPr>
        <w:t>behaviour</w:t>
      </w:r>
      <w:proofErr w:type="spellEnd"/>
      <w:r w:rsidRPr="002A52B5">
        <w:rPr>
          <w:rStyle w:val="StyleUnderline"/>
        </w:rPr>
        <w:t xml:space="preserve"> modification”</w:t>
      </w:r>
      <w:r w:rsidRPr="002A52B5">
        <w:t xml:space="preserve"> (Black </w:t>
      </w:r>
      <w:hyperlink r:id="rId65" w:anchor="rego12094-bib-0004" w:tooltip="Link to bibliographic citation" w:history="1">
        <w:r w:rsidRPr="002A52B5">
          <w:rPr>
            <w:rStyle w:val="Hyperlink"/>
          </w:rPr>
          <w:t>2002</w:t>
        </w:r>
      </w:hyperlink>
      <w:r w:rsidRPr="002A52B5">
        <w:t>, p. 26; cf. Parker &amp; Braithwaite </w:t>
      </w:r>
      <w:hyperlink r:id="rId66" w:anchor="rego12094-bib-0045" w:tooltip="Link to bibliographic citation" w:history="1">
        <w:r w:rsidRPr="002A52B5">
          <w:rPr>
            <w:rStyle w:val="Hyperlink"/>
          </w:rPr>
          <w:t>2005</w:t>
        </w:r>
      </w:hyperlink>
      <w:r w:rsidRPr="002A52B5">
        <w:t>; Morgan &amp; Yeung </w:t>
      </w:r>
      <w:hyperlink r:id="rId67" w:anchor="rego12094-bib-0041" w:tooltip="Link to bibliographic citation" w:history="1">
        <w:r w:rsidRPr="002A52B5">
          <w:rPr>
            <w:rStyle w:val="Hyperlink"/>
          </w:rPr>
          <w:t>2007</w:t>
        </w:r>
      </w:hyperlink>
      <w:r w:rsidRPr="002A52B5">
        <w:t xml:space="preserve">; Lodge &amp; </w:t>
      </w:r>
      <w:proofErr w:type="spellStart"/>
      <w:r w:rsidRPr="002A52B5">
        <w:t>Wegrich</w:t>
      </w:r>
      <w:proofErr w:type="spellEnd"/>
      <w:r w:rsidRPr="002A52B5">
        <w:t> </w:t>
      </w:r>
      <w:hyperlink r:id="rId68" w:anchor="rego12094-bib-0032" w:tooltip="Link to bibliographic citation" w:history="1">
        <w:r w:rsidRPr="002A52B5">
          <w:rPr>
            <w:rStyle w:val="Hyperlink"/>
          </w:rPr>
          <w:t>2012</w:t>
        </w:r>
      </w:hyperlink>
      <w:r w:rsidRPr="002A52B5">
        <w:t>).</w:t>
      </w:r>
      <w:hyperlink r:id="rId69" w:anchor="rego12094-note-0002" w:tooltip="Link to note" w:history="1">
        <w:r w:rsidRPr="002A52B5">
          <w:rPr>
            <w:rStyle w:val="Hyperlink"/>
          </w:rPr>
          <w:t>1</w:t>
        </w:r>
      </w:hyperlink>
    </w:p>
    <w:p w:rsidR="00650731" w:rsidRDefault="00650731" w:rsidP="003775C0">
      <w:pPr>
        <w:pStyle w:val="Heading3"/>
      </w:pPr>
      <w:r>
        <w:lastRenderedPageBreak/>
        <w:t>Regulation – Intentional</w:t>
      </w:r>
    </w:p>
    <w:p w:rsidR="00650731" w:rsidRDefault="00650731" w:rsidP="00650731">
      <w:pPr>
        <w:pStyle w:val="Heading4"/>
      </w:pPr>
      <w:r>
        <w:t xml:space="preserve">Regulations </w:t>
      </w:r>
      <w:r w:rsidR="00663441">
        <w:t>must</w:t>
      </w:r>
      <w:r>
        <w:t xml:space="preserve"> be intentional</w:t>
      </w:r>
      <w:r w:rsidR="00663441">
        <w:t xml:space="preserve"> anything else makes the topic limitless </w:t>
      </w:r>
    </w:p>
    <w:p w:rsidR="00101F7D" w:rsidRDefault="00101F7D" w:rsidP="00101F7D">
      <w:r w:rsidRPr="00313265">
        <w:rPr>
          <w:rStyle w:val="Style13ptBold"/>
        </w:rPr>
        <w:t xml:space="preserve">Lodge and Koop </w:t>
      </w:r>
      <w:r>
        <w:rPr>
          <w:rStyle w:val="Style13ptBold"/>
        </w:rPr>
        <w:t>17</w:t>
      </w:r>
      <w:r>
        <w:t xml:space="preserve"> – Department of Political Economy @ King’s College London</w:t>
      </w:r>
    </w:p>
    <w:p w:rsidR="00101F7D" w:rsidRPr="00BD7347" w:rsidRDefault="00101F7D" w:rsidP="00101F7D">
      <w:r>
        <w:t>(Martin and Christel, “</w:t>
      </w:r>
      <w:r w:rsidRPr="00313265">
        <w:t>What is regulation? An interdisciplinary concept analysis</w:t>
      </w:r>
      <w:r>
        <w:t>,” March 1</w:t>
      </w:r>
      <w:r w:rsidRPr="00101F7D">
        <w:rPr>
          <w:vertAlign w:val="superscript"/>
        </w:rPr>
        <w:t>st</w:t>
      </w:r>
      <w:r>
        <w:t xml:space="preserve"> 2017, </w:t>
      </w:r>
      <w:r w:rsidRPr="00313265">
        <w:t>http://onlinelibrary.wiley.com/doi/10.1111/rego.12094/full</w:t>
      </w:r>
      <w:r>
        <w:t>)</w:t>
      </w:r>
    </w:p>
    <w:p w:rsidR="00650731" w:rsidRPr="00663441" w:rsidRDefault="00650731" w:rsidP="00663441">
      <w:pPr>
        <w:rPr>
          <w:rStyle w:val="StyleUnderline"/>
        </w:rPr>
      </w:pPr>
      <w:r w:rsidRPr="00663441">
        <w:t xml:space="preserve">Various authors have pointed to the limits of such broad conceptions. </w:t>
      </w:r>
      <w:r w:rsidRPr="00663441">
        <w:rPr>
          <w:rStyle w:val="StyleUnderline"/>
        </w:rPr>
        <w:t>Advocating the inclusion of intentionality, </w:t>
      </w:r>
      <w:hyperlink r:id="rId70" w:anchor="rego12094-bib-0004" w:tooltip="Link to bibliographic citation" w:history="1">
        <w:r w:rsidRPr="00663441">
          <w:rPr>
            <w:rStyle w:val="StyleUnderline"/>
          </w:rPr>
          <w:t>Black</w:t>
        </w:r>
      </w:hyperlink>
      <w:r w:rsidRPr="00663441">
        <w:rPr>
          <w:rStyle w:val="StyleUnderline"/>
        </w:rPr>
        <w:t xml:space="preserve"> suggests that </w:t>
      </w:r>
      <w:r w:rsidRPr="00663441">
        <w:rPr>
          <w:rStyle w:val="Emphasis"/>
        </w:rPr>
        <w:t>including social norms and culture “provides no boundaries</w:t>
      </w:r>
      <w:r w:rsidRPr="00663441">
        <w:rPr>
          <w:rStyle w:val="StyleUnderline"/>
        </w:rPr>
        <w:t xml:space="preserve"> as to where regulation might end, and some other influencing factors take effect, and so provides very little analytical purchase</w:t>
      </w:r>
      <w:r w:rsidRPr="00663441">
        <w:t xml:space="preserve">” (2002, p. 11; p. 25). </w:t>
      </w:r>
      <w:r w:rsidRPr="00663441">
        <w:rPr>
          <w:rStyle w:val="StyleUnderline"/>
        </w:rPr>
        <w:t xml:space="preserve">Others point out that the inclusion of non-intentional processes </w:t>
      </w:r>
      <w:r w:rsidRPr="00663441">
        <w:rPr>
          <w:rStyle w:val="Emphasis"/>
        </w:rPr>
        <w:t>is not in line with common usage</w:t>
      </w:r>
      <w:r w:rsidRPr="00663441">
        <w:rPr>
          <w:rStyle w:val="StyleUnderline"/>
        </w:rPr>
        <w:t xml:space="preserve"> of the concept</w:t>
      </w:r>
      <w:r w:rsidRPr="00663441">
        <w:t>. </w:t>
      </w:r>
      <w:proofErr w:type="spellStart"/>
      <w:r w:rsidRPr="00663441">
        <w:rPr>
          <w:rStyle w:val="StyleUnderline"/>
        </w:rPr>
        <w:fldChar w:fldCharType="begin"/>
      </w:r>
      <w:r w:rsidRPr="00663441">
        <w:rPr>
          <w:rStyle w:val="StyleUnderline"/>
        </w:rPr>
        <w:instrText xml:space="preserve"> HYPERLINK "http://onlinelibrary.wiley.com/doi/10.1111/rego.12094/full" \l "rego12094-bib-0039" \o "Link to bibliographic citation" </w:instrText>
      </w:r>
      <w:r w:rsidRPr="00663441">
        <w:rPr>
          <w:rStyle w:val="StyleUnderline"/>
        </w:rPr>
        <w:fldChar w:fldCharType="separate"/>
      </w:r>
      <w:r w:rsidRPr="00663441">
        <w:rPr>
          <w:rStyle w:val="StyleUnderline"/>
        </w:rPr>
        <w:t>Mitnick</w:t>
      </w:r>
      <w:proofErr w:type="spellEnd"/>
      <w:r w:rsidRPr="00663441">
        <w:rPr>
          <w:rStyle w:val="StyleUnderline"/>
        </w:rPr>
        <w:fldChar w:fldCharType="end"/>
      </w:r>
      <w:r w:rsidRPr="00663441">
        <w:rPr>
          <w:rStyle w:val="StyleUnderline"/>
        </w:rPr>
        <w:t xml:space="preserve"> indicates that regulation refers only to those types of interference that are intentional: “intuitively, regulation implies governed, guided, controlled interference – in the broadest sense, </w:t>
      </w:r>
      <w:r w:rsidRPr="00663441">
        <w:rPr>
          <w:rStyle w:val="Emphasis"/>
        </w:rPr>
        <w:t>deliberate or intentional interference</w:t>
      </w:r>
      <w:r w:rsidRPr="00663441">
        <w:t>” (1980, p. 3). Finally, </w:t>
      </w:r>
      <w:hyperlink r:id="rId71" w:anchor="rego12094-bib-0049" w:tooltip="Link to bibliographic citation" w:history="1">
        <w:r w:rsidRPr="00663441">
          <w:rPr>
            <w:rStyle w:val="Hyperlink"/>
          </w:rPr>
          <w:t>Selznick</w:t>
        </w:r>
      </w:hyperlink>
      <w:r w:rsidRPr="00663441">
        <w:t xml:space="preserve"> observes that “[t]here is a strong temptation to identify regulation with the whole realm of law, governance, and social control” (1985, p. 363). Yet </w:t>
      </w:r>
      <w:r w:rsidRPr="00663441">
        <w:rPr>
          <w:rStyle w:val="StyleUnderline"/>
        </w:rPr>
        <w:t xml:space="preserve">in the field of public policy and administration, he argues, </w:t>
      </w:r>
      <w:r w:rsidRPr="00663441">
        <w:rPr>
          <w:rStyle w:val="Emphasis"/>
        </w:rPr>
        <w:t>regulation has a more specific meaning</w:t>
      </w:r>
      <w:r w:rsidRPr="00663441">
        <w:rPr>
          <w:rStyle w:val="StyleUnderline"/>
        </w:rPr>
        <w:t>: it is about sustained and focused – and, thus, intentional – control.</w:t>
      </w:r>
    </w:p>
    <w:p w:rsidR="00650731" w:rsidRPr="00650731" w:rsidRDefault="00650731" w:rsidP="00650731"/>
    <w:p w:rsidR="00BD7347" w:rsidRDefault="00BD7347" w:rsidP="003775C0">
      <w:pPr>
        <w:pStyle w:val="Heading3"/>
      </w:pPr>
      <w:r>
        <w:lastRenderedPageBreak/>
        <w:t xml:space="preserve">Regulations – </w:t>
      </w:r>
      <w:r w:rsidR="001566BE">
        <w:t>Not well Defined</w:t>
      </w:r>
    </w:p>
    <w:p w:rsidR="00BD7347" w:rsidRDefault="00BD7347" w:rsidP="00BD7347">
      <w:pPr>
        <w:pStyle w:val="Heading4"/>
      </w:pPr>
      <w:proofErr w:type="spellStart"/>
      <w:r>
        <w:t>Its</w:t>
      </w:r>
      <w:proofErr w:type="spellEnd"/>
      <w:r>
        <w:t xml:space="preserve"> not super-well defined in the literature </w:t>
      </w:r>
    </w:p>
    <w:p w:rsidR="00101F7D" w:rsidRDefault="00101F7D" w:rsidP="00101F7D">
      <w:r w:rsidRPr="00313265">
        <w:rPr>
          <w:rStyle w:val="Style13ptBold"/>
        </w:rPr>
        <w:t xml:space="preserve">Lodge and Koop </w:t>
      </w:r>
      <w:r>
        <w:rPr>
          <w:rStyle w:val="Style13ptBold"/>
        </w:rPr>
        <w:t>17</w:t>
      </w:r>
      <w:r>
        <w:t xml:space="preserve"> – Department of Political Economy @ King’s College London</w:t>
      </w:r>
    </w:p>
    <w:p w:rsidR="00101F7D" w:rsidRPr="00BD7347" w:rsidRDefault="00101F7D" w:rsidP="00101F7D">
      <w:r>
        <w:t>(Martin and Christel, “</w:t>
      </w:r>
      <w:r w:rsidRPr="00313265">
        <w:t>What is regulation? An interdisciplinary concept analysis</w:t>
      </w:r>
      <w:r>
        <w:t>,” March 1</w:t>
      </w:r>
      <w:r w:rsidRPr="00101F7D">
        <w:rPr>
          <w:vertAlign w:val="superscript"/>
        </w:rPr>
        <w:t>st</w:t>
      </w:r>
      <w:r>
        <w:t xml:space="preserve"> 2017, </w:t>
      </w:r>
      <w:r w:rsidRPr="00313265">
        <w:t>http://onlinelibrary.wiley.com/doi/10.1111/rego.12094/full</w:t>
      </w:r>
      <w:r>
        <w:t>)</w:t>
      </w:r>
    </w:p>
    <w:p w:rsidR="00BD7347" w:rsidRDefault="00BD7347" w:rsidP="00BD7347">
      <w:r w:rsidRPr="00BD7347">
        <w:t xml:space="preserve">In terms of findings, </w:t>
      </w:r>
      <w:r w:rsidRPr="00BD7347">
        <w:rPr>
          <w:rStyle w:val="StyleUnderline"/>
        </w:rPr>
        <w:t>scholars use the term regulation both to refer to a type of intervention and as a synonym for rule or standard</w:t>
      </w:r>
      <w:r w:rsidRPr="00BD7347">
        <w:t>.</w:t>
      </w:r>
      <w:hyperlink r:id="rId72" w:anchor="rego12094-note-0017" w:tooltip="Link to note" w:history="1">
        <w:r w:rsidRPr="00BD7347">
          <w:rPr>
            <w:rStyle w:val="Hyperlink"/>
          </w:rPr>
          <w:t>16</w:t>
        </w:r>
      </w:hyperlink>
      <w:r w:rsidRPr="00BD7347">
        <w:t xml:space="preserve"> Our analysis focuses only on authors' conceptions of regulation as an intervention. </w:t>
      </w:r>
      <w:r w:rsidRPr="00BD7347">
        <w:rPr>
          <w:rStyle w:val="StyleUnderline"/>
        </w:rPr>
        <w:t>There are very few intervention items that are explicitly excluded; only non-intentional processes are not normally included</w:t>
      </w:r>
      <w:r w:rsidRPr="00BD7347">
        <w:t>. This contrasts with the identification of a conception of regulation as “all mechanisms of social control” (Baldwin et al. </w:t>
      </w:r>
      <w:hyperlink r:id="rId73" w:anchor="rego12094-bib-0001" w:tooltip="Link to bibliographic citation" w:history="1">
        <w:r w:rsidRPr="00BD7347">
          <w:rPr>
            <w:rStyle w:val="Hyperlink"/>
          </w:rPr>
          <w:t>1998</w:t>
        </w:r>
      </w:hyperlink>
      <w:r w:rsidRPr="00BD7347">
        <w:t xml:space="preserve">, p. 4). There are also a large number of items that articles hardly reflect on, which, therefore, may or may not be part of the concept. This is reflected in the percentages under “maybe” and in the explicitness index. </w:t>
      </w:r>
      <w:r w:rsidRPr="00BD7347">
        <w:rPr>
          <w:rStyle w:val="StyleUnderline"/>
        </w:rPr>
        <w:t xml:space="preserve">Explicit definitions are uncommon; </w:t>
      </w:r>
      <w:r w:rsidRPr="00BD7347">
        <w:rPr>
          <w:rStyle w:val="Emphasis"/>
        </w:rPr>
        <w:t>only 14 percent include a definition</w:t>
      </w:r>
      <w:r w:rsidRPr="00BD7347">
        <w:t xml:space="preserve">. This has implications for the way we assessed the conceptions: in most cases, we have had to infer the conception from the referents of the concept mentioned in the article, rather than from a definition. Consequently, we often had to conclude that an item was neither excluded nor included. </w:t>
      </w:r>
      <w:r w:rsidRPr="00BD7347">
        <w:rPr>
          <w:rStyle w:val="StyleUnderline"/>
        </w:rPr>
        <w:t>Interestingly, with some exceptions, there is a fair amount of agreement,</w:t>
      </w:r>
      <w:r w:rsidRPr="00BD7347">
        <w:t xml:space="preserve"> even though this may be “agreement” on neither excluding nor including the item. Finally, with further probing, hardly any article reflected on boundary issues, such as the distinction between regulation and criminal justice that Selznick and </w:t>
      </w:r>
      <w:proofErr w:type="spellStart"/>
      <w:r w:rsidRPr="00BD7347">
        <w:t>Mitnick</w:t>
      </w:r>
      <w:proofErr w:type="spellEnd"/>
      <w:r w:rsidRPr="00BD7347">
        <w:t xml:space="preserve"> made.</w:t>
      </w:r>
    </w:p>
    <w:p w:rsidR="00090DF8" w:rsidRDefault="00090DF8" w:rsidP="00090DF8">
      <w:pPr>
        <w:pStyle w:val="Heading3"/>
      </w:pPr>
      <w:r>
        <w:lastRenderedPageBreak/>
        <w:t xml:space="preserve">Regulations – Intentional – Consensus </w:t>
      </w:r>
    </w:p>
    <w:p w:rsidR="00BD7347" w:rsidRDefault="00BD7347" w:rsidP="00BD7347">
      <w:pPr>
        <w:pStyle w:val="Heading4"/>
      </w:pPr>
      <w:r>
        <w:t xml:space="preserve">Regulations are </w:t>
      </w:r>
      <w:r w:rsidRPr="00BD7347">
        <w:rPr>
          <w:u w:val="single"/>
        </w:rPr>
        <w:t>direct interventions</w:t>
      </w:r>
      <w:r>
        <w:t xml:space="preserve"> it’s the consensus and examples of it </w:t>
      </w:r>
    </w:p>
    <w:p w:rsidR="00101F7D" w:rsidRDefault="00101F7D" w:rsidP="00101F7D">
      <w:r w:rsidRPr="00313265">
        <w:rPr>
          <w:rStyle w:val="Style13ptBold"/>
        </w:rPr>
        <w:t xml:space="preserve">Lodge and Koop </w:t>
      </w:r>
      <w:r>
        <w:rPr>
          <w:rStyle w:val="Style13ptBold"/>
        </w:rPr>
        <w:t>17</w:t>
      </w:r>
      <w:r>
        <w:t xml:space="preserve"> – Department of Political Economy @ King’s College London</w:t>
      </w:r>
    </w:p>
    <w:p w:rsidR="00101F7D" w:rsidRPr="00BD7347" w:rsidRDefault="00101F7D" w:rsidP="00101F7D">
      <w:r>
        <w:t>(Martin and Christel, “</w:t>
      </w:r>
      <w:r w:rsidRPr="00313265">
        <w:t>What is regulation? An interdisciplinary concept analysis</w:t>
      </w:r>
      <w:r>
        <w:t>,” March 1</w:t>
      </w:r>
      <w:r w:rsidRPr="00101F7D">
        <w:rPr>
          <w:vertAlign w:val="superscript"/>
        </w:rPr>
        <w:t>st</w:t>
      </w:r>
      <w:r>
        <w:t xml:space="preserve"> 2017, </w:t>
      </w:r>
      <w:r w:rsidRPr="00313265">
        <w:t>http://onlinelibrary.wiley.com/doi/10.1111/rego.12094/full</w:t>
      </w:r>
      <w:r>
        <w:t>)</w:t>
      </w:r>
    </w:p>
    <w:p w:rsidR="00BD7347" w:rsidRPr="00BD7347" w:rsidRDefault="00BD7347" w:rsidP="00BD7347">
      <w:r w:rsidRPr="00BD7347">
        <w:rPr>
          <w:rStyle w:val="StyleUnderline"/>
        </w:rPr>
        <w:t xml:space="preserve">When it comes to the scope and distinctiveness of the intervention, </w:t>
      </w:r>
      <w:r w:rsidRPr="00BD7347">
        <w:rPr>
          <w:rStyle w:val="Emphasis"/>
        </w:rPr>
        <w:t>every article regards regulation as a form of direct intervention</w:t>
      </w:r>
      <w:r w:rsidRPr="00BD7347">
        <w:t xml:space="preserve">. </w:t>
      </w:r>
      <w:r w:rsidRPr="00BD7347">
        <w:rPr>
          <w:rStyle w:val="StyleUnderline"/>
        </w:rPr>
        <w:t>Indirect intervention, in contrast, is only included in 41 percent of the articles, while another 55 percent leave that option open</w:t>
      </w:r>
      <w:r w:rsidRPr="00BD7347">
        <w:t>. In economics, law, and sociology, indirect intervention is more often included than in the other disciplines, with this category constituting the median. To assess how substantial these differences are, we have used the non-parametric Kruskal-Wallis H test, assuming that there is an order to the categories “no,” “maybe,” and “yes.”</w:t>
      </w:r>
      <w:hyperlink r:id="rId74" w:anchor="rego12094-note-0019" w:tooltip="Link to note" w:history="1">
        <w:r w:rsidRPr="00BD7347">
          <w:rPr>
            <w:rStyle w:val="StyleUnderline"/>
          </w:rPr>
          <w:t>18</w:t>
        </w:r>
      </w:hyperlink>
      <w:r w:rsidRPr="00BD7347">
        <w:rPr>
          <w:rStyle w:val="StyleUnderline"/>
        </w:rPr>
        <w:t> The test shows that there are, indeed, significant differences between the disciplines on the indirect intervention item</w:t>
      </w:r>
      <w:r w:rsidRPr="00BD7347">
        <w:t xml:space="preserve"> (χ2 (5) = 12.20, P = 0.03).</w:t>
      </w:r>
      <w:hyperlink r:id="rId75" w:anchor="rego12094-note-0020" w:tooltip="Link to note" w:history="1">
        <w:r w:rsidRPr="00BD7347">
          <w:rPr>
            <w:rStyle w:val="Hyperlink"/>
          </w:rPr>
          <w:t>19</w:t>
        </w:r>
      </w:hyperlink>
      <w:r w:rsidRPr="00BD7347">
        <w:t> Yet when comparing the pairs of fields, the Dunn's test indicates that the only significant differences at the five percent level are those between political science, on the one hand, and economics, law, and sociology, on the other: in political science, indirect intervention is significantly less often included than in the three other fields.</w:t>
      </w:r>
    </w:p>
    <w:p w:rsidR="00BD7347" w:rsidRPr="00BD7347" w:rsidRDefault="00BD7347" w:rsidP="00BD7347">
      <w:r w:rsidRPr="00BD7347">
        <w:rPr>
          <w:rStyle w:val="StyleUnderline"/>
        </w:rPr>
        <w:t>Many scholars also point out what components are involved in direct intervention. As Table </w:t>
      </w:r>
      <w:hyperlink r:id="rId76" w:anchor="rego12094-tbl-0002" w:tooltip="Link to table" w:history="1">
        <w:r w:rsidRPr="00BD7347">
          <w:rPr>
            <w:rStyle w:val="StyleUnderline"/>
          </w:rPr>
          <w:t>2</w:t>
        </w:r>
      </w:hyperlink>
      <w:r w:rsidRPr="00BD7347">
        <w:rPr>
          <w:rStyle w:val="StyleUnderline"/>
        </w:rPr>
        <w:t xml:space="preserve"> demonstrates, standard-setting is most often explicitly mentioned (76%), followed by </w:t>
      </w:r>
      <w:r w:rsidRPr="00BD7347">
        <w:rPr>
          <w:rStyle w:val="Emphasis"/>
        </w:rPr>
        <w:t>sanctioning</w:t>
      </w:r>
      <w:r w:rsidRPr="00BD7347">
        <w:rPr>
          <w:rStyle w:val="StyleUnderline"/>
        </w:rPr>
        <w:t xml:space="preserve"> (60%) and </w:t>
      </w:r>
      <w:r w:rsidRPr="00BD7347">
        <w:rPr>
          <w:rStyle w:val="Emphasis"/>
        </w:rPr>
        <w:t>monitoring</w:t>
      </w:r>
      <w:r w:rsidRPr="00BD7347">
        <w:rPr>
          <w:rStyle w:val="StyleUnderline"/>
        </w:rPr>
        <w:t xml:space="preserve"> (58%).</w:t>
      </w:r>
      <w:r w:rsidRPr="00BD7347">
        <w:t xml:space="preserve"> All three components are mentioned in 53 percent of the articles (not reported). A Kruskal-Wallis H test, which assesses all three categories, points out that there are no significant differences between the disciplines (χ2 (5) = 5.02, P = 0.41). The only differences that are significant are on standard-setting (χ2 (5) = 14.29, P = 0.01). The Dunn's test indicates that in sociology, standard-setting is significantly less often mentioned than in law, political science, and public administration. In business, the component is significantly less often mentioned than in law and public administration.</w:t>
      </w:r>
      <w:hyperlink r:id="rId77" w:anchor="rego12094-note-0021" w:tooltip="Link to note" w:history="1">
        <w:r w:rsidRPr="00BD7347">
          <w:rPr>
            <w:rStyle w:val="Hyperlink"/>
          </w:rPr>
          <w:t>20</w:t>
        </w:r>
      </w:hyperlink>
    </w:p>
    <w:p w:rsidR="00090DF8" w:rsidRDefault="00090DF8" w:rsidP="00090DF8">
      <w:pPr>
        <w:pStyle w:val="Heading3"/>
      </w:pPr>
      <w:r>
        <w:lastRenderedPageBreak/>
        <w:t xml:space="preserve">Regulation – Intentional </w:t>
      </w:r>
    </w:p>
    <w:p w:rsidR="00BD7347" w:rsidRDefault="00101F7D" w:rsidP="00101F7D">
      <w:pPr>
        <w:pStyle w:val="Heading4"/>
      </w:pPr>
      <w:r>
        <w:t>Has to be intentional</w:t>
      </w:r>
    </w:p>
    <w:p w:rsidR="00101F7D" w:rsidRDefault="00101F7D" w:rsidP="00101F7D">
      <w:r w:rsidRPr="00313265">
        <w:rPr>
          <w:rStyle w:val="Style13ptBold"/>
        </w:rPr>
        <w:t xml:space="preserve">Lodge and Koop </w:t>
      </w:r>
      <w:r>
        <w:rPr>
          <w:rStyle w:val="Style13ptBold"/>
        </w:rPr>
        <w:t>17</w:t>
      </w:r>
      <w:r>
        <w:t xml:space="preserve"> – Department of Political Economy @ King’s College London</w:t>
      </w:r>
    </w:p>
    <w:p w:rsidR="00101F7D" w:rsidRPr="00BD7347" w:rsidRDefault="00101F7D" w:rsidP="00101F7D">
      <w:r>
        <w:t>(Martin and Christel, “</w:t>
      </w:r>
      <w:r w:rsidRPr="00313265">
        <w:t>What is regulation? An interdisciplinary concept analysis</w:t>
      </w:r>
      <w:r>
        <w:t>,” March 1</w:t>
      </w:r>
      <w:r w:rsidRPr="00101F7D">
        <w:rPr>
          <w:vertAlign w:val="superscript"/>
        </w:rPr>
        <w:t>st</w:t>
      </w:r>
      <w:r>
        <w:t xml:space="preserve"> 2017, </w:t>
      </w:r>
      <w:r w:rsidRPr="00313265">
        <w:t>http://onlinelibrary.wiley.com/doi/10.1111/rego.12094/full</w:t>
      </w:r>
      <w:r>
        <w:t>)</w:t>
      </w:r>
    </w:p>
    <w:p w:rsidR="00101F7D" w:rsidRPr="00101F7D" w:rsidRDefault="00101F7D" w:rsidP="00101F7D">
      <w:r w:rsidRPr="00101F7D">
        <w:t xml:space="preserve">What can we now say about the concept? As noted, </w:t>
      </w:r>
      <w:r w:rsidRPr="00101F7D">
        <w:rPr>
          <w:rStyle w:val="StyleUnderline"/>
        </w:rPr>
        <w:t>most articles in our sample did not explicitly define regulation. Our study has, therefore, relied on a process of careful reading, coding, and comparing</w:t>
      </w:r>
      <w:r w:rsidRPr="00101F7D">
        <w:t xml:space="preserve">. Although there are many “maybe” answers, some features stand out. </w:t>
      </w:r>
      <w:r w:rsidRPr="00101F7D">
        <w:rPr>
          <w:rStyle w:val="StyleUnderline"/>
        </w:rPr>
        <w:t>First, regulation is seen as an intentional form of intervention by public-sector actors in economic activities</w:t>
      </w:r>
      <w:r w:rsidRPr="00101F7D">
        <w:t xml:space="preserve">. Private-sector regulators and non-economic activities feature less prominently but still attract attention. Far less attention is paid to public </w:t>
      </w:r>
      <w:proofErr w:type="spellStart"/>
      <w:r w:rsidRPr="00101F7D">
        <w:t>regulatees</w:t>
      </w:r>
      <w:proofErr w:type="spellEnd"/>
      <w:r w:rsidRPr="00101F7D">
        <w:t xml:space="preserve">; hardly any attention is attributed to whether regulation requires organizational separation of regulator and </w:t>
      </w:r>
      <w:proofErr w:type="spellStart"/>
      <w:r w:rsidRPr="00101F7D">
        <w:t>regulatee</w:t>
      </w:r>
      <w:proofErr w:type="spellEnd"/>
      <w:r w:rsidRPr="00101F7D">
        <w:t>. Finally, no major disciplinary differences are observed in the way regulation is conceptualized.</w:t>
      </w:r>
    </w:p>
    <w:p w:rsidR="00101F7D" w:rsidRPr="00101F7D" w:rsidRDefault="00101F7D" w:rsidP="00101F7D">
      <w:pPr>
        <w:rPr>
          <w:rStyle w:val="StyleUnderline"/>
        </w:rPr>
      </w:pPr>
      <w:r w:rsidRPr="00101F7D">
        <w:t xml:space="preserve">Depending on how much importance we wish to attribute to the main concerns of the articles we assessed, </w:t>
      </w:r>
      <w:r w:rsidRPr="00101F7D">
        <w:rPr>
          <w:rStyle w:val="StyleUnderline"/>
        </w:rPr>
        <w:t>we can distinguish two types of definitions that cut across disciplines – an essence-based and a pattern-based definition of regulation</w:t>
      </w:r>
      <w:r w:rsidRPr="00101F7D">
        <w:t xml:space="preserve">. These definitions are not meant to resolve debates once and for all, </w:t>
      </w:r>
      <w:r w:rsidRPr="00101F7D">
        <w:rPr>
          <w:rStyle w:val="StyleUnderline"/>
        </w:rPr>
        <w:t>but they give insight into the conceptualization of regulation in the literature</w:t>
      </w:r>
      <w:r w:rsidRPr="00101F7D">
        <w:t xml:space="preserve">. First, an essence-based definition aims to capture the minimal essence of the concept. It is a classical definition in the sense that it includes – and solely includes – </w:t>
      </w:r>
      <w:r w:rsidRPr="00101F7D">
        <w:rPr>
          <w:rStyle w:val="StyleUnderline"/>
        </w:rPr>
        <w:t>those elements without which regulation loses its identity; that is, those elements that need to be present for a phenomenon to qualify as regulation</w:t>
      </w:r>
      <w:r w:rsidRPr="00101F7D">
        <w:t xml:space="preserve"> (Collier &amp; Mahon Jr. </w:t>
      </w:r>
      <w:hyperlink r:id="rId78" w:anchor="rego12094-bib-0011" w:tooltip="Link to bibliographic citation" w:history="1">
        <w:r w:rsidRPr="00101F7D">
          <w:rPr>
            <w:rStyle w:val="Hyperlink"/>
          </w:rPr>
          <w:t>1993</w:t>
        </w:r>
      </w:hyperlink>
      <w:r w:rsidRPr="00101F7D">
        <w:t xml:space="preserve">). In our study, </w:t>
      </w:r>
      <w:r w:rsidRPr="00101F7D">
        <w:rPr>
          <w:rStyle w:val="StyleUnderline"/>
        </w:rPr>
        <w:t>it excludes those elements that scholars have explicitly excluded from regulation, while incorporating those where the balance is toward inclusion</w:t>
      </w:r>
      <w:r w:rsidRPr="00101F7D">
        <w:t xml:space="preserve">. Accordingly, </w:t>
      </w:r>
      <w:r w:rsidRPr="00101F7D">
        <w:rPr>
          <w:rStyle w:val="StyleUnderline"/>
        </w:rPr>
        <w:t xml:space="preserve">regulation can be defined </w:t>
      </w:r>
      <w:r w:rsidRPr="00101F7D">
        <w:rPr>
          <w:rStyle w:val="Emphasis"/>
        </w:rPr>
        <w:t>as the intentional intervention</w:t>
      </w:r>
      <w:r w:rsidRPr="00101F7D">
        <w:rPr>
          <w:rStyle w:val="StyleUnderline"/>
        </w:rPr>
        <w:t xml:space="preserve"> in the activities of a target population</w:t>
      </w:r>
      <w:r w:rsidRPr="00101F7D">
        <w:t xml:space="preserve">. </w:t>
      </w:r>
      <w:r w:rsidRPr="00101F7D">
        <w:rPr>
          <w:rStyle w:val="StyleUnderline"/>
        </w:rPr>
        <w:t xml:space="preserve">The intervention, which this definition refers to, can be direct and/or indirect, the activities can be economic and/or non-economic, the regulator may be a public-sector or private-sector actor, and the </w:t>
      </w:r>
      <w:proofErr w:type="spellStart"/>
      <w:r w:rsidRPr="00101F7D">
        <w:rPr>
          <w:rStyle w:val="StyleUnderline"/>
        </w:rPr>
        <w:t>regulatee</w:t>
      </w:r>
      <w:proofErr w:type="spellEnd"/>
      <w:r w:rsidRPr="00101F7D">
        <w:rPr>
          <w:rStyle w:val="StyleUnderline"/>
        </w:rPr>
        <w:t xml:space="preserve"> may equally be a public-sector or private-sector actor.</w:t>
      </w:r>
    </w:p>
    <w:p w:rsidR="00101F7D" w:rsidRPr="00101F7D" w:rsidRDefault="00101F7D" w:rsidP="00101F7D"/>
    <w:p w:rsidR="007D0341" w:rsidRDefault="007D0341" w:rsidP="0073716A">
      <w:pPr>
        <w:pStyle w:val="Heading2"/>
      </w:pPr>
      <w:proofErr w:type="spellStart"/>
      <w:r>
        <w:lastRenderedPageBreak/>
        <w:t>And/Or</w:t>
      </w:r>
      <w:proofErr w:type="spellEnd"/>
    </w:p>
    <w:p w:rsidR="007D0341" w:rsidRDefault="007D0341" w:rsidP="007D0341">
      <w:pPr>
        <w:pStyle w:val="Heading3"/>
      </w:pPr>
      <w:proofErr w:type="spellStart"/>
      <w:r>
        <w:lastRenderedPageBreak/>
        <w:t>And/Or</w:t>
      </w:r>
      <w:proofErr w:type="spellEnd"/>
      <w:r>
        <w:t xml:space="preserve"> – Either </w:t>
      </w:r>
    </w:p>
    <w:p w:rsidR="007D0341" w:rsidRDefault="007D0341" w:rsidP="007D0341">
      <w:pPr>
        <w:pStyle w:val="Heading4"/>
      </w:pPr>
      <w:proofErr w:type="spellStart"/>
      <w:r>
        <w:t>And/Or</w:t>
      </w:r>
      <w:proofErr w:type="spellEnd"/>
      <w:r>
        <w:t xml:space="preserve"> means either of the actions</w:t>
      </w:r>
    </w:p>
    <w:p w:rsidR="007D0341" w:rsidRDefault="007D0341" w:rsidP="007D0341">
      <w:pPr>
        <w:rPr>
          <w:rStyle w:val="Style13ptBold"/>
        </w:rPr>
      </w:pPr>
      <w:r>
        <w:rPr>
          <w:rStyle w:val="Style13ptBold"/>
        </w:rPr>
        <w:t>Merriam Webster Dictionary 14</w:t>
      </w:r>
    </w:p>
    <w:p w:rsidR="007D0341" w:rsidRPr="007D0341" w:rsidRDefault="007D0341" w:rsidP="007D0341">
      <w:r>
        <w:t xml:space="preserve">(Definition of And/Or, </w:t>
      </w:r>
      <w:r w:rsidRPr="007D0341">
        <w:t>https://www.merriam-webster.com/dictionary/and/or</w:t>
      </w:r>
      <w:r>
        <w:t>)</w:t>
      </w:r>
    </w:p>
    <w:p w:rsidR="007D0341" w:rsidRPr="007D0341" w:rsidRDefault="007D0341" w:rsidP="007D0341">
      <w:pPr>
        <w:rPr>
          <w:rStyle w:val="StyleUnderline"/>
        </w:rPr>
      </w:pPr>
      <w:r w:rsidRPr="007D0341">
        <w:rPr>
          <w:rStyle w:val="StyleUnderline"/>
        </w:rPr>
        <w:t xml:space="preserve">used as a function word to indicate that two words or expressions are to be taken together </w:t>
      </w:r>
      <w:r w:rsidRPr="007D0341">
        <w:rPr>
          <w:rStyle w:val="Emphasis"/>
        </w:rPr>
        <w:t>or individually</w:t>
      </w:r>
    </w:p>
    <w:p w:rsidR="00B91EA4" w:rsidRDefault="00054E36" w:rsidP="0073716A">
      <w:pPr>
        <w:pStyle w:val="Heading2"/>
      </w:pPr>
      <w:r>
        <w:lastRenderedPageBreak/>
        <w:t xml:space="preserve">Elementary </w:t>
      </w:r>
      <w:r w:rsidR="001566BE">
        <w:t xml:space="preserve">and Secondary </w:t>
      </w:r>
      <w:r>
        <w:t>Education</w:t>
      </w:r>
    </w:p>
    <w:p w:rsidR="00054E36" w:rsidRDefault="00AD5EEE" w:rsidP="00AD5EEE">
      <w:pPr>
        <w:pStyle w:val="Heading3"/>
      </w:pPr>
      <w:r>
        <w:lastRenderedPageBreak/>
        <w:t>Elementary Education – Definition</w:t>
      </w:r>
    </w:p>
    <w:p w:rsidR="00AD5EEE" w:rsidRDefault="00E65573" w:rsidP="00AD5EEE">
      <w:pPr>
        <w:pStyle w:val="Heading4"/>
      </w:pPr>
      <w:r>
        <w:t xml:space="preserve">Elementary education has to be </w:t>
      </w:r>
      <w:r w:rsidRPr="00E65573">
        <w:rPr>
          <w:u w:val="single"/>
        </w:rPr>
        <w:t>formal</w:t>
      </w:r>
      <w:r>
        <w:t xml:space="preserve"> and </w:t>
      </w:r>
      <w:r w:rsidRPr="00E65573">
        <w:rPr>
          <w:u w:val="single"/>
        </w:rPr>
        <w:t>organized</w:t>
      </w:r>
      <w:r>
        <w:t xml:space="preserve"> and is from the ages of six through twelve </w:t>
      </w:r>
    </w:p>
    <w:p w:rsidR="008C25EC" w:rsidRDefault="008C25EC" w:rsidP="008C25EC">
      <w:pPr>
        <w:rPr>
          <w:rFonts w:ascii="Arial" w:hAnsi="Arial" w:cs="Arial"/>
          <w:color w:val="222222"/>
          <w:sz w:val="20"/>
          <w:szCs w:val="20"/>
          <w:shd w:val="clear" w:color="auto" w:fill="FFFFFF"/>
        </w:rPr>
      </w:pPr>
      <w:proofErr w:type="spellStart"/>
      <w:r w:rsidRPr="008C25EC">
        <w:rPr>
          <w:rStyle w:val="Style13ptBold"/>
        </w:rPr>
        <w:t>Gutek</w:t>
      </w:r>
      <w:proofErr w:type="spellEnd"/>
      <w:r w:rsidRPr="008C25EC">
        <w:rPr>
          <w:rStyle w:val="Style13ptBold"/>
        </w:rPr>
        <w:t xml:space="preserve"> 15</w:t>
      </w:r>
      <w:r>
        <w:t xml:space="preserve"> – Professor E</w:t>
      </w:r>
      <w:r w:rsidRPr="008C25EC">
        <w:t>meritus @ Loyola University</w:t>
      </w:r>
      <w:r>
        <w:rPr>
          <w:rFonts w:ascii="Arial" w:hAnsi="Arial" w:cs="Arial"/>
          <w:color w:val="222222"/>
          <w:sz w:val="20"/>
          <w:szCs w:val="20"/>
          <w:shd w:val="clear" w:color="auto" w:fill="FFFFFF"/>
        </w:rPr>
        <w:t>.</w:t>
      </w:r>
    </w:p>
    <w:p w:rsidR="008C25EC" w:rsidRPr="008C25EC" w:rsidRDefault="008C25EC" w:rsidP="008C25EC">
      <w:r>
        <w:rPr>
          <w:rFonts w:ascii="Arial" w:hAnsi="Arial" w:cs="Arial"/>
          <w:color w:val="222222"/>
          <w:sz w:val="20"/>
          <w:szCs w:val="20"/>
          <w:shd w:val="clear" w:color="auto" w:fill="FFFFFF"/>
        </w:rPr>
        <w:t>(Gerald L, “</w:t>
      </w:r>
      <w:r w:rsidRPr="008C25EC">
        <w:t>Elementary Education - Current Trends, Preparation Of Teachers - HISTORY OF</w:t>
      </w:r>
      <w:r>
        <w:t xml:space="preserve">,” 2015, </w:t>
      </w:r>
      <w:hyperlink r:id="rId79" w:history="1">
        <w:r w:rsidRPr="000066A9">
          <w:rPr>
            <w:rStyle w:val="Hyperlink"/>
          </w:rPr>
          <w:t>http://education.stateuniversity.com/pages/1950/Elementary-Education.html</w:t>
        </w:r>
      </w:hyperlink>
      <w:r>
        <w:t>)</w:t>
      </w:r>
    </w:p>
    <w:p w:rsidR="00AD5EEE" w:rsidRPr="00AD5EEE" w:rsidRDefault="00AD5EEE" w:rsidP="008C25EC">
      <w:r w:rsidRPr="00AD5EEE">
        <w:t xml:space="preserve">Elementary schools exist worldwide as the basic foundational institution in the formal educational structure. </w:t>
      </w:r>
      <w:r w:rsidRPr="00AD5EEE">
        <w:rPr>
          <w:rStyle w:val="StyleUnderline"/>
        </w:rPr>
        <w:t xml:space="preserve">Elementary schooling, which prepares children in fundamental skills and knowledge areas, can be defined as the early stages of </w:t>
      </w:r>
      <w:r w:rsidRPr="00AD5EEE">
        <w:rPr>
          <w:rStyle w:val="Emphasis"/>
        </w:rPr>
        <w:t>formal, or organized, education</w:t>
      </w:r>
      <w:r w:rsidRPr="00AD5EEE">
        <w:rPr>
          <w:rStyle w:val="StyleUnderline"/>
        </w:rPr>
        <w:t xml:space="preserve"> that are prior to secondary school</w:t>
      </w:r>
      <w:r w:rsidRPr="00AD5EEE">
        <w:t xml:space="preserve">. </w:t>
      </w:r>
      <w:r w:rsidRPr="00AD5EEE">
        <w:rPr>
          <w:rStyle w:val="StyleUnderline"/>
        </w:rPr>
        <w:t>The age range of pupils who attend elementary schools in the United States is from six to twelve, thirteen, or fourteen,</w:t>
      </w:r>
      <w:r w:rsidRPr="00AD5EEE">
        <w:t xml:space="preserve"> depending on the organizational pattern of the particular state or school district. While a few, mainly small rural, districts, retain the traditional pattern of grades one through eight</w:t>
      </w:r>
      <w:r w:rsidRPr="008C25EC">
        <w:rPr>
          <w:rStyle w:val="StyleUnderline"/>
        </w:rPr>
        <w:t>, a more common pattern is grades one through six.</w:t>
      </w:r>
      <w:r w:rsidRPr="00AD5EEE">
        <w:t xml:space="preserve"> In most school districts as well as in many teacher preparation programs, </w:t>
      </w:r>
      <w:r w:rsidRPr="008C25EC">
        <w:rPr>
          <w:rStyle w:val="StyleUnderline"/>
        </w:rPr>
        <w:t xml:space="preserve">elementary education is organized into the following levels: primary, which includes kindergarten and grades one, two, and three; intermediate, which includes grades four, five, and six; and upper, </w:t>
      </w:r>
      <w:r w:rsidRPr="008C25EC">
        <w:rPr>
          <w:rStyle w:val="Emphasis"/>
        </w:rPr>
        <w:t>which includes grades seven and eight</w:t>
      </w:r>
      <w:r w:rsidRPr="00AD5EEE">
        <w:t>. A commonly found organizational pattern places grades seven and eight, and sometimes grade six and nine, into middle or junior high schools. When the middle school and junior high school pattern is followed, these institutions are usually linked into secondary education, encompassing grades six through twelve.</w:t>
      </w:r>
      <w:r w:rsidR="008C25EC">
        <w:t xml:space="preserve"> </w:t>
      </w:r>
      <w:r w:rsidRPr="00AD5EEE">
        <w:t xml:space="preserve">In comparing elementary schools in the United States with those of other countries, </w:t>
      </w:r>
      <w:r w:rsidRPr="008C25EC">
        <w:rPr>
          <w:rStyle w:val="StyleUnderline"/>
        </w:rPr>
        <w:t xml:space="preserve">some distinctions in terminology are necessary. In the United States, elementary education refers to children's </w:t>
      </w:r>
      <w:r w:rsidRPr="008C25EC">
        <w:rPr>
          <w:rStyle w:val="Emphasis"/>
        </w:rPr>
        <w:t>first formal schooling prior to secondary school</w:t>
      </w:r>
      <w:r w:rsidRPr="00AD5EEE">
        <w:t xml:space="preserve">. (Although kindergartens, enrolling children at age five, are part of public schools, attendance is not compulsory.) </w:t>
      </w:r>
      <w:r w:rsidRPr="008C25EC">
        <w:rPr>
          <w:rStyle w:val="StyleUnderline"/>
        </w:rPr>
        <w:t>In school systems in many other countries, the term primary covers what in the United States is designated as elementary schooling. In American elementary schools, the term primary refers to the first level, namely kindergarten through grades one, two, and three.</w:t>
      </w:r>
    </w:p>
    <w:p w:rsidR="008C25EC" w:rsidRDefault="008C25EC" w:rsidP="008C25EC">
      <w:pPr>
        <w:pStyle w:val="Heading3"/>
      </w:pPr>
      <w:r>
        <w:lastRenderedPageBreak/>
        <w:t>Elementary Education – First Three Years</w:t>
      </w:r>
    </w:p>
    <w:p w:rsidR="008C25EC" w:rsidRDefault="008C25EC" w:rsidP="008C25EC">
      <w:pPr>
        <w:pStyle w:val="Heading4"/>
      </w:pPr>
      <w:r>
        <w:t>Elementary Education is only the first three years</w:t>
      </w:r>
    </w:p>
    <w:p w:rsidR="008C25EC" w:rsidRDefault="008C25EC" w:rsidP="008C25EC">
      <w:r w:rsidRPr="008C25EC">
        <w:rPr>
          <w:rStyle w:val="Style13ptBold"/>
        </w:rPr>
        <w:t>Encyclopedia Britannica 16</w:t>
      </w:r>
      <w:r>
        <w:t xml:space="preserve"> – General Knowledge English-language Encyclopedia </w:t>
      </w:r>
    </w:p>
    <w:p w:rsidR="008C25EC" w:rsidRPr="008C25EC" w:rsidRDefault="008C25EC" w:rsidP="008C25EC">
      <w:r>
        <w:t>(Britannia, “Elementary E</w:t>
      </w:r>
      <w:r w:rsidRPr="008C25EC">
        <w:t>ducation</w:t>
      </w:r>
      <w:r>
        <w:t>,” January 26</w:t>
      </w:r>
      <w:r w:rsidRPr="008C25EC">
        <w:rPr>
          <w:vertAlign w:val="superscript"/>
        </w:rPr>
        <w:t>th</w:t>
      </w:r>
      <w:r>
        <w:t xml:space="preserve"> 2016,</w:t>
      </w:r>
      <w:r w:rsidRPr="008C25EC">
        <w:t xml:space="preserve"> https://www.britannica.com/topic/elementary-education</w:t>
      </w:r>
      <w:r>
        <w:t>)</w:t>
      </w:r>
    </w:p>
    <w:p w:rsidR="008C25EC" w:rsidRPr="008C25EC" w:rsidRDefault="008C25EC" w:rsidP="008C25EC">
      <w:pPr>
        <w:rPr>
          <w:rStyle w:val="StyleUnderline"/>
        </w:rPr>
      </w:pPr>
      <w:r w:rsidRPr="008C25EC">
        <w:t>Elementary education, also called primary education, the first stage traditionally found in formal </w:t>
      </w:r>
      <w:hyperlink r:id="rId80" w:history="1">
        <w:r w:rsidRPr="008C25EC">
          <w:rPr>
            <w:rStyle w:val="Hyperlink"/>
          </w:rPr>
          <w:t>education</w:t>
        </w:r>
      </w:hyperlink>
      <w:r w:rsidRPr="008C25EC">
        <w:t>, beginning at about age 5 to 7 and ending at about age 11 to 13. In the </w:t>
      </w:r>
      <w:hyperlink r:id="rId81" w:history="1">
        <w:r w:rsidRPr="008C25EC">
          <w:rPr>
            <w:rStyle w:val="Hyperlink"/>
          </w:rPr>
          <w:t>United Kingdom</w:t>
        </w:r>
      </w:hyperlink>
      <w:r w:rsidRPr="008C25EC">
        <w:t> and some other countries, the term primary is used instead of elementary</w:t>
      </w:r>
      <w:r w:rsidRPr="008C25EC">
        <w:rPr>
          <w:rStyle w:val="StyleUnderline"/>
        </w:rPr>
        <w:t xml:space="preserve">. In the United States the term primary customarily </w:t>
      </w:r>
      <w:r w:rsidRPr="008C25EC">
        <w:rPr>
          <w:rStyle w:val="Emphasis"/>
        </w:rPr>
        <w:t>refers to only the first three years of elementary education</w:t>
      </w:r>
      <w:r w:rsidRPr="008C25EC">
        <w:rPr>
          <w:rStyle w:val="StyleUnderline"/>
        </w:rPr>
        <w:t>—i.e., grades 1 to 3. Elementary education is often preceded by some form of preschool for </w:t>
      </w:r>
      <w:bookmarkStart w:id="1" w:name="ref239377"/>
      <w:bookmarkEnd w:id="1"/>
      <w:r w:rsidRPr="008C25EC">
        <w:rPr>
          <w:rStyle w:val="StyleUnderline"/>
        </w:rPr>
        <w:fldChar w:fldCharType="begin"/>
      </w:r>
      <w:r w:rsidRPr="008C25EC">
        <w:rPr>
          <w:rStyle w:val="StyleUnderline"/>
        </w:rPr>
        <w:instrText xml:space="preserve"> HYPERLINK "https://www.britannica.com/science/childhood" </w:instrText>
      </w:r>
      <w:r w:rsidRPr="008C25EC">
        <w:rPr>
          <w:rStyle w:val="StyleUnderline"/>
        </w:rPr>
        <w:fldChar w:fldCharType="separate"/>
      </w:r>
      <w:r w:rsidRPr="008C25EC">
        <w:rPr>
          <w:rStyle w:val="StyleUnderline"/>
        </w:rPr>
        <w:t>children</w:t>
      </w:r>
      <w:r w:rsidRPr="008C25EC">
        <w:rPr>
          <w:rStyle w:val="StyleUnderline"/>
        </w:rPr>
        <w:fldChar w:fldCharType="end"/>
      </w:r>
      <w:r w:rsidRPr="008C25EC">
        <w:rPr>
          <w:rStyle w:val="StyleUnderline"/>
        </w:rPr>
        <w:t> age 3 to 5 or 6 and is often followed by </w:t>
      </w:r>
      <w:hyperlink r:id="rId82" w:history="1">
        <w:r w:rsidRPr="008C25EC">
          <w:rPr>
            <w:rStyle w:val="StyleUnderline"/>
          </w:rPr>
          <w:t>secondary education</w:t>
        </w:r>
      </w:hyperlink>
      <w:r w:rsidRPr="008C25EC">
        <w:rPr>
          <w:rStyle w:val="StyleUnderline"/>
        </w:rPr>
        <w:t>.</w:t>
      </w:r>
    </w:p>
    <w:p w:rsidR="008C25EC" w:rsidRDefault="008C25EC" w:rsidP="00B4553C">
      <w:pPr>
        <w:pStyle w:val="Heading3"/>
      </w:pPr>
      <w:r w:rsidRPr="008C25EC">
        <w:lastRenderedPageBreak/>
        <w:br/>
      </w:r>
      <w:r w:rsidR="00B4553C">
        <w:t>Elementary Education – Not Early Childhood Education</w:t>
      </w:r>
    </w:p>
    <w:p w:rsidR="00B4553C" w:rsidRDefault="00B4553C" w:rsidP="00B4553C">
      <w:pPr>
        <w:pStyle w:val="Heading4"/>
      </w:pPr>
      <w:r>
        <w:t>There is a distinction between elementary education and early childhood education</w:t>
      </w:r>
    </w:p>
    <w:p w:rsidR="00B4553C" w:rsidRPr="00B4553C" w:rsidRDefault="00B4553C" w:rsidP="00B4553C">
      <w:r w:rsidRPr="00B4553C">
        <w:rPr>
          <w:rStyle w:val="Style13ptBold"/>
        </w:rPr>
        <w:t>Flavin 16</w:t>
      </w:r>
      <w:r>
        <w:t xml:space="preserve"> –</w:t>
      </w:r>
      <w:r w:rsidRPr="00B4553C">
        <w:t xml:space="preserve"> </w:t>
      </w:r>
      <w:r>
        <w:t>F</w:t>
      </w:r>
      <w:r w:rsidRPr="00B4553C">
        <w:t xml:space="preserve">reelance writer for </w:t>
      </w:r>
      <w:proofErr w:type="spellStart"/>
      <w:r w:rsidRPr="00B4553C">
        <w:t>Collegis</w:t>
      </w:r>
      <w:proofErr w:type="spellEnd"/>
      <w:r w:rsidRPr="00B4553C">
        <w:t xml:space="preserve"> Education</w:t>
      </w:r>
    </w:p>
    <w:p w:rsidR="00B4553C" w:rsidRPr="00B4553C" w:rsidRDefault="00B4553C" w:rsidP="00B4553C">
      <w:r>
        <w:t>(Brianna, “</w:t>
      </w:r>
      <w:r w:rsidRPr="00B4553C">
        <w:t>Early Childhood Education vs. Elementary Education: Which Environment is Right for You?</w:t>
      </w:r>
      <w:r>
        <w:t xml:space="preserve">” 5/23/16, </w:t>
      </w:r>
      <w:r w:rsidRPr="00B4553C">
        <w:t>http://www.rasmussen.edu/degrees/education/blog/early-childhood-education-vs-elementary-education/</w:t>
      </w:r>
      <w:r>
        <w:t>)</w:t>
      </w:r>
    </w:p>
    <w:p w:rsidR="00B4553C" w:rsidRPr="00B4553C" w:rsidRDefault="00B4553C" w:rsidP="00B4553C">
      <w:r w:rsidRPr="00B4553C">
        <w:rPr>
          <w:rStyle w:val="StyleUnderline"/>
        </w:rPr>
        <w:t>Early childhood education (ECE) focuses</w:t>
      </w:r>
      <w:r>
        <w:rPr>
          <w:rStyle w:val="StyleUnderline"/>
        </w:rPr>
        <w:t xml:space="preserve"> </w:t>
      </w:r>
      <w:r w:rsidRPr="00B4553C">
        <w:rPr>
          <w:rStyle w:val="StyleUnderline"/>
        </w:rPr>
        <w:t xml:space="preserve">on the academic, social and cognitive skills that develop in children </w:t>
      </w:r>
      <w:r w:rsidRPr="00B4553C">
        <w:rPr>
          <w:rStyle w:val="Emphasis"/>
        </w:rPr>
        <w:t>from birth through preschool</w:t>
      </w:r>
      <w:r w:rsidRPr="00B4553C">
        <w:t xml:space="preserve">. </w:t>
      </w:r>
      <w:r w:rsidRPr="00B4553C">
        <w:rPr>
          <w:rStyle w:val="StyleUnderline"/>
        </w:rPr>
        <w:t>Elementary education</w:t>
      </w:r>
      <w:r>
        <w:rPr>
          <w:rStyle w:val="StyleUnderline"/>
        </w:rPr>
        <w:t xml:space="preserve"> </w:t>
      </w:r>
      <w:r w:rsidRPr="00B4553C">
        <w:rPr>
          <w:rStyle w:val="StyleUnderline"/>
        </w:rPr>
        <w:t>refers to the primary education that comes after preschool but before middle school (</w:t>
      </w:r>
      <w:r w:rsidRPr="00B4553C">
        <w:rPr>
          <w:rStyle w:val="Emphasis"/>
        </w:rPr>
        <w:t>typically kindergarten through fifth or sixth grade</w:t>
      </w:r>
      <w:r w:rsidRPr="00B4553C">
        <w:rPr>
          <w:rStyle w:val="StyleUnderline"/>
        </w:rPr>
        <w:t>.)</w:t>
      </w:r>
      <w:r>
        <w:rPr>
          <w:rStyle w:val="StyleUnderline"/>
        </w:rPr>
        <w:t xml:space="preserve"> </w:t>
      </w:r>
      <w:r w:rsidRPr="00B4553C">
        <w:rPr>
          <w:rStyle w:val="Emphasis"/>
        </w:rPr>
        <w:t>There are definite distinctions</w:t>
      </w:r>
      <w:r w:rsidRPr="00B4553C">
        <w:rPr>
          <w:rStyle w:val="StyleUnderline"/>
        </w:rPr>
        <w:t xml:space="preserve"> between the two sectors that are important to understand</w:t>
      </w:r>
      <w:r w:rsidRPr="00B4553C">
        <w:t>. We’re here to help you make an informed decision about early childhood education versus elementary education. We combined government information, real-time job market data and expert insight to provide you a side-by-side comparison below.</w:t>
      </w:r>
    </w:p>
    <w:p w:rsidR="00D41551" w:rsidRDefault="00D41551" w:rsidP="003C5F88">
      <w:pPr>
        <w:pStyle w:val="Heading3"/>
      </w:pPr>
      <w:r>
        <w:lastRenderedPageBreak/>
        <w:t>Elementary Education – Years</w:t>
      </w:r>
    </w:p>
    <w:p w:rsidR="00D41551" w:rsidRDefault="00D41551" w:rsidP="00D41551">
      <w:pPr>
        <w:pStyle w:val="Heading4"/>
      </w:pPr>
      <w:r>
        <w:t>Elementary education is the first 6 to eight years</w:t>
      </w:r>
    </w:p>
    <w:p w:rsidR="00D41551" w:rsidRPr="00D41551" w:rsidRDefault="00D41551" w:rsidP="00D41551">
      <w:pPr>
        <w:rPr>
          <w:rStyle w:val="Style13ptBold"/>
        </w:rPr>
      </w:pPr>
      <w:r>
        <w:rPr>
          <w:rStyle w:val="Style13ptBold"/>
        </w:rPr>
        <w:t>Harper Collins Dictionary 17</w:t>
      </w:r>
    </w:p>
    <w:p w:rsidR="00D41551" w:rsidRPr="00D41551" w:rsidRDefault="00D41551" w:rsidP="00D41551">
      <w:r>
        <w:t>(“</w:t>
      </w:r>
      <w:r w:rsidRPr="00D41551">
        <w:t>Defi</w:t>
      </w:r>
      <w:r>
        <w:t xml:space="preserve">nition of 'elementary education,” </w:t>
      </w:r>
      <w:r w:rsidRPr="00D41551">
        <w:t>https://www.collinsdictionary.com/us/dictionary/english/elementary-education</w:t>
      </w:r>
      <w:r>
        <w:t>)</w:t>
      </w:r>
    </w:p>
    <w:p w:rsidR="00D41551" w:rsidRPr="00D41551" w:rsidRDefault="00D41551" w:rsidP="00D41551">
      <w:pPr>
        <w:rPr>
          <w:rStyle w:val="StyleUnderline"/>
        </w:rPr>
      </w:pPr>
      <w:r w:rsidRPr="00D41551">
        <w:rPr>
          <w:rStyle w:val="StyleUnderline"/>
        </w:rPr>
        <w:t>the first </w:t>
      </w:r>
      <w:hyperlink r:id="rId83" w:tooltip="Definition of six" w:history="1">
        <w:r w:rsidRPr="00D41551">
          <w:rPr>
            <w:rStyle w:val="StyleUnderline"/>
          </w:rPr>
          <w:t>six</w:t>
        </w:r>
      </w:hyperlink>
      <w:r w:rsidRPr="00D41551">
        <w:rPr>
          <w:rStyle w:val="StyleUnderline"/>
        </w:rPr>
        <w:t> to </w:t>
      </w:r>
      <w:hyperlink r:id="rId84" w:tooltip="Definition of eight" w:history="1">
        <w:r w:rsidRPr="00D41551">
          <w:rPr>
            <w:rStyle w:val="StyleUnderline"/>
          </w:rPr>
          <w:t>eight</w:t>
        </w:r>
      </w:hyperlink>
      <w:r w:rsidRPr="00D41551">
        <w:rPr>
          <w:rStyle w:val="StyleUnderline"/>
        </w:rPr>
        <w:t> years of a child's </w:t>
      </w:r>
      <w:hyperlink r:id="rId85" w:tooltip="Definition of education" w:history="1">
        <w:r w:rsidRPr="00D41551">
          <w:rPr>
            <w:rStyle w:val="StyleUnderline"/>
          </w:rPr>
          <w:t>education</w:t>
        </w:r>
      </w:hyperlink>
    </w:p>
    <w:p w:rsidR="00B4553C" w:rsidRDefault="003C5F88" w:rsidP="003C5F88">
      <w:pPr>
        <w:pStyle w:val="Heading3"/>
      </w:pPr>
      <w:r>
        <w:lastRenderedPageBreak/>
        <w:t>Elementary Education – Varies</w:t>
      </w:r>
    </w:p>
    <w:p w:rsidR="003C5F88" w:rsidRDefault="00626806" w:rsidP="003C5F88">
      <w:pPr>
        <w:pStyle w:val="Heading4"/>
        <w:rPr>
          <w:u w:val="single"/>
        </w:rPr>
      </w:pPr>
      <w:r>
        <w:t>**</w:t>
      </w:r>
      <w:r w:rsidR="003C5F88">
        <w:t xml:space="preserve">It varies from K-6 to K-8 there isn’t a </w:t>
      </w:r>
      <w:r w:rsidR="003C5F88" w:rsidRPr="003C5F88">
        <w:rPr>
          <w:u w:val="single"/>
        </w:rPr>
        <w:t>national definition</w:t>
      </w:r>
    </w:p>
    <w:p w:rsidR="00626806" w:rsidRDefault="00626806" w:rsidP="00626806">
      <w:r w:rsidRPr="00626806">
        <w:rPr>
          <w:rStyle w:val="Style13ptBold"/>
        </w:rPr>
        <w:t>Boundless 16</w:t>
      </w:r>
      <w:r w:rsidR="001566BE">
        <w:t xml:space="preserve"> </w:t>
      </w:r>
    </w:p>
    <w:p w:rsidR="00626806" w:rsidRPr="00626806" w:rsidRDefault="00626806" w:rsidP="00626806">
      <w:r>
        <w:t xml:space="preserve">(Boundless, "Elementary Education,” </w:t>
      </w:r>
      <w:r w:rsidRPr="00626806">
        <w:t>26 May. 2016</w:t>
      </w:r>
      <w:r>
        <w:t xml:space="preserve"> </w:t>
      </w:r>
      <w:r w:rsidRPr="00626806">
        <w:t>https://www.boundless.com/education/textbooks/boundless-education-textbook/types-of-teaching-2/roles-in-k12-education-10/elementary-education-37-12967/</w:t>
      </w:r>
      <w:r>
        <w:t>)</w:t>
      </w:r>
    </w:p>
    <w:p w:rsidR="003C5F88" w:rsidRPr="003C5F88" w:rsidRDefault="003C5F88" w:rsidP="003C5F88">
      <w:r w:rsidRPr="003C5F88">
        <w:rPr>
          <w:rStyle w:val="StyleUnderline"/>
        </w:rPr>
        <w:t xml:space="preserve">Elementary school has always been </w:t>
      </w:r>
      <w:r w:rsidRPr="003C5F88">
        <w:rPr>
          <w:rStyle w:val="Emphasis"/>
        </w:rPr>
        <w:t>the main point of delivery for </w:t>
      </w:r>
      <w:hyperlink r:id="rId86" w:history="1">
        <w:r w:rsidRPr="003C5F88">
          <w:rPr>
            <w:rStyle w:val="Emphasis"/>
          </w:rPr>
          <w:t>primary education</w:t>
        </w:r>
      </w:hyperlink>
      <w:r w:rsidRPr="003C5F88">
        <w:rPr>
          <w:rStyle w:val="StyleUnderline"/>
        </w:rPr>
        <w:t>; and high school has always been the focal point of </w:t>
      </w:r>
      <w:hyperlink r:id="rId87" w:history="1">
        <w:r w:rsidRPr="003C5F88">
          <w:rPr>
            <w:rStyle w:val="StyleUnderline"/>
          </w:rPr>
          <w:t>secondary education</w:t>
        </w:r>
      </w:hyperlink>
      <w:r w:rsidRPr="003C5F88">
        <w:t xml:space="preserve">. Primary education tends to focus on basic academic learning and socialization skills. Elementary school (or "primary school") introduces children to the broad range of knowledge, skills, and behavioral adjustment they need to succeed in life and, particularly, in secondary school. </w:t>
      </w:r>
      <w:r w:rsidRPr="00626806">
        <w:rPr>
          <w:rStyle w:val="StyleUnderline"/>
        </w:rPr>
        <w:t xml:space="preserve">Elementary school professionals generally work with students from kindergarten through the sixth grade (K-6). However, it is important to note that the definition of elementary education </w:t>
      </w:r>
      <w:r w:rsidRPr="00626806">
        <w:rPr>
          <w:rStyle w:val="Emphasis"/>
        </w:rPr>
        <w:t>may differ slightly from state to state</w:t>
      </w:r>
      <w:r w:rsidRPr="00626806">
        <w:rPr>
          <w:rStyle w:val="StyleUnderline"/>
        </w:rPr>
        <w:t>.</w:t>
      </w:r>
      <w:r w:rsidRPr="003C5F88">
        <w:t xml:space="preserve"> For example, </w:t>
      </w:r>
      <w:r w:rsidRPr="00626806">
        <w:rPr>
          <w:rStyle w:val="StyleUnderline"/>
        </w:rPr>
        <w:t xml:space="preserve">many states define elementary education as ranging from grades K-6, while other states </w:t>
      </w:r>
      <w:r w:rsidRPr="00626806">
        <w:rPr>
          <w:rStyle w:val="Emphasis"/>
        </w:rPr>
        <w:t>include grades K-8</w:t>
      </w:r>
      <w:r w:rsidRPr="003C5F88">
        <w:t>. Regardless of how the term "elementary" is defined, primary school teachers in all states are responsible for instructing one class of children in multiple subjects while helping them with intellectual and emotional development in their early academic years. Teachers are expected to be able to teach all of the </w:t>
      </w:r>
      <w:hyperlink r:id="rId88" w:history="1">
        <w:r w:rsidRPr="003C5F88">
          <w:rPr>
            <w:rStyle w:val="Hyperlink"/>
          </w:rPr>
          <w:t>core subject</w:t>
        </w:r>
      </w:hyperlink>
      <w:r w:rsidRPr="003C5F88">
        <w:t> areas - reading and writing, mathematics, languages, science, social studies, and art.</w:t>
      </w:r>
    </w:p>
    <w:p w:rsidR="003C5F88" w:rsidRPr="003C5F88" w:rsidRDefault="003C5F88" w:rsidP="003C5F88"/>
    <w:p w:rsidR="0064034C" w:rsidRDefault="0064034C" w:rsidP="0064034C">
      <w:pPr>
        <w:pStyle w:val="Heading3"/>
      </w:pPr>
      <w:r>
        <w:lastRenderedPageBreak/>
        <w:t>Secondary Education – Ages</w:t>
      </w:r>
    </w:p>
    <w:p w:rsidR="0064034C" w:rsidRDefault="0064034C" w:rsidP="0064034C">
      <w:pPr>
        <w:pStyle w:val="Heading4"/>
      </w:pPr>
      <w:r>
        <w:t>Secondary education is from ages 11 through 18</w:t>
      </w:r>
    </w:p>
    <w:p w:rsidR="0064034C" w:rsidRDefault="0064034C" w:rsidP="0064034C">
      <w:pPr>
        <w:rPr>
          <w:rStyle w:val="Style13ptBold"/>
        </w:rPr>
      </w:pPr>
      <w:r w:rsidRPr="0064034C">
        <w:rPr>
          <w:rStyle w:val="Style13ptBold"/>
        </w:rPr>
        <w:t xml:space="preserve">Harper Collin’s Dictionary 17 </w:t>
      </w:r>
    </w:p>
    <w:p w:rsidR="0064034C" w:rsidRPr="0064034C" w:rsidRDefault="0064034C" w:rsidP="0064034C">
      <w:pPr>
        <w:rPr>
          <w:b/>
          <w:bCs/>
          <w:sz w:val="26"/>
        </w:rPr>
      </w:pPr>
      <w:r>
        <w:t>(“Definition of Secondary Education,”</w:t>
      </w:r>
      <w:r w:rsidRPr="0064034C">
        <w:t>https://www.collinsdictionary.com/us/dictionary/english/secondary-education</w:t>
      </w:r>
      <w:r>
        <w:t>)</w:t>
      </w:r>
    </w:p>
    <w:p w:rsidR="0064034C" w:rsidRPr="0064034C" w:rsidRDefault="00E057D8" w:rsidP="0064034C">
      <w:pPr>
        <w:rPr>
          <w:rStyle w:val="StyleUnderline"/>
        </w:rPr>
      </w:pPr>
      <w:hyperlink r:id="rId89" w:tooltip="Definition of education" w:history="1">
        <w:r w:rsidR="0064034C" w:rsidRPr="0064034C">
          <w:rPr>
            <w:rStyle w:val="StyleUnderline"/>
          </w:rPr>
          <w:t>education</w:t>
        </w:r>
      </w:hyperlink>
      <w:r w:rsidR="0064034C" w:rsidRPr="0064034C">
        <w:rPr>
          <w:rStyle w:val="StyleUnderline"/>
        </w:rPr>
        <w:t> for </w:t>
      </w:r>
      <w:hyperlink r:id="rId90" w:tooltip="Definition of pupils" w:history="1">
        <w:r w:rsidR="0064034C" w:rsidRPr="0064034C">
          <w:rPr>
            <w:rStyle w:val="StyleUnderline"/>
          </w:rPr>
          <w:t>pupils</w:t>
        </w:r>
      </w:hyperlink>
      <w:r w:rsidR="0064034C" w:rsidRPr="0064034C">
        <w:rPr>
          <w:rStyle w:val="StyleUnderline"/>
        </w:rPr>
        <w:t> between the ages of 11 and 18</w:t>
      </w:r>
    </w:p>
    <w:p w:rsidR="00B63916" w:rsidRDefault="00B63916" w:rsidP="00B63916">
      <w:pPr>
        <w:pStyle w:val="Heading3"/>
      </w:pPr>
      <w:r>
        <w:lastRenderedPageBreak/>
        <w:t>Secondary Education Grades</w:t>
      </w:r>
    </w:p>
    <w:p w:rsidR="00B63916" w:rsidRDefault="00B63916" w:rsidP="00B63916">
      <w:pPr>
        <w:pStyle w:val="Heading4"/>
      </w:pPr>
      <w:r>
        <w:t>Secondary education starts from 7</w:t>
      </w:r>
      <w:r w:rsidRPr="00B63916">
        <w:rPr>
          <w:vertAlign w:val="superscript"/>
        </w:rPr>
        <w:t>th</w:t>
      </w:r>
      <w:r>
        <w:t xml:space="preserve"> grade</w:t>
      </w:r>
    </w:p>
    <w:p w:rsidR="00B63916" w:rsidRDefault="00B63916" w:rsidP="00B63916">
      <w:r w:rsidRPr="00FD5858">
        <w:rPr>
          <w:rStyle w:val="Style13ptBold"/>
        </w:rPr>
        <w:t>Cook 7</w:t>
      </w:r>
      <w:r>
        <w:t xml:space="preserve"> – Professor @ Duke in Economics, Sociology and Sanford School of Public Policy </w:t>
      </w:r>
    </w:p>
    <w:p w:rsidR="00FD5858" w:rsidRPr="00FD5858" w:rsidRDefault="00B63916" w:rsidP="00FD5858">
      <w:r w:rsidRPr="00FD5858">
        <w:t xml:space="preserve">(Philip, Robert </w:t>
      </w:r>
      <w:proofErr w:type="spellStart"/>
      <w:r w:rsidRPr="00FD5858">
        <w:t>MacCoun</w:t>
      </w:r>
      <w:proofErr w:type="spellEnd"/>
      <w:r w:rsidRPr="00FD5858">
        <w:t xml:space="preserve"> Clara </w:t>
      </w:r>
      <w:proofErr w:type="spellStart"/>
      <w:r w:rsidRPr="00FD5858">
        <w:t>Muschkin</w:t>
      </w:r>
      <w:proofErr w:type="spellEnd"/>
      <w:r w:rsidRPr="00FD5858">
        <w:t xml:space="preserve"> Jacob </w:t>
      </w:r>
      <w:proofErr w:type="spellStart"/>
      <w:r w:rsidRPr="00FD5858">
        <w:t>Vidgor</w:t>
      </w:r>
      <w:proofErr w:type="spellEnd"/>
      <w:r w:rsidR="00FD5858" w:rsidRPr="00FD5858">
        <w:t xml:space="preserve">, </w:t>
      </w:r>
      <w:r w:rsidRPr="00FD5858">
        <w:t xml:space="preserve">“Should Sixth Grade be in Elementary or Middle School?” </w:t>
      </w:r>
      <w:r w:rsidR="00FD5858" w:rsidRPr="00FD5858">
        <w:t xml:space="preserve">Feb 9th 2007, </w:t>
      </w:r>
      <w:hyperlink r:id="rId91" w:history="1">
        <w:r w:rsidRPr="00FD5858">
          <w:rPr>
            <w:rStyle w:val="Hyperlink"/>
          </w:rPr>
          <w:t>https://web.archive.org/web/20100612125047/http://www.sanford.duke.edu/research/papers/SAN07-01.pdf</w:t>
        </w:r>
      </w:hyperlink>
      <w:r w:rsidRPr="00FD5858">
        <w:t xml:space="preserve"> </w:t>
      </w:r>
    </w:p>
    <w:p w:rsidR="00B63916" w:rsidRPr="00B63916" w:rsidRDefault="00FD5858" w:rsidP="00B63916">
      <w:r>
        <w:t xml:space="preserve">Is there a best </w:t>
      </w:r>
      <w:r w:rsidR="00B63916">
        <w:t>configuration for schools that serve early adolescents? If so, what is it</w:t>
      </w:r>
      <w:r w:rsidR="00B63916" w:rsidRPr="00B63916">
        <w:rPr>
          <w:rStyle w:val="StyleUnderline"/>
        </w:rPr>
        <w:t>? Using past policy decisions as a guide, conventional wisdom on the answers to these questions has changed several times during the past century</w:t>
      </w:r>
      <w:r w:rsidR="00B63916">
        <w:t xml:space="preserve">. </w:t>
      </w:r>
      <w:r w:rsidR="00B63916" w:rsidRPr="00B63916">
        <w:rPr>
          <w:rStyle w:val="StyleUnderline"/>
        </w:rPr>
        <w:t xml:space="preserve">At the beginning of the twentieth century, school configuration in the United States began moving away from an eight-year primary and four-year secondary model, </w:t>
      </w:r>
      <w:r w:rsidR="00B63916" w:rsidRPr="00B63916">
        <w:rPr>
          <w:rStyle w:val="Emphasis"/>
        </w:rPr>
        <w:t>toward a definition of secondary education as beginning in 7th grade</w:t>
      </w:r>
      <w:r w:rsidR="00B63916">
        <w:t xml:space="preserve">. </w:t>
      </w:r>
      <w:r w:rsidR="00B63916" w:rsidRPr="00B63916">
        <w:rPr>
          <w:rStyle w:val="StyleUnderline"/>
        </w:rPr>
        <w:t>At that time and continuing through mid-century middle schools known as “junior high” (grades 7-9 or 7-8) were the norm</w:t>
      </w:r>
      <w:r w:rsidR="00B63916">
        <w:t xml:space="preserve"> (Goldin 1999). This arrangement was intended to create a transitional period between the sheltered elementary school and the more demanding high school environment (Juvonen et al 2014) </w:t>
      </w:r>
    </w:p>
    <w:p w:rsidR="00FD5858" w:rsidRDefault="00FD5858" w:rsidP="00F44345">
      <w:pPr>
        <w:pStyle w:val="Heading3"/>
      </w:pPr>
      <w:r>
        <w:lastRenderedPageBreak/>
        <w:t>Secondary Education</w:t>
      </w:r>
      <w:r w:rsidR="00F95394">
        <w:t xml:space="preserve"> – Distinct From Postsecondary</w:t>
      </w:r>
    </w:p>
    <w:p w:rsidR="00F95394" w:rsidRDefault="00F95394" w:rsidP="00F95394">
      <w:pPr>
        <w:pStyle w:val="Heading4"/>
      </w:pPr>
      <w:r>
        <w:t>Secondary education is distinct from postsecondary education</w:t>
      </w:r>
    </w:p>
    <w:p w:rsidR="00F95394" w:rsidRDefault="00F95394" w:rsidP="00F95394">
      <w:r w:rsidRPr="00F95394">
        <w:rPr>
          <w:rStyle w:val="Style13ptBold"/>
        </w:rPr>
        <w:t>Lee 12</w:t>
      </w:r>
      <w:r>
        <w:t xml:space="preserve"> – MA in Philosophy, and Global Affairs </w:t>
      </w:r>
    </w:p>
    <w:p w:rsidR="00F95394" w:rsidRPr="00F95394" w:rsidRDefault="00F95394" w:rsidP="00F95394">
      <w:r>
        <w:t>(Christina, “</w:t>
      </w:r>
      <w:r w:rsidRPr="00F95394">
        <w:t>Difference Between Secondary and Postsecondary Education</w:t>
      </w:r>
      <w:r>
        <w:t xml:space="preserve">,” </w:t>
      </w:r>
      <w:r w:rsidRPr="00F95394">
        <w:t>http://classroom.synonym.com/difference-between-secondary-postsecondary-education-1288.html</w:t>
      </w:r>
      <w:r>
        <w:t>)</w:t>
      </w:r>
    </w:p>
    <w:p w:rsidR="00FD5858" w:rsidRPr="00FD5858" w:rsidRDefault="00FD5858" w:rsidP="00FD5858">
      <w:r w:rsidRPr="00FD5858">
        <w:t>Secondary Education</w:t>
      </w:r>
    </w:p>
    <w:p w:rsidR="00FD5858" w:rsidRPr="00FD5858" w:rsidRDefault="00FD5858" w:rsidP="00FD5858">
      <w:r w:rsidRPr="00F95394">
        <w:rPr>
          <w:rStyle w:val="StyleUnderline"/>
        </w:rPr>
        <w:t xml:space="preserve">Secondary education refers to schooling that takes place during the middle and high school years, </w:t>
      </w:r>
      <w:r w:rsidRPr="00F95394">
        <w:rPr>
          <w:rStyle w:val="Emphasis"/>
        </w:rPr>
        <w:t>between sixth and twelfth grad</w:t>
      </w:r>
      <w:r w:rsidRPr="00F95394">
        <w:rPr>
          <w:rStyle w:val="StyleUnderline"/>
        </w:rPr>
        <w:t>e</w:t>
      </w:r>
      <w:r w:rsidRPr="00FD5858">
        <w:t>. It is divided into courses in English, mathematics, social studies, science and foreign language. For some, secondary education includes electives such as music or drama</w:t>
      </w:r>
      <w:r w:rsidRPr="00F95394">
        <w:rPr>
          <w:rStyle w:val="StyleUnderline"/>
        </w:rPr>
        <w:t>. In the U.S., public secondary education is free and available to all. Secondary education is compulsory in the U.S. through the age of 16.</w:t>
      </w:r>
    </w:p>
    <w:p w:rsidR="00FD5858" w:rsidRPr="00FD5858" w:rsidRDefault="00FD5858" w:rsidP="00FD5858">
      <w:r w:rsidRPr="00FD5858">
        <w:t>Postsecondary</w:t>
      </w:r>
    </w:p>
    <w:p w:rsidR="00FD5858" w:rsidRPr="00F95394" w:rsidRDefault="00FD5858" w:rsidP="00FD5858">
      <w:pPr>
        <w:rPr>
          <w:rStyle w:val="StyleUnderline"/>
        </w:rPr>
      </w:pPr>
      <w:r w:rsidRPr="00F95394">
        <w:rPr>
          <w:rStyle w:val="StyleUnderline"/>
        </w:rPr>
        <w:t xml:space="preserve">Postsecondary, or tertiary, education includes </w:t>
      </w:r>
      <w:r w:rsidRPr="00F95394">
        <w:rPr>
          <w:rStyle w:val="Emphasis"/>
        </w:rPr>
        <w:t>any educational program that takes place after you complete your secondary education</w:t>
      </w:r>
      <w:r w:rsidRPr="00FD5858">
        <w:t xml:space="preserve">. This includes community college, professional certification, undergraduate education and graduate school. </w:t>
      </w:r>
      <w:r w:rsidRPr="00F95394">
        <w:rPr>
          <w:rStyle w:val="StyleUnderline"/>
        </w:rPr>
        <w:t xml:space="preserve">Postsecondary education is more advanced and specialized than secondary education. Postsecondary education </w:t>
      </w:r>
      <w:r w:rsidRPr="00F95394">
        <w:rPr>
          <w:rStyle w:val="Emphasis"/>
        </w:rPr>
        <w:t>is also broad</w:t>
      </w:r>
      <w:r w:rsidRPr="00F95394">
        <w:rPr>
          <w:rStyle w:val="StyleUnderline"/>
        </w:rPr>
        <w:t>, allowing students to pursue the subjects that most interest them. Students can receive a wide range of degrees, from a broad liberal arts degree that deepens critical-thinking skills, to a more hands-on business degree.</w:t>
      </w:r>
    </w:p>
    <w:p w:rsidR="00FD5858" w:rsidRPr="00FD5858" w:rsidRDefault="00FD5858" w:rsidP="00FD5858"/>
    <w:p w:rsidR="0064034C" w:rsidRDefault="00F44345" w:rsidP="00F44345">
      <w:pPr>
        <w:pStyle w:val="Heading3"/>
      </w:pPr>
      <w:r>
        <w:lastRenderedPageBreak/>
        <w:t>Secondary Education – Definition</w:t>
      </w:r>
    </w:p>
    <w:p w:rsidR="00F44345" w:rsidRDefault="00F44345" w:rsidP="00F44345">
      <w:pPr>
        <w:pStyle w:val="Heading4"/>
      </w:pPr>
      <w:r>
        <w:t>Secondary education has two distinct stages</w:t>
      </w:r>
    </w:p>
    <w:p w:rsidR="00F44345" w:rsidRDefault="00F44345" w:rsidP="00F44345">
      <w:r w:rsidRPr="00B63916">
        <w:rPr>
          <w:rStyle w:val="Style13ptBold"/>
        </w:rPr>
        <w:t>Sen 5</w:t>
      </w:r>
      <w:r w:rsidR="00B63916">
        <w:t xml:space="preserve"> – National Center for Education Statistics </w:t>
      </w:r>
    </w:p>
    <w:p w:rsidR="00F44345" w:rsidRPr="00F44345" w:rsidRDefault="00F44345" w:rsidP="00F44345">
      <w:r>
        <w:t>(</w:t>
      </w:r>
      <w:proofErr w:type="spellStart"/>
      <w:r>
        <w:t>Anindita</w:t>
      </w:r>
      <w:proofErr w:type="spellEnd"/>
      <w:r>
        <w:t xml:space="preserve">, Lisette </w:t>
      </w:r>
      <w:proofErr w:type="spellStart"/>
      <w:r>
        <w:t>Partelow</w:t>
      </w:r>
      <w:proofErr w:type="spellEnd"/>
      <w:r>
        <w:t xml:space="preserve"> David C. Miller, “Comparative Indicators of Education in the United States and Other G8 Countries,” February 2005, </w:t>
      </w:r>
      <w:r w:rsidR="00B63916">
        <w:t xml:space="preserve">Education Statistics Services Institute, </w:t>
      </w:r>
      <w:r w:rsidRPr="00F44345">
        <w:t>https://n</w:t>
      </w:r>
      <w:r w:rsidR="00B63916">
        <w:t>ces.ed.gov//pubs2005/2005021.pdf)</w:t>
      </w:r>
    </w:p>
    <w:p w:rsidR="00F44345" w:rsidRDefault="00F44345" w:rsidP="00F44345">
      <w:pPr>
        <w:rPr>
          <w:rStyle w:val="StyleUnderline"/>
        </w:rPr>
      </w:pPr>
      <w:r>
        <w:t xml:space="preserve">Preprimary education includes programs of education for children at least 3 years of age that involve organized, center-based instructional activities; in most countries, preprimary education is not compulsory. Primary education includes programs that are designed to give students a sound basic education in reading, writing, and mathematics, along with an elementary understanding of other subjects such as history, geography, science, art, and music. In the international classification, </w:t>
      </w:r>
      <w:r w:rsidRPr="00F44345">
        <w:rPr>
          <w:rStyle w:val="StyleUnderline"/>
        </w:rPr>
        <w:t>primary education usually begins at the start of compulsory education (around age 6) and lasts for 6 years</w:t>
      </w:r>
      <w:r>
        <w:t xml:space="preserve">. </w:t>
      </w:r>
      <w:r w:rsidRPr="00F44345">
        <w:rPr>
          <w:rStyle w:val="StyleUnderline"/>
        </w:rPr>
        <w:t xml:space="preserve">Secondary education </w:t>
      </w:r>
      <w:r w:rsidRPr="00F44345">
        <w:rPr>
          <w:rStyle w:val="Emphasis"/>
        </w:rPr>
        <w:t>encompasses two stages</w:t>
      </w:r>
      <w:r w:rsidRPr="00F44345">
        <w:rPr>
          <w:rStyle w:val="StyleUnderline"/>
        </w:rPr>
        <w:t xml:space="preserve">: lower secondary education and upper secondary education. Lower secondary education includes programs that are designed to complete basic education; the standard duration in the international classification </w:t>
      </w:r>
      <w:r w:rsidRPr="00F44345">
        <w:rPr>
          <w:rStyle w:val="Emphasis"/>
        </w:rPr>
        <w:t>is 3 years</w:t>
      </w:r>
      <w:r>
        <w:t xml:space="preserve">. </w:t>
      </w:r>
      <w:r w:rsidRPr="00F44345">
        <w:rPr>
          <w:rStyle w:val="StyleUnderline"/>
        </w:rPr>
        <w:t>Upper secondary education is designed to provide students with more in-depth knowledge of academic or vocational subjects and to prepare them for higher level academic or vocational studies or entry into the labor market</w:t>
      </w:r>
      <w:r>
        <w:t xml:space="preserve">. </w:t>
      </w:r>
      <w:r w:rsidRPr="00F44345">
        <w:rPr>
          <w:rStyle w:val="StyleUnderline"/>
        </w:rPr>
        <w:t xml:space="preserve">The standard duration of upper secondary education in the international classification </w:t>
      </w:r>
      <w:r w:rsidRPr="00F44345">
        <w:rPr>
          <w:rStyle w:val="Emphasis"/>
        </w:rPr>
        <w:t>is 3 years</w:t>
      </w:r>
      <w:r w:rsidRPr="00F44345">
        <w:rPr>
          <w:rStyle w:val="StyleUnderline"/>
        </w:rPr>
        <w:t>.</w:t>
      </w:r>
    </w:p>
    <w:p w:rsidR="00B63916" w:rsidRPr="00F44345" w:rsidRDefault="00B63916" w:rsidP="00FD5858">
      <w:pPr>
        <w:rPr>
          <w:rStyle w:val="StyleUnderline"/>
        </w:rPr>
      </w:pPr>
    </w:p>
    <w:p w:rsidR="00054E36" w:rsidRDefault="007D0341" w:rsidP="007D0341">
      <w:pPr>
        <w:pStyle w:val="Heading2"/>
      </w:pPr>
      <w:r>
        <w:lastRenderedPageBreak/>
        <w:t>Education</w:t>
      </w:r>
    </w:p>
    <w:p w:rsidR="00406198" w:rsidRDefault="00406198" w:rsidP="00F95394">
      <w:pPr>
        <w:pStyle w:val="Heading3"/>
      </w:pPr>
      <w:r>
        <w:lastRenderedPageBreak/>
        <w:t>Education – School</w:t>
      </w:r>
    </w:p>
    <w:p w:rsidR="00406198" w:rsidRDefault="00406198" w:rsidP="00406198">
      <w:pPr>
        <w:pStyle w:val="Heading4"/>
      </w:pPr>
      <w:r>
        <w:t>The content is unimportant but the setting has to be in school</w:t>
      </w:r>
    </w:p>
    <w:p w:rsidR="00406198" w:rsidRPr="00406198" w:rsidRDefault="00406198" w:rsidP="00406198">
      <w:pPr>
        <w:rPr>
          <w:rStyle w:val="Style13ptBold"/>
        </w:rPr>
      </w:pPr>
      <w:r w:rsidRPr="00406198">
        <w:rPr>
          <w:rStyle w:val="Style13ptBold"/>
        </w:rPr>
        <w:t xml:space="preserve">Harpers Collin’s Dictionary 17 </w:t>
      </w:r>
    </w:p>
    <w:p w:rsidR="00406198" w:rsidRPr="00406198" w:rsidRDefault="00406198" w:rsidP="00406198">
      <w:r>
        <w:t xml:space="preserve">(“Definition of Education,” </w:t>
      </w:r>
      <w:r w:rsidRPr="00406198">
        <w:t>https://www.collinsdictionary.com/dictionary/english/education</w:t>
      </w:r>
      <w:r>
        <w:t>)</w:t>
      </w:r>
    </w:p>
    <w:p w:rsidR="00406198" w:rsidRPr="00406198" w:rsidRDefault="00406198" w:rsidP="00406198">
      <w:r w:rsidRPr="00406198">
        <w:t>variable noun</w:t>
      </w:r>
    </w:p>
    <w:p w:rsidR="00406198" w:rsidRPr="00406198" w:rsidRDefault="00406198" w:rsidP="00406198">
      <w:pPr>
        <w:rPr>
          <w:rStyle w:val="StyleUnderline"/>
        </w:rPr>
      </w:pPr>
      <w:r w:rsidRPr="00406198">
        <w:rPr>
          <w:rStyle w:val="StyleUnderline"/>
        </w:rPr>
        <w:t xml:space="preserve">Education involves teaching people various subjects, </w:t>
      </w:r>
      <w:r w:rsidRPr="00406198">
        <w:rPr>
          <w:rStyle w:val="Emphasis"/>
        </w:rPr>
        <w:t>usually at a school or college</w:t>
      </w:r>
      <w:r w:rsidRPr="00406198">
        <w:rPr>
          <w:rStyle w:val="StyleUnderline"/>
        </w:rPr>
        <w:t>, or being </w:t>
      </w:r>
      <w:hyperlink r:id="rId92" w:tooltip="Definition of taught" w:history="1">
        <w:r w:rsidRPr="00406198">
          <w:rPr>
            <w:rStyle w:val="StyleUnderline"/>
          </w:rPr>
          <w:t>taught</w:t>
        </w:r>
      </w:hyperlink>
      <w:r w:rsidRPr="00406198">
        <w:rPr>
          <w:rStyle w:val="StyleUnderline"/>
        </w:rPr>
        <w:t>.</w:t>
      </w:r>
    </w:p>
    <w:p w:rsidR="00406198" w:rsidRPr="00406198" w:rsidRDefault="00406198" w:rsidP="00406198"/>
    <w:p w:rsidR="006A2686" w:rsidRDefault="006A2686" w:rsidP="00F95394">
      <w:pPr>
        <w:pStyle w:val="Heading3"/>
      </w:pPr>
      <w:r>
        <w:lastRenderedPageBreak/>
        <w:t>Education – XT Schooling</w:t>
      </w:r>
    </w:p>
    <w:p w:rsidR="006A2686" w:rsidRDefault="00E827A4" w:rsidP="006A2686">
      <w:pPr>
        <w:pStyle w:val="Heading4"/>
      </w:pPr>
      <w:r>
        <w:t xml:space="preserve">Education has to be in schools </w:t>
      </w:r>
    </w:p>
    <w:p w:rsidR="00E827A4" w:rsidRPr="00E827A4" w:rsidRDefault="00E827A4" w:rsidP="00E827A4">
      <w:pPr>
        <w:rPr>
          <w:rStyle w:val="Style13ptBold"/>
        </w:rPr>
      </w:pPr>
      <w:proofErr w:type="spellStart"/>
      <w:r>
        <w:rPr>
          <w:rStyle w:val="Style13ptBold"/>
        </w:rPr>
        <w:t>MacMillian</w:t>
      </w:r>
      <w:proofErr w:type="spellEnd"/>
      <w:r>
        <w:rPr>
          <w:rStyle w:val="Style13ptBold"/>
        </w:rPr>
        <w:t xml:space="preserve"> Dictionary 17</w:t>
      </w:r>
    </w:p>
    <w:p w:rsidR="00E827A4" w:rsidRPr="00E827A4" w:rsidRDefault="00E827A4" w:rsidP="00E827A4">
      <w:r>
        <w:t xml:space="preserve">(“Education,” </w:t>
      </w:r>
      <w:r w:rsidRPr="00E827A4">
        <w:t>http://www.macmillandictionary.com/</w:t>
      </w:r>
      <w:r>
        <w:t>us/dictionary/american/education)</w:t>
      </w:r>
    </w:p>
    <w:p w:rsidR="006A2686" w:rsidRPr="00E827A4" w:rsidRDefault="006A2686" w:rsidP="00E827A4">
      <w:pPr>
        <w:rPr>
          <w:rStyle w:val="StyleUnderline"/>
        </w:rPr>
      </w:pPr>
      <w:r w:rsidRPr="00E827A4">
        <w:t>[UNCOUNTABLE</w:t>
      </w:r>
      <w:r w:rsidRPr="00E827A4">
        <w:rPr>
          <w:rStyle w:val="StyleUnderline"/>
        </w:rPr>
        <w:t>] the </w:t>
      </w:r>
      <w:hyperlink r:id="rId93" w:tooltip="activity" w:history="1">
        <w:r w:rsidRPr="00E827A4">
          <w:rPr>
            <w:rStyle w:val="StyleUnderline"/>
          </w:rPr>
          <w:t>activity</w:t>
        </w:r>
      </w:hyperlink>
      <w:r w:rsidRPr="00E827A4">
        <w:rPr>
          <w:rStyle w:val="StyleUnderline"/>
        </w:rPr>
        <w:t> </w:t>
      </w:r>
      <w:r w:rsidRPr="00E827A4">
        <w:rPr>
          <w:rStyle w:val="Emphasis"/>
        </w:rPr>
        <w:t>of </w:t>
      </w:r>
      <w:hyperlink r:id="rId94" w:tooltip="educating" w:history="1">
        <w:r w:rsidRPr="00E827A4">
          <w:rPr>
            <w:rStyle w:val="Emphasis"/>
          </w:rPr>
          <w:t>educating</w:t>
        </w:r>
      </w:hyperlink>
      <w:r w:rsidRPr="00E827A4">
        <w:rPr>
          <w:rStyle w:val="Emphasis"/>
        </w:rPr>
        <w:t> </w:t>
      </w:r>
      <w:hyperlink r:id="rId95" w:tooltip="people" w:history="1">
        <w:r w:rsidRPr="00E827A4">
          <w:rPr>
            <w:rStyle w:val="Emphasis"/>
          </w:rPr>
          <w:t>people</w:t>
        </w:r>
      </w:hyperlink>
      <w:r w:rsidRPr="00E827A4">
        <w:rPr>
          <w:rStyle w:val="Emphasis"/>
        </w:rPr>
        <w:t> in </w:t>
      </w:r>
      <w:hyperlink r:id="rId96" w:tooltip="schools" w:history="1">
        <w:r w:rsidRPr="00E827A4">
          <w:rPr>
            <w:rStyle w:val="Emphasis"/>
          </w:rPr>
          <w:t>schools</w:t>
        </w:r>
      </w:hyperlink>
      <w:r w:rsidRPr="00E827A4">
        <w:rPr>
          <w:rStyle w:val="Emphasis"/>
        </w:rPr>
        <w:t>, </w:t>
      </w:r>
      <w:hyperlink r:id="rId97" w:tooltip="colleges" w:history="1">
        <w:r w:rsidRPr="00E827A4">
          <w:rPr>
            <w:rStyle w:val="Emphasis"/>
          </w:rPr>
          <w:t>colleges</w:t>
        </w:r>
      </w:hyperlink>
      <w:r w:rsidRPr="00E827A4">
        <w:rPr>
          <w:rStyle w:val="Emphasis"/>
        </w:rPr>
        <w:t>, and </w:t>
      </w:r>
      <w:hyperlink r:id="rId98" w:tooltip="universities" w:history="1">
        <w:r w:rsidRPr="00E827A4">
          <w:rPr>
            <w:rStyle w:val="Emphasis"/>
          </w:rPr>
          <w:t>universities</w:t>
        </w:r>
      </w:hyperlink>
      <w:r w:rsidRPr="00E827A4">
        <w:rPr>
          <w:rStyle w:val="StyleUnderline"/>
        </w:rPr>
        <w:t>, and all the </w:t>
      </w:r>
      <w:hyperlink r:id="rId99" w:tooltip="policies" w:history="1">
        <w:r w:rsidRPr="00E827A4">
          <w:rPr>
            <w:rStyle w:val="StyleUnderline"/>
          </w:rPr>
          <w:t>policies</w:t>
        </w:r>
      </w:hyperlink>
      <w:r w:rsidRPr="00E827A4">
        <w:rPr>
          <w:rStyle w:val="StyleUnderline"/>
        </w:rPr>
        <w:t> and </w:t>
      </w:r>
      <w:hyperlink r:id="rId100" w:tooltip="arrangements" w:history="1">
        <w:r w:rsidRPr="00E827A4">
          <w:rPr>
            <w:rStyle w:val="StyleUnderline"/>
          </w:rPr>
          <w:t>arrangements</w:t>
        </w:r>
      </w:hyperlink>
      <w:r w:rsidRPr="00E827A4">
        <w:rPr>
          <w:rStyle w:val="StyleUnderline"/>
        </w:rPr>
        <w:t> </w:t>
      </w:r>
      <w:hyperlink r:id="rId101" w:tooltip="concerning" w:history="1">
        <w:r w:rsidRPr="00E827A4">
          <w:rPr>
            <w:rStyle w:val="StyleUnderline"/>
          </w:rPr>
          <w:t>concerning</w:t>
        </w:r>
      </w:hyperlink>
      <w:r w:rsidRPr="00E827A4">
        <w:rPr>
          <w:rStyle w:val="StyleUnderline"/>
        </w:rPr>
        <w:t> this</w:t>
      </w:r>
    </w:p>
    <w:p w:rsidR="006A2686" w:rsidRPr="006A2686" w:rsidRDefault="006A2686" w:rsidP="006A2686"/>
    <w:p w:rsidR="007D0341" w:rsidRDefault="00F95394" w:rsidP="00F95394">
      <w:pPr>
        <w:pStyle w:val="Heading3"/>
      </w:pPr>
      <w:r>
        <w:lastRenderedPageBreak/>
        <w:t>Education – Systemic</w:t>
      </w:r>
    </w:p>
    <w:p w:rsidR="00F95394" w:rsidRDefault="00F95394" w:rsidP="00F95394">
      <w:pPr>
        <w:pStyle w:val="Heading4"/>
      </w:pPr>
      <w:r>
        <w:t>Education has to be systemic and in a school</w:t>
      </w:r>
    </w:p>
    <w:p w:rsidR="00F95394" w:rsidRPr="00F95394" w:rsidRDefault="00F95394" w:rsidP="00F95394">
      <w:pPr>
        <w:rPr>
          <w:rStyle w:val="Style13ptBold"/>
        </w:rPr>
      </w:pPr>
      <w:r w:rsidRPr="00F95394">
        <w:rPr>
          <w:rStyle w:val="Style13ptBold"/>
        </w:rPr>
        <w:t xml:space="preserve">Oxford Dictionary 17 </w:t>
      </w:r>
    </w:p>
    <w:p w:rsidR="00F95394" w:rsidRPr="00F95394" w:rsidRDefault="00F95394" w:rsidP="00F95394">
      <w:r>
        <w:t xml:space="preserve">(“Definition of Education in English,” </w:t>
      </w:r>
      <w:r w:rsidRPr="00F95394">
        <w:t>https://en.oxforddictionaries.com/definition/education</w:t>
      </w:r>
      <w:r>
        <w:t>)</w:t>
      </w:r>
    </w:p>
    <w:p w:rsidR="00F95394" w:rsidRPr="00F95394" w:rsidRDefault="00F95394" w:rsidP="00F95394">
      <w:pPr>
        <w:rPr>
          <w:rStyle w:val="StyleUnderline"/>
        </w:rPr>
      </w:pPr>
      <w:r w:rsidRPr="00F95394">
        <w:rPr>
          <w:rStyle w:val="StyleUnderline"/>
        </w:rPr>
        <w:t>The process of receiving or giving systematic instruction, especially at a school or university.</w:t>
      </w:r>
    </w:p>
    <w:p w:rsidR="00F95394" w:rsidRDefault="00F95394" w:rsidP="00F95394">
      <w:pPr>
        <w:pStyle w:val="Heading3"/>
      </w:pPr>
      <w:r>
        <w:lastRenderedPageBreak/>
        <w:t>Education – Distinct From Schooling</w:t>
      </w:r>
    </w:p>
    <w:p w:rsidR="00F95394" w:rsidRDefault="00F95394" w:rsidP="00F95394">
      <w:pPr>
        <w:pStyle w:val="Heading4"/>
      </w:pPr>
      <w:r w:rsidRPr="00F95394">
        <w:t xml:space="preserve">Education is distinct from schooling it doesn’t have to be in a formal setting </w:t>
      </w:r>
    </w:p>
    <w:p w:rsidR="00F95394" w:rsidRDefault="00F95394" w:rsidP="00F95394">
      <w:r w:rsidRPr="00F95394">
        <w:rPr>
          <w:rStyle w:val="Style13ptBold"/>
        </w:rPr>
        <w:t>Smith 15</w:t>
      </w:r>
      <w:r>
        <w:t xml:space="preserve"> – Researcher and Educator</w:t>
      </w:r>
    </w:p>
    <w:p w:rsidR="00F95394" w:rsidRPr="00F95394" w:rsidRDefault="00F95394" w:rsidP="00F95394">
      <w:r w:rsidRPr="00F95394">
        <w:t>(Mark K, “What is education? A definition and discussion,” 2015, http://infed.org/mobi/what-is-education-a-definition-and-discussion/)</w:t>
      </w:r>
    </w:p>
    <w:p w:rsidR="00F95394" w:rsidRPr="00F95394" w:rsidRDefault="00F95394" w:rsidP="00F95394">
      <w:pPr>
        <w:rPr>
          <w:rStyle w:val="StyleUnderline"/>
        </w:rPr>
      </w:pPr>
      <w:r w:rsidRPr="00F95394">
        <w:rPr>
          <w:rStyle w:val="StyleUnderline"/>
        </w:rPr>
        <w:t xml:space="preserve">When talking about education </w:t>
      </w:r>
      <w:r w:rsidRPr="00F95394">
        <w:rPr>
          <w:rStyle w:val="Emphasis"/>
        </w:rPr>
        <w:t>people often confuse it with schooling</w:t>
      </w:r>
      <w:r w:rsidRPr="00F95394">
        <w:t xml:space="preserve">. </w:t>
      </w:r>
      <w:r w:rsidRPr="00F95394">
        <w:rPr>
          <w:rStyle w:val="StyleUnderline"/>
        </w:rPr>
        <w:t xml:space="preserve">Many think of places like schools or colleges when seeing or hearing the word. They might also look to particular jobs like teacher or tutor. The problem with this is that while looking to help people learn, the way a lot of schools and teachers operate </w:t>
      </w:r>
      <w:r w:rsidRPr="00F95394">
        <w:rPr>
          <w:rStyle w:val="Emphasis"/>
        </w:rPr>
        <w:t>is not necessarily something we can properly call education</w:t>
      </w:r>
      <w:r w:rsidRPr="00F95394">
        <w:t xml:space="preserve">. </w:t>
      </w:r>
      <w:r w:rsidRPr="00F95394">
        <w:rPr>
          <w:rStyle w:val="StyleUnderline"/>
        </w:rPr>
        <w:t>They have chosen or fallen or been pushed into ‘schooling’ – trying to drill learning into people according to some plan often drawn up by others</w:t>
      </w:r>
      <w:r w:rsidRPr="00F95394">
        <w:t>.</w:t>
      </w:r>
      <w:r>
        <w:t xml:space="preserve"> </w:t>
      </w:r>
      <w:hyperlink r:id="rId102" w:tooltip="Paulo Freire: dialogue, praxis and education" w:history="1">
        <w:r w:rsidRPr="00F95394">
          <w:rPr>
            <w:rStyle w:val="Hyperlink"/>
          </w:rPr>
          <w:t>Paulo Freire</w:t>
        </w:r>
      </w:hyperlink>
      <w:r>
        <w:t xml:space="preserve"> </w:t>
      </w:r>
      <w:r w:rsidRPr="00F95394">
        <w:t>(1973) famously called this banking – making deposits of knowledge. Such ‘schooling’ quickly descends into treating learners like objects, things to be acted upon rather than people to be related to.</w:t>
      </w:r>
      <w:r>
        <w:t xml:space="preserve"> </w:t>
      </w:r>
      <w:r w:rsidRPr="00F95394">
        <w:rPr>
          <w:rStyle w:val="StyleUnderline"/>
        </w:rPr>
        <w:t xml:space="preserve">Education, as we understand it here, is a process of inviting truth and possibility, </w:t>
      </w:r>
      <w:r w:rsidRPr="00F95394">
        <w:rPr>
          <w:rStyle w:val="Emphasis"/>
        </w:rPr>
        <w:t>of encouraging and giving time to discovery</w:t>
      </w:r>
      <w:r w:rsidRPr="00F95394">
        <w:t xml:space="preserve">. It is, as </w:t>
      </w:r>
      <w:r w:rsidRPr="00F95394">
        <w:rPr>
          <w:rStyle w:val="StyleUnderline"/>
        </w:rPr>
        <w:t>John Dewey (1916) put it, a social process – ‘a process of living and not a preparation for future living’. In this view educators look to act with people rather on them.</w:t>
      </w:r>
      <w:r w:rsidRPr="00F95394">
        <w:t xml:space="preserve"> Their task is to </w:t>
      </w:r>
      <w:proofErr w:type="spellStart"/>
      <w:r w:rsidRPr="00F95394">
        <w:t>educe</w:t>
      </w:r>
      <w:proofErr w:type="spellEnd"/>
      <w:r w:rsidRPr="00F95394">
        <w:t xml:space="preserve"> (related to the Greek notion of</w:t>
      </w:r>
      <w:r>
        <w:t xml:space="preserve"> </w:t>
      </w:r>
      <w:proofErr w:type="spellStart"/>
      <w:r w:rsidRPr="00F95394">
        <w:t>educere</w:t>
      </w:r>
      <w:proofErr w:type="spellEnd"/>
      <w:r w:rsidRPr="00F95394">
        <w:t>), to bring out or develop potential. Such education is:</w:t>
      </w:r>
      <w:r>
        <w:t xml:space="preserve"> </w:t>
      </w:r>
      <w:r w:rsidRPr="00F95394">
        <w:t>Deliberate and hopeful.</w:t>
      </w:r>
      <w:r>
        <w:t xml:space="preserve"> </w:t>
      </w:r>
      <w:r w:rsidRPr="00F95394">
        <w:t>It is learning we set out to make happen in the belief that people can ‘be more’;</w:t>
      </w:r>
      <w:r>
        <w:t xml:space="preserve"> </w:t>
      </w:r>
      <w:r w:rsidRPr="00F95394">
        <w:t>Informed, respectful and wise.</w:t>
      </w:r>
      <w:r>
        <w:t xml:space="preserve"> </w:t>
      </w:r>
      <w:r w:rsidRPr="00F95394">
        <w:t>A process of inviting truth and possibility.</w:t>
      </w:r>
      <w:r>
        <w:t xml:space="preserve"> </w:t>
      </w:r>
      <w:r w:rsidRPr="00F95394">
        <w:t>Grounded in a desire that at all may</w:t>
      </w:r>
      <w:r>
        <w:t xml:space="preserve"> </w:t>
      </w:r>
      <w:r w:rsidRPr="00F95394">
        <w:t>flourish and share in life. It is a cooperative and inclusive activity that looks to help people to live their lives as well as they can.</w:t>
      </w:r>
      <w:r>
        <w:t xml:space="preserve"> </w:t>
      </w:r>
      <w:r w:rsidRPr="00F95394">
        <w:t>In what follows we will try to answer the question ‘what is education?’ by exploring these dimensions and the processes involved.</w:t>
      </w:r>
      <w:r>
        <w:t xml:space="preserve"> </w:t>
      </w:r>
      <w:r w:rsidRPr="00F95394">
        <w:rPr>
          <w:rStyle w:val="StyleUnderline"/>
        </w:rPr>
        <w:t xml:space="preserve">A definition for starters: Education is the </w:t>
      </w:r>
      <w:r w:rsidRPr="00F95394">
        <w:rPr>
          <w:rStyle w:val="Emphasis"/>
        </w:rPr>
        <w:t>wise, hopeful and respectful cultivation</w:t>
      </w:r>
      <w:r w:rsidRPr="00F95394">
        <w:rPr>
          <w:rStyle w:val="StyleUnderline"/>
        </w:rPr>
        <w:t xml:space="preserve"> of learning undertaken in the belief that all should have the chance to share in life.</w:t>
      </w:r>
    </w:p>
    <w:p w:rsidR="00F95394" w:rsidRDefault="00E057D8" w:rsidP="00F95394">
      <w:pPr>
        <w:spacing w:before="315" w:after="315"/>
        <w:rPr>
          <w:rFonts w:ascii="Times New Roman" w:hAnsi="Times New Roman"/>
          <w:sz w:val="24"/>
          <w:szCs w:val="24"/>
        </w:rPr>
      </w:pPr>
      <w:r>
        <w:pict>
          <v:rect id="_x0000_i1025" style="width:0;height:0" o:hralign="center" o:hrstd="t" o:hrnoshade="t" o:hr="t" fillcolor="black" stroked="f"/>
        </w:pict>
      </w:r>
    </w:p>
    <w:p w:rsidR="00D5549B" w:rsidRDefault="00D5549B" w:rsidP="00D5549B">
      <w:pPr>
        <w:pStyle w:val="Heading3"/>
      </w:pPr>
      <w:r>
        <w:lastRenderedPageBreak/>
        <w:t>Education – Schooling</w:t>
      </w:r>
    </w:p>
    <w:p w:rsidR="00D5549B" w:rsidRDefault="00D5549B" w:rsidP="00D5549B">
      <w:pPr>
        <w:pStyle w:val="Heading4"/>
      </w:pPr>
      <w:r>
        <w:t>Schooling is a subset of education but there is also a meaningful distinction between the two</w:t>
      </w:r>
    </w:p>
    <w:p w:rsidR="00D5549B" w:rsidRDefault="00D5549B" w:rsidP="00D5549B">
      <w:r w:rsidRPr="004E2055">
        <w:rPr>
          <w:rStyle w:val="Style13ptBold"/>
        </w:rPr>
        <w:t>McDonald 17</w:t>
      </w:r>
      <w:r>
        <w:t xml:space="preserve"> -- </w:t>
      </w:r>
      <w:r w:rsidRPr="004E2055">
        <w:t>Master’s in education policy from Harvard University</w:t>
      </w:r>
    </w:p>
    <w:p w:rsidR="00D5549B" w:rsidRPr="004E2055" w:rsidRDefault="00D5549B" w:rsidP="00D5549B">
      <w:r>
        <w:t>(Kerry, “</w:t>
      </w:r>
      <w:r w:rsidRPr="004E2055">
        <w:t>Public Education Vs. Public Schooling</w:t>
      </w:r>
      <w:r>
        <w:t>,” May 30</w:t>
      </w:r>
      <w:r w:rsidRPr="004E2055">
        <w:rPr>
          <w:vertAlign w:val="superscript"/>
        </w:rPr>
        <w:t>th</w:t>
      </w:r>
      <w:r>
        <w:t xml:space="preserve"> 2017, h</w:t>
      </w:r>
      <w:r w:rsidRPr="004E2055">
        <w:t>ttps://www.forbes.com/sites/realspin/2017/05/30/public-education-vs-public-schooling/2/#701103334f24</w:t>
      </w:r>
      <w:r>
        <w:t>)</w:t>
      </w:r>
    </w:p>
    <w:p w:rsidR="00D5549B" w:rsidRPr="004E2055" w:rsidRDefault="00D5549B" w:rsidP="00D5549B">
      <w:pPr>
        <w:rPr>
          <w:rStyle w:val="StyleUnderline"/>
          <w:u w:val="none"/>
        </w:rPr>
      </w:pPr>
      <w:r w:rsidRPr="004E2055">
        <w:t>I am a true believer in, and a full supporter of, public education.</w:t>
      </w:r>
      <w:r>
        <w:t xml:space="preserve"> </w:t>
      </w:r>
      <w:r w:rsidRPr="004E2055">
        <w:rPr>
          <w:rStyle w:val="StyleUnderline"/>
        </w:rPr>
        <w:t xml:space="preserve">The trouble is that public education and public schooling have become synonymous. </w:t>
      </w:r>
      <w:r w:rsidRPr="004E2055">
        <w:rPr>
          <w:rStyle w:val="Emphasis"/>
        </w:rPr>
        <w:t>Schooling is one method of education</w:t>
      </w:r>
      <w:r w:rsidRPr="004E2055">
        <w:rPr>
          <w:rStyle w:val="StyleUnderline"/>
        </w:rPr>
        <w:t>; but it is certainly not the only one and, I argue, not the best one</w:t>
      </w:r>
      <w:r w:rsidRPr="004E2055">
        <w:t>. Until we separate public education from public schooling--to truly "de-school" our perspective on learning--we will be mired in a debate about reforming one, singular method of education (that is, mass schooling), while ignoring other methods of education that could be better.</w:t>
      </w:r>
      <w:r>
        <w:t xml:space="preserve"> </w:t>
      </w:r>
      <w:r w:rsidRPr="004E2055">
        <w:t>Shutterstock</w:t>
      </w:r>
      <w:r>
        <w:t xml:space="preserve"> </w:t>
      </w:r>
      <w:r w:rsidRPr="004E2055">
        <w:t>The industrial model upon which compulsory public schooling was founded in 1852 is no longer relevant in a new economy that increasingly values creativity over conformity, knowledge workers over factory laborers. Despite the fact that sociologists and economists believe we have left the Industrial Age for the</w:t>
      </w:r>
      <w:r>
        <w:t xml:space="preserve"> </w:t>
      </w:r>
      <w:hyperlink r:id="rId103" w:tgtFrame="_blank" w:history="1">
        <w:r w:rsidRPr="004E2055">
          <w:rPr>
            <w:rStyle w:val="Hyperlink"/>
          </w:rPr>
          <w:t>Imagination Age</w:t>
        </w:r>
      </w:hyperlink>
      <w:r w:rsidRPr="004E2055">
        <w:t>—an era defined by creativity and innovation and technological application—American education is stuck with an outdated system of mass schooling. Instead of adapting to the changing needs of a creative culture, American schooling has sought to become even more restrictive and entrenched. We need a new model of learning, separate from our modern experiment with mass schooling, that taps into the innate, self-educative capacity of humans.</w:t>
      </w:r>
      <w:r>
        <w:t xml:space="preserve"> </w:t>
      </w:r>
      <w:r w:rsidRPr="004E2055">
        <w:t>In his path-breaking 1970 book,</w:t>
      </w:r>
      <w:r>
        <w:t xml:space="preserve"> </w:t>
      </w:r>
      <w:proofErr w:type="spellStart"/>
      <w:r w:rsidRPr="004E2055">
        <w:t>Deschooling</w:t>
      </w:r>
      <w:proofErr w:type="spellEnd"/>
      <w:r w:rsidRPr="004E2055">
        <w:t xml:space="preserve"> Society, Ivan </w:t>
      </w:r>
      <w:proofErr w:type="spellStart"/>
      <w:r w:rsidRPr="004E2055">
        <w:t>Illich</w:t>
      </w:r>
      <w:proofErr w:type="spellEnd"/>
      <w:r w:rsidRPr="004E2055">
        <w:t xml:space="preserve"> wrote about the need to de-institutionalize learning and invest in decentralized education models that support learners in educating themselves. </w:t>
      </w:r>
      <w:proofErr w:type="spellStart"/>
      <w:r w:rsidRPr="004E2055">
        <w:t>Illich</w:t>
      </w:r>
      <w:proofErr w:type="spellEnd"/>
      <w:r w:rsidRPr="004E2055">
        <w:t xml:space="preserve"> said: "Universal education through schooling is not feasible…The current search for new educational</w:t>
      </w:r>
      <w:r>
        <w:t xml:space="preserve"> </w:t>
      </w:r>
      <w:r w:rsidRPr="004E2055">
        <w:t>funnels</w:t>
      </w:r>
      <w:r>
        <w:t xml:space="preserve"> </w:t>
      </w:r>
      <w:r w:rsidRPr="004E2055">
        <w:t>must be reversed into the search for their institutional inverse: educational</w:t>
      </w:r>
      <w:r>
        <w:t xml:space="preserve"> </w:t>
      </w:r>
      <w:r w:rsidRPr="004E2055">
        <w:t>webs</w:t>
      </w:r>
      <w:r>
        <w:t xml:space="preserve"> </w:t>
      </w:r>
      <w:r w:rsidRPr="004E2055">
        <w:t>which heighten opportunity for each one to transform each moment of his living into one of learning, sharing, and caring."</w:t>
      </w:r>
      <w:r>
        <w:t xml:space="preserve"> </w:t>
      </w:r>
      <w:r w:rsidRPr="004E2055">
        <w:t>A perfect example of educational webs, as opposed to funnels like school, is the public library.</w:t>
      </w:r>
      <w:r>
        <w:t xml:space="preserve"> </w:t>
      </w:r>
      <w:r w:rsidRPr="004E2055">
        <w:t>Libraries are ideal examples of existing, taxpayer-funded, community-based, non-coercive learning hubs. They are openly accessible to all members of a community and, unlike public schools, do not segregate by age or ability. They offer classes, lectures, cultural events, ESL lessons, computer courses, mentoring opportunities and a whole host of other public programming. They are brimming with gifted facilitators who love "learning, sharing, and caring" and who are eager to help guide community learning. Increasingly, libraries are expanding their offerings beyond books and digital information to become makerspaces and tinker labs. Many libraries lend out items such as tools, musical instruments, kitchen supplies, recreational equipment like fishing poles and snowshoes, and even gardening plots. If one library doesn't have what you want or need, you can freely choose another. In some cities and towns, libraries take over summertime distribution of the federal free and reduced-lunch program to help nourish children all year long. Some libraries, like the McAllen Public Library in McAllen, Texas, which</w:t>
      </w:r>
      <w:r>
        <w:t xml:space="preserve"> </w:t>
      </w:r>
      <w:hyperlink r:id="rId104" w:tgtFrame="_blank" w:history="1">
        <w:r w:rsidRPr="004E2055">
          <w:rPr>
            <w:rStyle w:val="Hyperlink"/>
          </w:rPr>
          <w:t>made headlines</w:t>
        </w:r>
        <w:r>
          <w:rPr>
            <w:rStyle w:val="Hyperlink"/>
          </w:rPr>
          <w:t xml:space="preserve"> </w:t>
        </w:r>
      </w:hyperlink>
      <w:r w:rsidRPr="004E2055">
        <w:t>for taking over an abandoned Wal-Mart building, are open 350 days a year. It’s public education at its best.</w:t>
      </w:r>
      <w:r>
        <w:t xml:space="preserve"> </w:t>
      </w:r>
      <w:r w:rsidRPr="004E2055">
        <w:rPr>
          <w:rStyle w:val="StyleUnderline"/>
        </w:rPr>
        <w:t xml:space="preserve">The primary difference between public education and public schooling </w:t>
      </w:r>
      <w:r w:rsidRPr="004E2055">
        <w:rPr>
          <w:rStyle w:val="Emphasis"/>
        </w:rPr>
        <w:t>is that the former is openly accessible and self-directed,</w:t>
      </w:r>
      <w:r w:rsidRPr="004E2055">
        <w:rPr>
          <w:rStyle w:val="StyleUnderline"/>
        </w:rPr>
        <w:t xml:space="preserve"> while the latter is compulsory and coercive. Both are community-based and taxpayer-funded; both can lead to an educated citizenry. But public education--like public libraries, public museums, public parks, community centers, and so on—can support the education efforts of individuals, families, and local organizations with potentially better outcomes than the static system of mass schooling.</w:t>
      </w:r>
    </w:p>
    <w:p w:rsidR="00D5549B" w:rsidRPr="004E2055" w:rsidRDefault="00D5549B" w:rsidP="00D5549B"/>
    <w:p w:rsidR="00F95394" w:rsidRDefault="00F95394" w:rsidP="00F95394">
      <w:pPr>
        <w:pStyle w:val="Heading3"/>
      </w:pPr>
      <w:r>
        <w:lastRenderedPageBreak/>
        <w:t>Education – Beyond School</w:t>
      </w:r>
    </w:p>
    <w:p w:rsidR="00F95394" w:rsidRDefault="00A31136" w:rsidP="00F95394">
      <w:pPr>
        <w:pStyle w:val="Heading4"/>
      </w:pPr>
      <w:r>
        <w:t xml:space="preserve">Education can be moral, intellectual or physical training </w:t>
      </w:r>
    </w:p>
    <w:p w:rsidR="00A31136" w:rsidRPr="00B831A4" w:rsidRDefault="00A31136" w:rsidP="00A31136">
      <w:pPr>
        <w:rPr>
          <w:rStyle w:val="Style13ptBold"/>
        </w:rPr>
      </w:pPr>
      <w:r w:rsidRPr="00B831A4">
        <w:rPr>
          <w:rStyle w:val="Style13ptBold"/>
        </w:rPr>
        <w:t xml:space="preserve">Black’s Law Dictionary </w:t>
      </w:r>
      <w:r w:rsidR="00B831A4">
        <w:rPr>
          <w:rStyle w:val="Style13ptBold"/>
        </w:rPr>
        <w:t>1910</w:t>
      </w:r>
    </w:p>
    <w:p w:rsidR="00A31136" w:rsidRPr="00A31136" w:rsidRDefault="00A31136" w:rsidP="00A31136">
      <w:r>
        <w:t>(“What is Education?” Black’s Law Dictionary 2</w:t>
      </w:r>
      <w:r w:rsidRPr="00A31136">
        <w:rPr>
          <w:vertAlign w:val="superscript"/>
        </w:rPr>
        <w:t>nd</w:t>
      </w:r>
      <w:r>
        <w:t xml:space="preserve"> Edition </w:t>
      </w:r>
      <w:hyperlink r:id="rId105" w:history="1">
        <w:r w:rsidRPr="00A31136">
          <w:rPr>
            <w:rStyle w:val="Hyperlink"/>
          </w:rPr>
          <w:t>http://thelawdictionary.org/education/</w:t>
        </w:r>
      </w:hyperlink>
      <w:r>
        <w:t xml:space="preserve">) </w:t>
      </w:r>
    </w:p>
    <w:p w:rsidR="00F95394" w:rsidRPr="00F95394" w:rsidRDefault="00F95394" w:rsidP="00F95394">
      <w:r w:rsidRPr="00F95394">
        <w:t>Within the meaning of a statute relative to the powers and duties of</w:t>
      </w:r>
      <w:r>
        <w:t xml:space="preserve"> </w:t>
      </w:r>
      <w:r w:rsidRPr="00F95394">
        <w:t xml:space="preserve">guardians, </w:t>
      </w:r>
      <w:r w:rsidRPr="00F95394">
        <w:rPr>
          <w:rStyle w:val="StyleUnderline"/>
        </w:rPr>
        <w:t>this term comprehends not merely the </w:t>
      </w:r>
      <w:hyperlink r:id="rId106" w:tooltip="In French criminal law. The first process of a criminal prosecution. It includes the examination of the accused, the preliminary interrogation of witnesses, collateral investigations, [...]" w:history="1">
        <w:r w:rsidRPr="00F95394">
          <w:rPr>
            <w:rStyle w:val="StyleUnderline"/>
          </w:rPr>
          <w:t>instruction</w:t>
        </w:r>
      </w:hyperlink>
      <w:r w:rsidRPr="00F95394">
        <w:rPr>
          <w:rStyle w:val="StyleUnderline"/>
        </w:rPr>
        <w:t xml:space="preserve"> received at school or college, </w:t>
      </w:r>
      <w:r w:rsidRPr="00F95394">
        <w:rPr>
          <w:rStyle w:val="Emphasis"/>
        </w:rPr>
        <w:t>but the whole course of training, moral, intellectual, and physical</w:t>
      </w:r>
      <w:r w:rsidRPr="00F95394">
        <w:t xml:space="preserve">. </w:t>
      </w:r>
      <w:r w:rsidRPr="00F95394">
        <w:rPr>
          <w:rStyle w:val="StyleUnderline"/>
        </w:rPr>
        <w:t xml:space="preserve">Education maybe particularly directed to either the mental, moral, or physical powers and </w:t>
      </w:r>
      <w:r w:rsidR="00A31136" w:rsidRPr="00F95394">
        <w:rPr>
          <w:rStyle w:val="StyleUnderline"/>
        </w:rPr>
        <w:t>faculties</w:t>
      </w:r>
      <w:r w:rsidR="00A31136" w:rsidRPr="00F95394">
        <w:t xml:space="preserve">, </w:t>
      </w:r>
      <w:r w:rsidR="00A31136" w:rsidRPr="00A31136">
        <w:rPr>
          <w:rStyle w:val="StyleUnderline"/>
        </w:rPr>
        <w:t>“but</w:t>
      </w:r>
      <w:r w:rsidRPr="00A31136">
        <w:rPr>
          <w:rStyle w:val="StyleUnderline"/>
        </w:rPr>
        <w:t xml:space="preserve"> In its broadest </w:t>
      </w:r>
      <w:r w:rsidRPr="00A31136">
        <w:rPr>
          <w:rStyle w:val="Emphasis"/>
        </w:rPr>
        <w:t>and best sense</w:t>
      </w:r>
      <w:r w:rsidRPr="00A31136">
        <w:rPr>
          <w:rStyle w:val="StyleUnderline"/>
        </w:rPr>
        <w:t xml:space="preserve"> it relates to them all</w:t>
      </w:r>
      <w:r w:rsidRPr="00F95394">
        <w:t>. Mount Herman Boys'</w:t>
      </w:r>
      <w:r>
        <w:t xml:space="preserve"> </w:t>
      </w:r>
      <w:r w:rsidRPr="00F95394">
        <w:t xml:space="preserve">School v. Gill, 145 Mass. 139, 13 N. E. 354; Cook v. State, 90 Tenn. 407, 10 S. W. 471,13 L. It. A. 183; </w:t>
      </w:r>
      <w:proofErr w:type="spellStart"/>
      <w:r w:rsidRPr="00F95394">
        <w:t>Ruohs</w:t>
      </w:r>
      <w:proofErr w:type="spellEnd"/>
      <w:r w:rsidRPr="00F95394">
        <w:t xml:space="preserve"> v. Backer, 6 </w:t>
      </w:r>
      <w:proofErr w:type="spellStart"/>
      <w:r w:rsidRPr="00F95394">
        <w:t>Heisk</w:t>
      </w:r>
      <w:proofErr w:type="spellEnd"/>
      <w:r w:rsidRPr="00F95394">
        <w:t>. (Tenn.) 400, 19 Am. Rep. 598.</w:t>
      </w:r>
    </w:p>
    <w:p w:rsidR="00F95394" w:rsidRPr="00F95394" w:rsidRDefault="00F95394" w:rsidP="00F95394"/>
    <w:p w:rsidR="007C17E5" w:rsidRDefault="007C17E5" w:rsidP="00A31136">
      <w:pPr>
        <w:pStyle w:val="Heading3"/>
      </w:pPr>
      <w:r>
        <w:lastRenderedPageBreak/>
        <w:t>Education – Beyond Classroom</w:t>
      </w:r>
    </w:p>
    <w:p w:rsidR="007C17E5" w:rsidRDefault="006A2686" w:rsidP="007C17E5">
      <w:pPr>
        <w:pStyle w:val="Heading4"/>
      </w:pPr>
      <w:r>
        <w:t>Education is more than instruction received in classrooms</w:t>
      </w:r>
    </w:p>
    <w:p w:rsidR="006A2686" w:rsidRDefault="006A2686" w:rsidP="006A2686">
      <w:r w:rsidRPr="006A2686">
        <w:rPr>
          <w:rStyle w:val="Style13ptBold"/>
        </w:rPr>
        <w:t>Davenport 88</w:t>
      </w:r>
      <w:r>
        <w:t xml:space="preserve"> – Judge </w:t>
      </w:r>
    </w:p>
    <w:p w:rsidR="006A2686" w:rsidRPr="006A2686" w:rsidRDefault="006A2686" w:rsidP="006A2686">
      <w:r>
        <w:t>(Horace, “</w:t>
      </w:r>
      <w:r w:rsidRPr="006A2686">
        <w:t>PRANA YOG</w:t>
      </w:r>
      <w:r>
        <w:t>A CENTRE v. LOWER POTTSGROVE,” April 20</w:t>
      </w:r>
      <w:r w:rsidRPr="006A2686">
        <w:rPr>
          <w:vertAlign w:val="superscript"/>
        </w:rPr>
        <w:t>th</w:t>
      </w:r>
      <w:r>
        <w:t xml:space="preserve"> 1988,  </w:t>
      </w:r>
      <w:hyperlink r:id="rId107" w:history="1">
        <w:r w:rsidRPr="000066A9">
          <w:rPr>
            <w:rStyle w:val="Hyperlink"/>
          </w:rPr>
          <w:t>http://www.leagle.com/decision/198869848PaDampC3d650_1627/PRANA%20YOGA%20CENTRE%20v.%20LOWER%20POTTSGROVE%20ZHB</w:t>
        </w:r>
      </w:hyperlink>
      <w:r>
        <w:t>)</w:t>
      </w:r>
    </w:p>
    <w:p w:rsidR="007C17E5" w:rsidRPr="006A2686" w:rsidRDefault="007C17E5" w:rsidP="007C17E5">
      <w:pPr>
        <w:rPr>
          <w:rStyle w:val="StyleUnderline"/>
        </w:rPr>
      </w:pPr>
      <w:r w:rsidRPr="006A2686">
        <w:rPr>
          <w:rStyle w:val="StyleUnderline"/>
        </w:rPr>
        <w:t xml:space="preserve">"The word [education] taken in its full sense, is a broad, comprehensive term and may be particularly directed to either mental, moral or physical faculties, but in its broadest sense it embraces them all, </w:t>
      </w:r>
      <w:r w:rsidRPr="006A2686">
        <w:rPr>
          <w:rStyle w:val="Emphasis"/>
        </w:rPr>
        <w:t>and includes not merely the instruction received at the school, college or university</w:t>
      </w:r>
      <w:r w:rsidRPr="006A2686">
        <w:rPr>
          <w:rStyle w:val="StyleUnderline"/>
        </w:rPr>
        <w:t>, but the whole course of training — moral, intellectual and physical</w:t>
      </w:r>
      <w:r w:rsidRPr="007C17E5">
        <w:t>."</w:t>
      </w:r>
      <w:r w:rsidR="006A2686">
        <w:t xml:space="preserve"> </w:t>
      </w:r>
      <w:proofErr w:type="spellStart"/>
      <w:r w:rsidRPr="007C17E5">
        <w:t>Gilden</w:t>
      </w:r>
      <w:proofErr w:type="spellEnd"/>
      <w:r w:rsidRPr="007C17E5">
        <w:t xml:space="preserve"> Appeal,</w:t>
      </w:r>
      <w:r w:rsidR="006A2686">
        <w:t xml:space="preserve"> </w:t>
      </w:r>
      <w:hyperlink r:id="rId108" w:history="1">
        <w:r w:rsidRPr="007C17E5">
          <w:rPr>
            <w:rStyle w:val="Hyperlink"/>
          </w:rPr>
          <w:t>406 Pa. 484</w:t>
        </w:r>
      </w:hyperlink>
      <w:r w:rsidRPr="007C17E5">
        <w:t>, 492, 178 A.2d 562, 566 (1962).</w:t>
      </w:r>
      <w:r w:rsidR="006A2686">
        <w:t xml:space="preserve"> </w:t>
      </w:r>
      <w:r w:rsidRPr="007C17E5">
        <w:t>Applying this broad definition, Pennsylvania courts have held the following constitute educational uses: college dormitories,</w:t>
      </w:r>
      <w:r w:rsidR="006A2686">
        <w:t xml:space="preserve"> </w:t>
      </w:r>
      <w:r w:rsidRPr="007C17E5">
        <w:t xml:space="preserve">Dale v. Zoning Hearing Board of </w:t>
      </w:r>
      <w:proofErr w:type="spellStart"/>
      <w:r w:rsidRPr="007C17E5">
        <w:t>Tredyffrin</w:t>
      </w:r>
      <w:proofErr w:type="spellEnd"/>
      <w:r w:rsidRPr="007C17E5">
        <w:t xml:space="preserve"> Township,</w:t>
      </w:r>
      <w:hyperlink r:id="rId109" w:history="1">
        <w:r w:rsidRPr="007C17E5">
          <w:rPr>
            <w:rStyle w:val="Hyperlink"/>
          </w:rPr>
          <w:t xml:space="preserve">91 </w:t>
        </w:r>
        <w:proofErr w:type="spellStart"/>
        <w:r w:rsidRPr="007C17E5">
          <w:rPr>
            <w:rStyle w:val="Hyperlink"/>
          </w:rPr>
          <w:t>Pa.Commw</w:t>
        </w:r>
        <w:proofErr w:type="spellEnd"/>
        <w:r w:rsidRPr="007C17E5">
          <w:rPr>
            <w:rStyle w:val="Hyperlink"/>
          </w:rPr>
          <w:t>. 220</w:t>
        </w:r>
      </w:hyperlink>
      <w:r w:rsidRPr="007C17E5">
        <w:t xml:space="preserve">, 496 A.2d 1321 (1985); a center for instruction in the culture, history, traditions and customs of the </w:t>
      </w:r>
      <w:proofErr w:type="spellStart"/>
      <w:r w:rsidRPr="007C17E5">
        <w:t>Ukranian</w:t>
      </w:r>
      <w:proofErr w:type="spellEnd"/>
      <w:r w:rsidRPr="007C17E5">
        <w:t xml:space="preserve"> Catholic Church,</w:t>
      </w:r>
      <w:r w:rsidR="006A2686">
        <w:t xml:space="preserve"> </w:t>
      </w:r>
      <w:r w:rsidRPr="007C17E5">
        <w:t xml:space="preserve">St. Sophia Religious Association of </w:t>
      </w:r>
      <w:proofErr w:type="spellStart"/>
      <w:r w:rsidRPr="007C17E5">
        <w:t>Ukranian</w:t>
      </w:r>
      <w:proofErr w:type="spellEnd"/>
      <w:r w:rsidRPr="007C17E5">
        <w:t xml:space="preserve"> Catholics Inc. v. Cheltenham Township,</w:t>
      </w:r>
      <w:r w:rsidR="006A2686">
        <w:t xml:space="preserve"> </w:t>
      </w:r>
      <w:hyperlink r:id="rId110" w:history="1">
        <w:r w:rsidRPr="007C17E5">
          <w:rPr>
            <w:rStyle w:val="Hyperlink"/>
          </w:rPr>
          <w:t xml:space="preserve">27 </w:t>
        </w:r>
        <w:proofErr w:type="spellStart"/>
        <w:r w:rsidRPr="007C17E5">
          <w:rPr>
            <w:rStyle w:val="Hyperlink"/>
          </w:rPr>
          <w:t>Pa.Commw</w:t>
        </w:r>
        <w:proofErr w:type="spellEnd"/>
        <w:r w:rsidRPr="007C17E5">
          <w:rPr>
            <w:rStyle w:val="Hyperlink"/>
          </w:rPr>
          <w:t>. 237</w:t>
        </w:r>
      </w:hyperlink>
      <w:r w:rsidRPr="007C17E5">
        <w:t>, 365 A.2d 1389 (1976); an equestrian training center,</w:t>
      </w:r>
      <w:r w:rsidR="006A2686">
        <w:t xml:space="preserve"> </w:t>
      </w:r>
      <w:proofErr w:type="spellStart"/>
      <w:r w:rsidRPr="007C17E5">
        <w:t>Burgoon</w:t>
      </w:r>
      <w:proofErr w:type="spellEnd"/>
      <w:r w:rsidRPr="007C17E5">
        <w:t xml:space="preserve"> v. Zoning Hearing Board of Charlestown Township,</w:t>
      </w:r>
      <w:r w:rsidR="006A2686">
        <w:t xml:space="preserve"> </w:t>
      </w:r>
      <w:hyperlink r:id="rId111" w:history="1">
        <w:r w:rsidRPr="007C17E5">
          <w:rPr>
            <w:rStyle w:val="Hyperlink"/>
          </w:rPr>
          <w:t xml:space="preserve">2 </w:t>
        </w:r>
        <w:proofErr w:type="spellStart"/>
        <w:r w:rsidRPr="007C17E5">
          <w:rPr>
            <w:rStyle w:val="Hyperlink"/>
          </w:rPr>
          <w:t>Pa.Commw</w:t>
        </w:r>
        <w:proofErr w:type="spellEnd"/>
        <w:r w:rsidRPr="007C17E5">
          <w:rPr>
            <w:rStyle w:val="Hyperlink"/>
          </w:rPr>
          <w:t>. 238</w:t>
        </w:r>
      </w:hyperlink>
      <w:r w:rsidRPr="007C17E5">
        <w:t>, 277 A.2d 837 (1971); and, a Little League baseball field,</w:t>
      </w:r>
      <w:r w:rsidR="006A2686">
        <w:t xml:space="preserve"> </w:t>
      </w:r>
      <w:r w:rsidRPr="007C17E5">
        <w:t>Kirk Zoning Appeal,</w:t>
      </w:r>
      <w:r w:rsidR="006A2686">
        <w:t xml:space="preserve"> </w:t>
      </w:r>
      <w:r w:rsidRPr="007C17E5">
        <w:t>12 Chester L. Rep. 229 (1964).</w:t>
      </w:r>
      <w:r w:rsidR="006A2686">
        <w:t xml:space="preserve"> </w:t>
      </w:r>
      <w:r w:rsidRPr="006A2686">
        <w:rPr>
          <w:rStyle w:val="StyleUnderline"/>
        </w:rPr>
        <w:t xml:space="preserve">The obvious import of these aforementioned cases is that the term "educational" </w:t>
      </w:r>
      <w:r w:rsidRPr="006A2686">
        <w:rPr>
          <w:rStyle w:val="Emphasis"/>
        </w:rPr>
        <w:t>may encompass more than reading, writing and arithmetic classes</w:t>
      </w:r>
      <w:r w:rsidRPr="006A2686">
        <w:rPr>
          <w:rStyle w:val="StyleUnderline"/>
        </w:rPr>
        <w:t xml:space="preserve"> taught in traditional schools, colleges or universities. Indeed, the word "educational" has been associated with any type of training which promotes</w:t>
      </w:r>
      <w:r w:rsidR="006A2686">
        <w:rPr>
          <w:rStyle w:val="StyleUnderline"/>
        </w:rPr>
        <w:t xml:space="preserve"> </w:t>
      </w:r>
      <w:r w:rsidRPr="007C17E5">
        <w:t>[48 D. &amp; C. 3d 653]</w:t>
      </w:r>
      <w:r w:rsidR="006A2686">
        <w:t xml:space="preserve"> </w:t>
      </w:r>
      <w:r w:rsidRPr="006A2686">
        <w:rPr>
          <w:rStyle w:val="Emphasis"/>
        </w:rPr>
        <w:t>moral, intellectual or physical well-being</w:t>
      </w:r>
      <w:r w:rsidRPr="006A2686">
        <w:rPr>
          <w:rStyle w:val="StyleUnderline"/>
        </w:rPr>
        <w:t>.</w:t>
      </w:r>
      <w:r w:rsidR="006A2686">
        <w:rPr>
          <w:rStyle w:val="StyleUnderline"/>
        </w:rPr>
        <w:t xml:space="preserve"> </w:t>
      </w:r>
      <w:proofErr w:type="spellStart"/>
      <w:r w:rsidRPr="006A2686">
        <w:rPr>
          <w:rStyle w:val="StyleUnderline"/>
        </w:rPr>
        <w:t>Burgoon</w:t>
      </w:r>
      <w:proofErr w:type="spellEnd"/>
      <w:r w:rsidRPr="006A2686">
        <w:rPr>
          <w:rStyle w:val="StyleUnderline"/>
        </w:rPr>
        <w:t xml:space="preserve"> v. Zoning Hearing Board of Charlestown Township, supra; Kirk Zoning Appeal, supra.</w:t>
      </w:r>
    </w:p>
    <w:p w:rsidR="00F95394" w:rsidRDefault="00A31136" w:rsidP="00A31136">
      <w:pPr>
        <w:pStyle w:val="Heading3"/>
      </w:pPr>
      <w:r>
        <w:lastRenderedPageBreak/>
        <w:t xml:space="preserve">Education – </w:t>
      </w:r>
      <w:r w:rsidR="004E2055">
        <w:t xml:space="preserve">Broad </w:t>
      </w:r>
      <w:proofErr w:type="spellStart"/>
      <w:r w:rsidR="004E2055">
        <w:t>Interp</w:t>
      </w:r>
      <w:proofErr w:type="spellEnd"/>
    </w:p>
    <w:p w:rsidR="00A31136" w:rsidRDefault="00A31136" w:rsidP="00A31136">
      <w:pPr>
        <w:pStyle w:val="Heading4"/>
      </w:pPr>
      <w:r>
        <w:t>Education can be directed towards anything</w:t>
      </w:r>
    </w:p>
    <w:p w:rsidR="00A31136" w:rsidRDefault="00A31136" w:rsidP="00A31136">
      <w:pPr>
        <w:rPr>
          <w:rStyle w:val="Style13ptBold"/>
        </w:rPr>
      </w:pPr>
      <w:r>
        <w:rPr>
          <w:rStyle w:val="Style13ptBold"/>
        </w:rPr>
        <w:t>Common Wealth of Massachusetts 1987</w:t>
      </w:r>
    </w:p>
    <w:p w:rsidR="00A31136" w:rsidRPr="00A31136" w:rsidRDefault="00A31136" w:rsidP="00A31136">
      <w:pPr>
        <w:rPr>
          <w:rStyle w:val="Style13ptBold"/>
          <w:b w:val="0"/>
          <w:bCs w:val="0"/>
          <w:sz w:val="22"/>
        </w:rPr>
      </w:pPr>
      <w:r w:rsidRPr="00A31136">
        <w:t>(</w:t>
      </w:r>
      <w:r>
        <w:t>“</w:t>
      </w:r>
      <w:r w:rsidRPr="00A31136">
        <w:t>MOUNT HERMON BOYS' SCHOOL vs. INHABITANTS OF GILL</w:t>
      </w:r>
      <w:r>
        <w:t xml:space="preserve">,” </w:t>
      </w:r>
      <w:r w:rsidRPr="00A31136">
        <w:t>http://masscases.com/cases/sjc/145/145mass139.html</w:t>
      </w:r>
      <w:r>
        <w:t>)</w:t>
      </w:r>
    </w:p>
    <w:p w:rsidR="00A31136" w:rsidRDefault="00A31136" w:rsidP="00A31136">
      <w:r w:rsidRPr="00A31136">
        <w:rPr>
          <w:rStyle w:val="StyleUnderline"/>
        </w:rPr>
        <w:t xml:space="preserve">The purpose of the plaintiff's incorporation was the "education of boys." Education is </w:t>
      </w:r>
      <w:r w:rsidRPr="00A31136">
        <w:rPr>
          <w:rStyle w:val="Emphasis"/>
        </w:rPr>
        <w:t>a broad and comprehensive term</w:t>
      </w:r>
      <w:r w:rsidRPr="00A31136">
        <w:rPr>
          <w:rStyle w:val="StyleUnderline"/>
        </w:rPr>
        <w:t>. It has been defined as "the process of developing and training the powers and capabilities of human beings</w:t>
      </w:r>
      <w:r w:rsidRPr="00A31136">
        <w:t xml:space="preserve">." </w:t>
      </w:r>
      <w:r w:rsidRPr="00A31136">
        <w:rPr>
          <w:rStyle w:val="StyleUnderline"/>
        </w:rPr>
        <w:t>To educate, according to one of Webster's definitions, is "to prepare and fit for any calling or business, or for activity and usefulness in life</w:t>
      </w:r>
      <w:r w:rsidRPr="00A31136">
        <w:t xml:space="preserve">." </w:t>
      </w:r>
      <w:r w:rsidRPr="00A31136">
        <w:rPr>
          <w:rStyle w:val="StyleUnderline"/>
        </w:rPr>
        <w:t xml:space="preserve">Education may be particularly directed to either the mental, moral, or physical powers and faculties, but in its broadest and best sense </w:t>
      </w:r>
      <w:r w:rsidRPr="00A31136">
        <w:rPr>
          <w:rStyle w:val="Emphasis"/>
        </w:rPr>
        <w:t>it relates to them all</w:t>
      </w:r>
      <w:r w:rsidRPr="00A31136">
        <w:t>. The plaintiff's trustees did not exceed their authority under their certificate of incorporation when they established an institution one of whose purposes was, according to the facts found, "to provide a place where young men, whose early education has been neglected, can be instructed, their physical welfare cared for, and a practical knowledge of work, especially in agriculture, given, by requiring of each member of the school a certain amount, usually two or three hours per day, of manual labor on said farm." It appears further in the facts, that "the aim of the industrial arrangements is not so much to secure pecuniary benefit as to provide for physical culture, teach how to do various kinds of farm work, form habits of industry, and inculcate right views of manual labor, and especially of agriculture."</w:t>
      </w:r>
    </w:p>
    <w:p w:rsidR="00B77A97" w:rsidRDefault="00B77A97" w:rsidP="00B77A97">
      <w:pPr>
        <w:pStyle w:val="Heading2"/>
      </w:pPr>
      <w:r>
        <w:lastRenderedPageBreak/>
        <w:t>In</w:t>
      </w:r>
    </w:p>
    <w:p w:rsidR="00B831A4" w:rsidRDefault="00B831A4" w:rsidP="00B77A97">
      <w:pPr>
        <w:pStyle w:val="Heading3"/>
      </w:pPr>
      <w:r>
        <w:lastRenderedPageBreak/>
        <w:t>In – Throughout</w:t>
      </w:r>
    </w:p>
    <w:p w:rsidR="00B831A4" w:rsidRPr="0008053D" w:rsidRDefault="00B831A4" w:rsidP="00B831A4">
      <w:pPr>
        <w:pStyle w:val="Heading4"/>
      </w:pPr>
      <w:r>
        <w:t>In means throughout</w:t>
      </w:r>
    </w:p>
    <w:p w:rsidR="00B831A4" w:rsidRPr="0008053D" w:rsidRDefault="00B831A4" w:rsidP="00B831A4">
      <w:r w:rsidRPr="0008053D">
        <w:rPr>
          <w:rStyle w:val="Style13ptBold"/>
        </w:rPr>
        <w:t>Words and Phrases, 8</w:t>
      </w:r>
      <w:r w:rsidRPr="0008053D">
        <w:t xml:space="preserve"> (Words and Phrases Permanent Edition, “In,” Volume 20A, p. 205-215 March 2008, Thomson West)</w:t>
      </w:r>
    </w:p>
    <w:p w:rsidR="00B831A4" w:rsidRPr="0008053D" w:rsidRDefault="00B831A4" w:rsidP="00B831A4">
      <w:pPr>
        <w:pStyle w:val="card"/>
      </w:pPr>
      <w:r w:rsidRPr="0008053D">
        <w:t xml:space="preserve">Colo. 1887. In the act of 1861 providing that justices of the peace shall have jurisdiction “in” their respective counties to hear and determine all complaints, </w:t>
      </w:r>
      <w:proofErr w:type="spellStart"/>
      <w:r w:rsidRPr="0008053D">
        <w:t>ect</w:t>
      </w:r>
      <w:proofErr w:type="spellEnd"/>
      <w:r w:rsidRPr="0008053D">
        <w:t xml:space="preserve">., </w:t>
      </w:r>
      <w:r w:rsidRPr="00B831A4">
        <w:rPr>
          <w:rStyle w:val="StyleUnderline"/>
        </w:rPr>
        <w:t>the word “in” should be construed to mean throughout</w:t>
      </w:r>
      <w:r w:rsidRPr="00B831A4">
        <w:t xml:space="preserve"> such</w:t>
      </w:r>
      <w:r w:rsidRPr="0008053D">
        <w:t xml:space="preserve"> counties.</w:t>
      </w:r>
    </w:p>
    <w:p w:rsidR="00B831A4" w:rsidRPr="00B831A4" w:rsidRDefault="00B831A4" w:rsidP="00B831A4"/>
    <w:p w:rsidR="00B77A97" w:rsidRDefault="00B77A97" w:rsidP="00B77A97">
      <w:pPr>
        <w:pStyle w:val="Heading3"/>
      </w:pPr>
      <w:r>
        <w:lastRenderedPageBreak/>
        <w:t>In – Within</w:t>
      </w:r>
    </w:p>
    <w:p w:rsidR="00B77A97" w:rsidRDefault="00B77A97" w:rsidP="00B77A97">
      <w:pPr>
        <w:pStyle w:val="Heading4"/>
      </w:pPr>
      <w:r>
        <w:t>It has just has to be within the limits</w:t>
      </w:r>
    </w:p>
    <w:p w:rsidR="00B831A4" w:rsidRPr="00B831A4" w:rsidRDefault="00B831A4" w:rsidP="00B831A4">
      <w:pPr>
        <w:rPr>
          <w:rStyle w:val="Style13ptBold"/>
        </w:rPr>
      </w:pPr>
      <w:r>
        <w:rPr>
          <w:rStyle w:val="Style13ptBold"/>
        </w:rPr>
        <w:t>Merriam Webster Dictionary 17</w:t>
      </w:r>
    </w:p>
    <w:p w:rsidR="00B831A4" w:rsidRPr="00B831A4" w:rsidRDefault="00B831A4" w:rsidP="00B831A4">
      <w:r>
        <w:t xml:space="preserve">(Merriam Webster Dictionary, </w:t>
      </w:r>
      <w:r w:rsidRPr="00B831A4">
        <w:t>https://www.merriam-webster.com/dictionary/in</w:t>
      </w:r>
      <w:r>
        <w:t>)</w:t>
      </w:r>
    </w:p>
    <w:p w:rsidR="00B77A97" w:rsidRPr="00B831A4" w:rsidRDefault="00B77A97" w:rsidP="00B831A4">
      <w:r w:rsidRPr="00B831A4">
        <w:t>a —</w:t>
      </w:r>
      <w:r w:rsidRPr="00B831A4">
        <w:rPr>
          <w:rStyle w:val="StyleUnderline"/>
        </w:rPr>
        <w:t xml:space="preserve">used as a function word to indicate inclusion, location, or </w:t>
      </w:r>
      <w:r w:rsidRPr="00B831A4">
        <w:rPr>
          <w:rStyle w:val="Emphasis"/>
        </w:rPr>
        <w:t>position within limits</w:t>
      </w:r>
      <w:r w:rsidRPr="00B831A4">
        <w:t> in the lake wounded in the leg in the summer</w:t>
      </w:r>
    </w:p>
    <w:sectPr w:rsidR="00B77A97" w:rsidRPr="00B831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11AD4"/>
    <w:multiLevelType w:val="multilevel"/>
    <w:tmpl w:val="D246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522BA"/>
    <w:multiLevelType w:val="multilevel"/>
    <w:tmpl w:val="F9B42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91163D"/>
    <w:multiLevelType w:val="multilevel"/>
    <w:tmpl w:val="AEFEC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F3CA2"/>
    <w:multiLevelType w:val="multilevel"/>
    <w:tmpl w:val="B54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2D24AC"/>
    <w:multiLevelType w:val="multilevel"/>
    <w:tmpl w:val="285A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2"/>
  </w:num>
  <w:num w:numId="14">
    <w:abstractNumId w:val="12"/>
    <w:lvlOverride w:ilvl="1">
      <w:lvl w:ilvl="1">
        <w:numFmt w:val="decimal"/>
        <w:lvlText w:val="%2."/>
        <w:lvlJc w:val="left"/>
      </w:lvl>
    </w:lvlOverride>
  </w:num>
  <w:num w:numId="15">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6">
    <w:abstractNumId w:val="14"/>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46458992"/>
    <w:docVar w:name="VerbatimVersion" w:val="5.1"/>
  </w:docVars>
  <w:rsids>
    <w:rsidRoot w:val="00B91EA4"/>
    <w:rsid w:val="000139A3"/>
    <w:rsid w:val="00042E98"/>
    <w:rsid w:val="00054E36"/>
    <w:rsid w:val="00090DF8"/>
    <w:rsid w:val="00095CDE"/>
    <w:rsid w:val="000A435C"/>
    <w:rsid w:val="00100833"/>
    <w:rsid w:val="00101F7D"/>
    <w:rsid w:val="00104529"/>
    <w:rsid w:val="00105942"/>
    <w:rsid w:val="00107396"/>
    <w:rsid w:val="0013564F"/>
    <w:rsid w:val="00144A4C"/>
    <w:rsid w:val="001566BE"/>
    <w:rsid w:val="001769D1"/>
    <w:rsid w:val="00176AB0"/>
    <w:rsid w:val="0017706F"/>
    <w:rsid w:val="00177B7D"/>
    <w:rsid w:val="0018322D"/>
    <w:rsid w:val="001B5776"/>
    <w:rsid w:val="001E527A"/>
    <w:rsid w:val="001F78CE"/>
    <w:rsid w:val="00206A2C"/>
    <w:rsid w:val="00225E92"/>
    <w:rsid w:val="00240EBE"/>
    <w:rsid w:val="00251FC7"/>
    <w:rsid w:val="002855A7"/>
    <w:rsid w:val="002A52B5"/>
    <w:rsid w:val="002B146A"/>
    <w:rsid w:val="002B5E17"/>
    <w:rsid w:val="0030645F"/>
    <w:rsid w:val="00313265"/>
    <w:rsid w:val="00315690"/>
    <w:rsid w:val="00316B75"/>
    <w:rsid w:val="00325646"/>
    <w:rsid w:val="003460F2"/>
    <w:rsid w:val="00372DCD"/>
    <w:rsid w:val="003775C0"/>
    <w:rsid w:val="0038158C"/>
    <w:rsid w:val="003902BA"/>
    <w:rsid w:val="003A09E2"/>
    <w:rsid w:val="003A1114"/>
    <w:rsid w:val="003C5F88"/>
    <w:rsid w:val="00406198"/>
    <w:rsid w:val="00407037"/>
    <w:rsid w:val="004605D6"/>
    <w:rsid w:val="00461344"/>
    <w:rsid w:val="004C47C9"/>
    <w:rsid w:val="004C60E8"/>
    <w:rsid w:val="004E2055"/>
    <w:rsid w:val="004E3579"/>
    <w:rsid w:val="004E728B"/>
    <w:rsid w:val="004F39E0"/>
    <w:rsid w:val="00537BD5"/>
    <w:rsid w:val="005438A5"/>
    <w:rsid w:val="0057268A"/>
    <w:rsid w:val="005745A9"/>
    <w:rsid w:val="005C78F5"/>
    <w:rsid w:val="005D2912"/>
    <w:rsid w:val="006065BD"/>
    <w:rsid w:val="00626806"/>
    <w:rsid w:val="006377D6"/>
    <w:rsid w:val="0064034C"/>
    <w:rsid w:val="00645FA9"/>
    <w:rsid w:val="00647866"/>
    <w:rsid w:val="00650731"/>
    <w:rsid w:val="00663441"/>
    <w:rsid w:val="00663E00"/>
    <w:rsid w:val="00665003"/>
    <w:rsid w:val="0068775D"/>
    <w:rsid w:val="006A2686"/>
    <w:rsid w:val="006A2AD0"/>
    <w:rsid w:val="006C2375"/>
    <w:rsid w:val="006D3616"/>
    <w:rsid w:val="006D4ECC"/>
    <w:rsid w:val="006E20D5"/>
    <w:rsid w:val="00722258"/>
    <w:rsid w:val="007243E5"/>
    <w:rsid w:val="0073716A"/>
    <w:rsid w:val="00741224"/>
    <w:rsid w:val="00766EA0"/>
    <w:rsid w:val="0077473D"/>
    <w:rsid w:val="007960A1"/>
    <w:rsid w:val="007A2226"/>
    <w:rsid w:val="007C17E5"/>
    <w:rsid w:val="007D0341"/>
    <w:rsid w:val="007E3798"/>
    <w:rsid w:val="007F5B66"/>
    <w:rsid w:val="00823A1C"/>
    <w:rsid w:val="00845B9D"/>
    <w:rsid w:val="00860984"/>
    <w:rsid w:val="008B3ECB"/>
    <w:rsid w:val="008B4E85"/>
    <w:rsid w:val="008C1B2E"/>
    <w:rsid w:val="008C25EC"/>
    <w:rsid w:val="0091627E"/>
    <w:rsid w:val="00967E7E"/>
    <w:rsid w:val="0097032B"/>
    <w:rsid w:val="009939F5"/>
    <w:rsid w:val="009A2E7D"/>
    <w:rsid w:val="009D2EAD"/>
    <w:rsid w:val="009D54B2"/>
    <w:rsid w:val="009E1922"/>
    <w:rsid w:val="009F6864"/>
    <w:rsid w:val="009F7ED2"/>
    <w:rsid w:val="00A2077C"/>
    <w:rsid w:val="00A2288A"/>
    <w:rsid w:val="00A31136"/>
    <w:rsid w:val="00A93661"/>
    <w:rsid w:val="00A95652"/>
    <w:rsid w:val="00AB0387"/>
    <w:rsid w:val="00AC0AB8"/>
    <w:rsid w:val="00AD20AE"/>
    <w:rsid w:val="00AD5EEE"/>
    <w:rsid w:val="00AF077C"/>
    <w:rsid w:val="00B035F4"/>
    <w:rsid w:val="00B33C6D"/>
    <w:rsid w:val="00B4508F"/>
    <w:rsid w:val="00B4553C"/>
    <w:rsid w:val="00B55AD5"/>
    <w:rsid w:val="00B63916"/>
    <w:rsid w:val="00B77A97"/>
    <w:rsid w:val="00B8057C"/>
    <w:rsid w:val="00B831A4"/>
    <w:rsid w:val="00B91EA4"/>
    <w:rsid w:val="00BD6238"/>
    <w:rsid w:val="00BD7347"/>
    <w:rsid w:val="00BF593B"/>
    <w:rsid w:val="00BF773A"/>
    <w:rsid w:val="00BF7E81"/>
    <w:rsid w:val="00C13773"/>
    <w:rsid w:val="00C17CC8"/>
    <w:rsid w:val="00C72BCA"/>
    <w:rsid w:val="00C83417"/>
    <w:rsid w:val="00C9604F"/>
    <w:rsid w:val="00CA19AA"/>
    <w:rsid w:val="00CC5298"/>
    <w:rsid w:val="00CD736E"/>
    <w:rsid w:val="00CD798D"/>
    <w:rsid w:val="00CE161E"/>
    <w:rsid w:val="00CF59A8"/>
    <w:rsid w:val="00D325A9"/>
    <w:rsid w:val="00D36A8A"/>
    <w:rsid w:val="00D41551"/>
    <w:rsid w:val="00D5549B"/>
    <w:rsid w:val="00D61409"/>
    <w:rsid w:val="00D6691E"/>
    <w:rsid w:val="00D71170"/>
    <w:rsid w:val="00DA1C92"/>
    <w:rsid w:val="00DA25D4"/>
    <w:rsid w:val="00DA6538"/>
    <w:rsid w:val="00DA6B81"/>
    <w:rsid w:val="00DC105A"/>
    <w:rsid w:val="00E057D8"/>
    <w:rsid w:val="00E15E75"/>
    <w:rsid w:val="00E5262C"/>
    <w:rsid w:val="00E52ABF"/>
    <w:rsid w:val="00E65573"/>
    <w:rsid w:val="00E827A4"/>
    <w:rsid w:val="00EC15C4"/>
    <w:rsid w:val="00EC4856"/>
    <w:rsid w:val="00EC7DC4"/>
    <w:rsid w:val="00ED30CF"/>
    <w:rsid w:val="00F03569"/>
    <w:rsid w:val="00F176EF"/>
    <w:rsid w:val="00F44345"/>
    <w:rsid w:val="00F45E10"/>
    <w:rsid w:val="00F53CF6"/>
    <w:rsid w:val="00F6364A"/>
    <w:rsid w:val="00F9113A"/>
    <w:rsid w:val="00F95394"/>
    <w:rsid w:val="00FD063D"/>
    <w:rsid w:val="00FD585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C79D26-3CE0-4F4A-8F30-31E919ACE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057D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057D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057D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Char Char,Index Headers,Citation Char Char"/>
    <w:basedOn w:val="Normal"/>
    <w:next w:val="Normal"/>
    <w:link w:val="Heading3Char"/>
    <w:uiPriority w:val="3"/>
    <w:qFormat/>
    <w:rsid w:val="00E057D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21,CD - Cite,ta"/>
    <w:basedOn w:val="Normal"/>
    <w:next w:val="Normal"/>
    <w:link w:val="Heading4Char"/>
    <w:uiPriority w:val="4"/>
    <w:qFormat/>
    <w:rsid w:val="00E057D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057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57D8"/>
  </w:style>
  <w:style w:type="character" w:customStyle="1" w:styleId="Heading1Char">
    <w:name w:val="Heading 1 Char"/>
    <w:aliases w:val="Pocket Char"/>
    <w:basedOn w:val="DefaultParagraphFont"/>
    <w:link w:val="Heading1"/>
    <w:uiPriority w:val="1"/>
    <w:rsid w:val="00E057D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057D8"/>
    <w:rPr>
      <w:rFonts w:ascii="Calibri" w:eastAsiaTheme="majorEastAsia" w:hAnsi="Calibri" w:cstheme="majorBidi"/>
      <w:b/>
      <w:bCs/>
      <w:sz w:val="44"/>
      <w:szCs w:val="26"/>
      <w:u w:val="double"/>
    </w:rPr>
  </w:style>
  <w:style w:type="character" w:customStyle="1" w:styleId="Heading3Char">
    <w:name w:val="Heading 3 Char"/>
    <w:aliases w:val="Block Char,No Underline Char,Char Char Char Char Char Char Char Char,Text 7 Char,Heading 3 Char Char Char,Char Char1,Tags v 2 Char,3: Cite Char,Char1 Char,Underlines Char,Heading 3 Char3 Char,Tag Char Char Char,Bold Cite Char,Cite 1 Char"/>
    <w:basedOn w:val="DefaultParagraphFont"/>
    <w:link w:val="Heading3"/>
    <w:uiPriority w:val="3"/>
    <w:rsid w:val="00E057D8"/>
    <w:rPr>
      <w:rFonts w:ascii="Calibri" w:eastAsiaTheme="majorEastAsia" w:hAnsi="Calibri" w:cstheme="majorBidi"/>
      <w:b/>
      <w:bCs/>
      <w:sz w:val="32"/>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4"/>
    <w:rsid w:val="00E057D8"/>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E057D8"/>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E057D8"/>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Citation Char Char Char,ci,c,Bo,Intense Emphasis11"/>
    <w:basedOn w:val="DefaultParagraphFont"/>
    <w:uiPriority w:val="6"/>
    <w:qFormat/>
    <w:rsid w:val="00E057D8"/>
    <w:rPr>
      <w:b w:val="0"/>
      <w:bCs/>
      <w:sz w:val="22"/>
      <w:u w:val="single"/>
    </w:rPr>
  </w:style>
  <w:style w:type="character" w:styleId="Hyperlink">
    <w:name w:val="Hyperlink"/>
    <w:basedOn w:val="DefaultParagraphFont"/>
    <w:uiPriority w:val="99"/>
    <w:rsid w:val="00E057D8"/>
    <w:rPr>
      <w:color w:val="auto"/>
      <w:u w:val="none"/>
    </w:rPr>
  </w:style>
  <w:style w:type="character" w:styleId="FollowedHyperlink">
    <w:name w:val="FollowedHyperlink"/>
    <w:basedOn w:val="DefaultParagraphFont"/>
    <w:uiPriority w:val="99"/>
    <w:semiHidden/>
    <w:rsid w:val="00E057D8"/>
    <w:rPr>
      <w:color w:val="auto"/>
      <w:u w:val="none"/>
    </w:rPr>
  </w:style>
  <w:style w:type="character" w:customStyle="1" w:styleId="TitleChar">
    <w:name w:val="Title Char"/>
    <w:basedOn w:val="DefaultParagraphFont"/>
    <w:link w:val="Title"/>
    <w:uiPriority w:val="5"/>
    <w:qFormat/>
    <w:rsid w:val="00B91EA4"/>
    <w:rPr>
      <w:u w:val="single"/>
    </w:rPr>
  </w:style>
  <w:style w:type="paragraph" w:customStyle="1" w:styleId="textbold">
    <w:name w:val="text bold"/>
    <w:basedOn w:val="Normal"/>
    <w:link w:val="Emphasis"/>
    <w:uiPriority w:val="7"/>
    <w:qFormat/>
    <w:rsid w:val="00B91EA4"/>
    <w:pPr>
      <w:ind w:left="720"/>
      <w:jc w:val="both"/>
    </w:pPr>
    <w:rPr>
      <w:b/>
      <w:iCs/>
      <w:u w:val="single"/>
      <w:bdr w:val="single" w:sz="18" w:space="0" w:color="auto"/>
    </w:rPr>
  </w:style>
  <w:style w:type="paragraph" w:styleId="Title">
    <w:name w:val="Title"/>
    <w:basedOn w:val="Normal"/>
    <w:next w:val="Normal"/>
    <w:link w:val="TitleChar"/>
    <w:uiPriority w:val="1"/>
    <w:qFormat/>
    <w:rsid w:val="00B91EA4"/>
    <w:pPr>
      <w:ind w:left="720"/>
      <w:outlineLvl w:val="0"/>
    </w:pPr>
    <w:rPr>
      <w:rFonts w:asciiTheme="minorHAnsi" w:hAnsiTheme="minorHAnsi"/>
      <w:u w:val="single"/>
    </w:rPr>
  </w:style>
  <w:style w:type="character" w:customStyle="1" w:styleId="TitleChar1">
    <w:name w:val="Title Char1"/>
    <w:basedOn w:val="DefaultParagraphFont"/>
    <w:uiPriority w:val="99"/>
    <w:semiHidden/>
    <w:rsid w:val="00B91EA4"/>
    <w:rPr>
      <w:rFonts w:asciiTheme="majorHAnsi" w:eastAsiaTheme="majorEastAsia" w:hAnsiTheme="majorHAnsi" w:cstheme="majorBidi"/>
      <w:spacing w:val="-10"/>
      <w:kern w:val="28"/>
      <w:sz w:val="56"/>
      <w:szCs w:val="56"/>
    </w:rPr>
  </w:style>
  <w:style w:type="character" w:customStyle="1" w:styleId="cite">
    <w:name w:val="cite"/>
    <w:rsid w:val="00B91EA4"/>
    <w:rPr>
      <w:rFonts w:ascii="Times New Roman" w:hAnsi="Times New Roman"/>
      <w:b/>
      <w:sz w:val="24"/>
    </w:rPr>
  </w:style>
  <w:style w:type="paragraph" w:customStyle="1" w:styleId="card">
    <w:name w:val="card"/>
    <w:basedOn w:val="Normal"/>
    <w:next w:val="Normal"/>
    <w:link w:val="cardChar"/>
    <w:qFormat/>
    <w:rsid w:val="00B91EA4"/>
    <w:pPr>
      <w:ind w:left="288" w:right="288"/>
    </w:pPr>
    <w:rPr>
      <w:rFonts w:ascii="Times New Roman" w:eastAsia="Times New Roman" w:hAnsi="Times New Roman" w:cs="Times New Roman"/>
      <w:sz w:val="20"/>
      <w:szCs w:val="20"/>
    </w:rPr>
  </w:style>
  <w:style w:type="character" w:customStyle="1" w:styleId="cardChar">
    <w:name w:val="card Char"/>
    <w:link w:val="card"/>
    <w:rsid w:val="00B91EA4"/>
    <w:rPr>
      <w:rFonts w:ascii="Times New Roman" w:eastAsia="Times New Roman" w:hAnsi="Times New Roman" w:cs="Times New Roman"/>
      <w:sz w:val="20"/>
      <w:szCs w:val="20"/>
    </w:rPr>
  </w:style>
  <w:style w:type="character" w:customStyle="1" w:styleId="underline">
    <w:name w:val="underline"/>
    <w:qFormat/>
    <w:rsid w:val="00B91EA4"/>
    <w:rPr>
      <w:b/>
      <w:u w:val="single"/>
    </w:rPr>
  </w:style>
  <w:style w:type="paragraph" w:styleId="NormalWeb">
    <w:name w:val="Normal (Web)"/>
    <w:basedOn w:val="Normal"/>
    <w:uiPriority w:val="99"/>
    <w:semiHidden/>
    <w:unhideWhenUsed/>
    <w:rsid w:val="00AD20AE"/>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D20AE"/>
  </w:style>
  <w:style w:type="character" w:customStyle="1" w:styleId="tt">
    <w:name w:val="tt"/>
    <w:basedOn w:val="DefaultParagraphFont"/>
    <w:rsid w:val="00AD20AE"/>
  </w:style>
  <w:style w:type="paragraph" w:customStyle="1" w:styleId="tt1">
    <w:name w:val="tt1"/>
    <w:basedOn w:val="Normal"/>
    <w:rsid w:val="00AD20AE"/>
    <w:pPr>
      <w:spacing w:before="100" w:beforeAutospacing="1" w:after="100" w:afterAutospacing="1"/>
    </w:pPr>
    <w:rPr>
      <w:rFonts w:ascii="Times New Roman" w:eastAsia="Times New Roman" w:hAnsi="Times New Roman" w:cs="Times New Roman"/>
      <w:sz w:val="24"/>
      <w:szCs w:val="24"/>
    </w:rPr>
  </w:style>
  <w:style w:type="character" w:customStyle="1" w:styleId="head">
    <w:name w:val="head"/>
    <w:basedOn w:val="DefaultParagraphFont"/>
    <w:rsid w:val="005745A9"/>
  </w:style>
  <w:style w:type="character" w:customStyle="1" w:styleId="citation">
    <w:name w:val="citation"/>
    <w:basedOn w:val="DefaultParagraphFont"/>
    <w:rsid w:val="005745A9"/>
  </w:style>
  <w:style w:type="character" w:customStyle="1" w:styleId="volume">
    <w:name w:val="volume"/>
    <w:basedOn w:val="DefaultParagraphFont"/>
    <w:rsid w:val="005745A9"/>
  </w:style>
  <w:style w:type="character" w:customStyle="1" w:styleId="reporter">
    <w:name w:val="reporter"/>
    <w:basedOn w:val="DefaultParagraphFont"/>
    <w:rsid w:val="005745A9"/>
  </w:style>
  <w:style w:type="character" w:customStyle="1" w:styleId="page">
    <w:name w:val="page"/>
    <w:basedOn w:val="DefaultParagraphFont"/>
    <w:rsid w:val="005745A9"/>
  </w:style>
  <w:style w:type="character" w:customStyle="1" w:styleId="star-pagination">
    <w:name w:val="star-pagination"/>
    <w:basedOn w:val="DefaultParagraphFont"/>
    <w:rsid w:val="005745A9"/>
  </w:style>
  <w:style w:type="character" w:customStyle="1" w:styleId="alt">
    <w:name w:val="alt"/>
    <w:basedOn w:val="DefaultParagraphFont"/>
    <w:rsid w:val="00663E00"/>
  </w:style>
  <w:style w:type="character" w:styleId="Strong">
    <w:name w:val="Strong"/>
    <w:basedOn w:val="DefaultParagraphFont"/>
    <w:uiPriority w:val="22"/>
    <w:qFormat/>
    <w:rsid w:val="006D3616"/>
    <w:rPr>
      <w:b/>
      <w:bCs/>
    </w:rPr>
  </w:style>
  <w:style w:type="paragraph" w:customStyle="1" w:styleId="cb-split">
    <w:name w:val="cb-split"/>
    <w:basedOn w:val="Normal"/>
    <w:rsid w:val="00B035F4"/>
    <w:pPr>
      <w:spacing w:before="100" w:beforeAutospacing="1" w:after="100" w:afterAutospacing="1"/>
    </w:pPr>
    <w:rPr>
      <w:rFonts w:ascii="Times New Roman" w:eastAsia="Times New Roman" w:hAnsi="Times New Roman" w:cs="Times New Roman"/>
      <w:sz w:val="24"/>
      <w:szCs w:val="24"/>
    </w:rPr>
  </w:style>
  <w:style w:type="character" w:customStyle="1" w:styleId="byline-name">
    <w:name w:val="byline-name"/>
    <w:basedOn w:val="DefaultParagraphFont"/>
    <w:rsid w:val="00B035F4"/>
  </w:style>
  <w:style w:type="paragraph" w:customStyle="1" w:styleId="opiniontext-sc">
    <w:name w:val="opiniontext-sc"/>
    <w:basedOn w:val="Normal"/>
    <w:rsid w:val="00DC105A"/>
    <w:pPr>
      <w:spacing w:before="100" w:beforeAutospacing="1" w:after="100" w:afterAutospacing="1"/>
    </w:pPr>
    <w:rPr>
      <w:rFonts w:ascii="Times New Roman" w:eastAsia="Times New Roman" w:hAnsi="Times New Roman" w:cs="Times New Roman"/>
      <w:sz w:val="24"/>
      <w:szCs w:val="24"/>
    </w:rPr>
  </w:style>
  <w:style w:type="paragraph" w:customStyle="1" w:styleId="caption1-sc">
    <w:name w:val="caption1-sc"/>
    <w:basedOn w:val="Normal"/>
    <w:rsid w:val="00DC105A"/>
    <w:pPr>
      <w:spacing w:before="100" w:beforeAutospacing="1" w:after="100" w:afterAutospacing="1"/>
    </w:pPr>
    <w:rPr>
      <w:rFonts w:ascii="Times New Roman" w:eastAsia="Times New Roman" w:hAnsi="Times New Roman" w:cs="Times New Roman"/>
      <w:sz w:val="24"/>
      <w:szCs w:val="24"/>
    </w:rPr>
  </w:style>
  <w:style w:type="paragraph" w:customStyle="1" w:styleId="paragraph">
    <w:name w:val="paragraph"/>
    <w:basedOn w:val="Normal"/>
    <w:rsid w:val="00A2288A"/>
    <w:pPr>
      <w:spacing w:before="100" w:beforeAutospacing="1" w:after="100" w:afterAutospacing="1"/>
    </w:pPr>
    <w:rPr>
      <w:rFonts w:ascii="Times New Roman" w:eastAsia="Times New Roman" w:hAnsi="Times New Roman" w:cs="Times New Roman"/>
      <w:sz w:val="24"/>
      <w:szCs w:val="24"/>
    </w:rPr>
  </w:style>
  <w:style w:type="character" w:customStyle="1" w:styleId="unlinked-ref">
    <w:name w:val="unlinked-ref"/>
    <w:basedOn w:val="DefaultParagraphFont"/>
    <w:rsid w:val="00A2288A"/>
  </w:style>
  <w:style w:type="character" w:customStyle="1" w:styleId="document-title-text">
    <w:name w:val="document-title-text"/>
    <w:basedOn w:val="DefaultParagraphFont"/>
    <w:rsid w:val="002A52B5"/>
  </w:style>
  <w:style w:type="paragraph" w:customStyle="1" w:styleId="byline">
    <w:name w:val="byline"/>
    <w:basedOn w:val="Normal"/>
    <w:rsid w:val="002A52B5"/>
    <w:pPr>
      <w:spacing w:before="100" w:beforeAutospacing="1" w:after="100" w:afterAutospacing="1"/>
    </w:pPr>
    <w:rPr>
      <w:rFonts w:ascii="Times New Roman" w:eastAsia="Times New Roman" w:hAnsi="Times New Roman" w:cs="Times New Roman"/>
      <w:sz w:val="24"/>
      <w:szCs w:val="24"/>
    </w:rPr>
  </w:style>
  <w:style w:type="paragraph" w:customStyle="1" w:styleId="CardIndented">
    <w:name w:val="Card (Indented)"/>
    <w:basedOn w:val="Normal"/>
    <w:link w:val="CardIndentedChar"/>
    <w:qFormat/>
    <w:rsid w:val="0017706F"/>
    <w:pPr>
      <w:ind w:left="288"/>
    </w:pPr>
  </w:style>
  <w:style w:type="character" w:customStyle="1" w:styleId="CardIndentedChar">
    <w:name w:val="Card (Indented) Char"/>
    <w:basedOn w:val="DefaultParagraphFont"/>
    <w:link w:val="CardIndented"/>
    <w:rsid w:val="0017706F"/>
    <w:rPr>
      <w:rFonts w:ascii="Calibri" w:hAnsi="Calibri"/>
    </w:rPr>
  </w:style>
  <w:style w:type="character" w:customStyle="1" w:styleId="Style1Char">
    <w:name w:val="Style1 Char"/>
    <w:basedOn w:val="DefaultParagraphFont"/>
    <w:rsid w:val="0017706F"/>
    <w:rPr>
      <w:rFonts w:eastAsia="SimSun"/>
      <w:sz w:val="20"/>
      <w:szCs w:val="24"/>
      <w:u w:val="single"/>
      <w:lang w:val="en-US" w:eastAsia="zh-CN" w:bidi="ar-SA"/>
    </w:rPr>
  </w:style>
  <w:style w:type="character" w:customStyle="1" w:styleId="intro-colon">
    <w:name w:val="intro-colon"/>
    <w:basedOn w:val="DefaultParagraphFont"/>
    <w:rsid w:val="0077473D"/>
  </w:style>
  <w:style w:type="paragraph" w:customStyle="1" w:styleId="md-content-block">
    <w:name w:val="md-content-block"/>
    <w:basedOn w:val="Normal"/>
    <w:rsid w:val="008C25EC"/>
    <w:pPr>
      <w:spacing w:before="100" w:beforeAutospacing="1" w:after="100" w:afterAutospacing="1"/>
    </w:pPr>
    <w:rPr>
      <w:rFonts w:ascii="Times New Roman" w:eastAsia="Times New Roman" w:hAnsi="Times New Roman" w:cs="Times New Roman"/>
      <w:sz w:val="24"/>
      <w:szCs w:val="24"/>
    </w:rPr>
  </w:style>
  <w:style w:type="character" w:customStyle="1" w:styleId="srtitle">
    <w:name w:val="srtitle"/>
    <w:basedOn w:val="DefaultParagraphFont"/>
    <w:rsid w:val="008C25EC"/>
  </w:style>
  <w:style w:type="character" w:customStyle="1" w:styleId="alternate">
    <w:name w:val="alternate"/>
    <w:basedOn w:val="DefaultParagraphFont"/>
    <w:rsid w:val="008C25EC"/>
  </w:style>
  <w:style w:type="character" w:customStyle="1" w:styleId="metaauthorname">
    <w:name w:val="meta_author_name"/>
    <w:basedOn w:val="DefaultParagraphFont"/>
    <w:rsid w:val="00B4553C"/>
  </w:style>
  <w:style w:type="character" w:customStyle="1" w:styleId="metapostdate">
    <w:name w:val="meta_post_date"/>
    <w:basedOn w:val="DefaultParagraphFont"/>
    <w:rsid w:val="00B4553C"/>
  </w:style>
  <w:style w:type="character" w:customStyle="1" w:styleId="field-content">
    <w:name w:val="field-content"/>
    <w:basedOn w:val="DefaultParagraphFont"/>
    <w:rsid w:val="00B63916"/>
  </w:style>
  <w:style w:type="character" w:customStyle="1" w:styleId="ind">
    <w:name w:val="ind"/>
    <w:basedOn w:val="DefaultParagraphFont"/>
    <w:rsid w:val="00F95394"/>
  </w:style>
  <w:style w:type="paragraph" w:customStyle="1" w:styleId="wp-caption-text">
    <w:name w:val="wp-caption-text"/>
    <w:basedOn w:val="Normal"/>
    <w:rsid w:val="004E2055"/>
    <w:pPr>
      <w:spacing w:before="100" w:beforeAutospacing="1" w:after="100" w:afterAutospacing="1"/>
    </w:pPr>
    <w:rPr>
      <w:rFonts w:ascii="Times New Roman" w:eastAsia="Times New Roman" w:hAnsi="Times New Roman" w:cs="Times New Roman"/>
      <w:sz w:val="24"/>
      <w:szCs w:val="24"/>
    </w:rPr>
  </w:style>
  <w:style w:type="character" w:customStyle="1" w:styleId="pos">
    <w:name w:val="pos"/>
    <w:basedOn w:val="DefaultParagraphFont"/>
    <w:rsid w:val="00406198"/>
  </w:style>
  <w:style w:type="character" w:customStyle="1" w:styleId="hi">
    <w:name w:val="hi"/>
    <w:basedOn w:val="DefaultParagraphFont"/>
    <w:rsid w:val="00406198"/>
  </w:style>
  <w:style w:type="character" w:customStyle="1" w:styleId="syntax-coding">
    <w:name w:val="syntax-coding"/>
    <w:basedOn w:val="DefaultParagraphFont"/>
    <w:rsid w:val="006A2686"/>
  </w:style>
  <w:style w:type="character" w:customStyle="1" w:styleId="sep">
    <w:name w:val="sep"/>
    <w:basedOn w:val="DefaultParagraphFont"/>
    <w:rsid w:val="006A2686"/>
  </w:style>
  <w:style w:type="character" w:customStyle="1" w:styleId="definition">
    <w:name w:val="definition"/>
    <w:basedOn w:val="DefaultParagraphFont"/>
    <w:rsid w:val="006A2686"/>
  </w:style>
  <w:style w:type="character" w:customStyle="1" w:styleId="diccomment">
    <w:name w:val="dic_comment"/>
    <w:basedOn w:val="DefaultParagraphFont"/>
    <w:rsid w:val="00EC4856"/>
  </w:style>
  <w:style w:type="character" w:customStyle="1" w:styleId="w">
    <w:name w:val="w"/>
    <w:basedOn w:val="DefaultParagraphFont"/>
    <w:rsid w:val="00EC4856"/>
  </w:style>
  <w:style w:type="character" w:customStyle="1" w:styleId="StyleBold">
    <w:name w:val="Style Bold"/>
    <w:basedOn w:val="DefaultParagraphFont"/>
    <w:uiPriority w:val="9"/>
    <w:semiHidden/>
    <w:rsid w:val="00E057D8"/>
    <w:rPr>
      <w:b/>
      <w:bCs/>
    </w:rPr>
  </w:style>
  <w:style w:type="paragraph" w:styleId="Header">
    <w:name w:val="header"/>
    <w:basedOn w:val="Normal"/>
    <w:link w:val="HeaderChar"/>
    <w:uiPriority w:val="99"/>
    <w:semiHidden/>
    <w:rsid w:val="00E057D8"/>
    <w:pPr>
      <w:tabs>
        <w:tab w:val="center" w:pos="4680"/>
        <w:tab w:val="right" w:pos="9360"/>
      </w:tabs>
    </w:pPr>
  </w:style>
  <w:style w:type="character" w:customStyle="1" w:styleId="HeaderChar">
    <w:name w:val="Header Char"/>
    <w:basedOn w:val="DefaultParagraphFont"/>
    <w:link w:val="Header"/>
    <w:uiPriority w:val="99"/>
    <w:semiHidden/>
    <w:rsid w:val="00E057D8"/>
    <w:rPr>
      <w:rFonts w:ascii="Calibri" w:hAnsi="Calibri" w:cs="Calibri"/>
    </w:rPr>
  </w:style>
  <w:style w:type="paragraph" w:styleId="Footer">
    <w:name w:val="footer"/>
    <w:basedOn w:val="Normal"/>
    <w:link w:val="FooterChar"/>
    <w:uiPriority w:val="99"/>
    <w:semiHidden/>
    <w:rsid w:val="00E057D8"/>
    <w:pPr>
      <w:tabs>
        <w:tab w:val="center" w:pos="4680"/>
        <w:tab w:val="right" w:pos="9360"/>
      </w:tabs>
    </w:pPr>
  </w:style>
  <w:style w:type="character" w:customStyle="1" w:styleId="FooterChar">
    <w:name w:val="Footer Char"/>
    <w:basedOn w:val="DefaultParagraphFont"/>
    <w:link w:val="Footer"/>
    <w:uiPriority w:val="99"/>
    <w:semiHidden/>
    <w:rsid w:val="00E057D8"/>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656031">
      <w:bodyDiv w:val="1"/>
      <w:marLeft w:val="0"/>
      <w:marRight w:val="0"/>
      <w:marTop w:val="0"/>
      <w:marBottom w:val="0"/>
      <w:divBdr>
        <w:top w:val="none" w:sz="0" w:space="0" w:color="auto"/>
        <w:left w:val="none" w:sz="0" w:space="0" w:color="auto"/>
        <w:bottom w:val="none" w:sz="0" w:space="0" w:color="auto"/>
        <w:right w:val="none" w:sz="0" w:space="0" w:color="auto"/>
      </w:divBdr>
    </w:div>
    <w:div w:id="89399492">
      <w:bodyDiv w:val="1"/>
      <w:marLeft w:val="0"/>
      <w:marRight w:val="0"/>
      <w:marTop w:val="0"/>
      <w:marBottom w:val="0"/>
      <w:divBdr>
        <w:top w:val="none" w:sz="0" w:space="0" w:color="auto"/>
        <w:left w:val="none" w:sz="0" w:space="0" w:color="auto"/>
        <w:bottom w:val="none" w:sz="0" w:space="0" w:color="auto"/>
        <w:right w:val="none" w:sz="0" w:space="0" w:color="auto"/>
      </w:divBdr>
    </w:div>
    <w:div w:id="118955375">
      <w:bodyDiv w:val="1"/>
      <w:marLeft w:val="0"/>
      <w:marRight w:val="0"/>
      <w:marTop w:val="0"/>
      <w:marBottom w:val="0"/>
      <w:divBdr>
        <w:top w:val="none" w:sz="0" w:space="0" w:color="auto"/>
        <w:left w:val="none" w:sz="0" w:space="0" w:color="auto"/>
        <w:bottom w:val="none" w:sz="0" w:space="0" w:color="auto"/>
        <w:right w:val="none" w:sz="0" w:space="0" w:color="auto"/>
      </w:divBdr>
      <w:divsChild>
        <w:div w:id="835998845">
          <w:marLeft w:val="-225"/>
          <w:marRight w:val="-225"/>
          <w:marTop w:val="0"/>
          <w:marBottom w:val="0"/>
          <w:divBdr>
            <w:top w:val="none" w:sz="0" w:space="0" w:color="auto"/>
            <w:left w:val="none" w:sz="0" w:space="0" w:color="auto"/>
            <w:bottom w:val="none" w:sz="0" w:space="0" w:color="auto"/>
            <w:right w:val="none" w:sz="0" w:space="0" w:color="auto"/>
          </w:divBdr>
          <w:divsChild>
            <w:div w:id="215168041">
              <w:marLeft w:val="0"/>
              <w:marRight w:val="0"/>
              <w:marTop w:val="0"/>
              <w:marBottom w:val="0"/>
              <w:divBdr>
                <w:top w:val="none" w:sz="0" w:space="0" w:color="auto"/>
                <w:left w:val="none" w:sz="0" w:space="0" w:color="auto"/>
                <w:bottom w:val="none" w:sz="0" w:space="0" w:color="auto"/>
                <w:right w:val="none" w:sz="0" w:space="0" w:color="auto"/>
              </w:divBdr>
              <w:divsChild>
                <w:div w:id="898436461">
                  <w:marLeft w:val="0"/>
                  <w:marRight w:val="0"/>
                  <w:marTop w:val="0"/>
                  <w:marBottom w:val="0"/>
                  <w:divBdr>
                    <w:top w:val="none" w:sz="0" w:space="0" w:color="auto"/>
                    <w:left w:val="none" w:sz="0" w:space="0" w:color="auto"/>
                    <w:bottom w:val="none" w:sz="0" w:space="0" w:color="auto"/>
                    <w:right w:val="none" w:sz="0" w:space="0" w:color="auto"/>
                  </w:divBdr>
                  <w:divsChild>
                    <w:div w:id="88926357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211817656">
      <w:bodyDiv w:val="1"/>
      <w:marLeft w:val="0"/>
      <w:marRight w:val="0"/>
      <w:marTop w:val="0"/>
      <w:marBottom w:val="0"/>
      <w:divBdr>
        <w:top w:val="none" w:sz="0" w:space="0" w:color="auto"/>
        <w:left w:val="none" w:sz="0" w:space="0" w:color="auto"/>
        <w:bottom w:val="none" w:sz="0" w:space="0" w:color="auto"/>
        <w:right w:val="none" w:sz="0" w:space="0" w:color="auto"/>
      </w:divBdr>
    </w:div>
    <w:div w:id="255864323">
      <w:bodyDiv w:val="1"/>
      <w:marLeft w:val="0"/>
      <w:marRight w:val="0"/>
      <w:marTop w:val="0"/>
      <w:marBottom w:val="0"/>
      <w:divBdr>
        <w:top w:val="none" w:sz="0" w:space="0" w:color="auto"/>
        <w:left w:val="none" w:sz="0" w:space="0" w:color="auto"/>
        <w:bottom w:val="none" w:sz="0" w:space="0" w:color="auto"/>
        <w:right w:val="none" w:sz="0" w:space="0" w:color="auto"/>
      </w:divBdr>
    </w:div>
    <w:div w:id="295523476">
      <w:bodyDiv w:val="1"/>
      <w:marLeft w:val="0"/>
      <w:marRight w:val="0"/>
      <w:marTop w:val="0"/>
      <w:marBottom w:val="0"/>
      <w:divBdr>
        <w:top w:val="none" w:sz="0" w:space="0" w:color="auto"/>
        <w:left w:val="none" w:sz="0" w:space="0" w:color="auto"/>
        <w:bottom w:val="none" w:sz="0" w:space="0" w:color="auto"/>
        <w:right w:val="none" w:sz="0" w:space="0" w:color="auto"/>
      </w:divBdr>
      <w:divsChild>
        <w:div w:id="437338340">
          <w:marLeft w:val="0"/>
          <w:marRight w:val="0"/>
          <w:marTop w:val="0"/>
          <w:marBottom w:val="60"/>
          <w:divBdr>
            <w:top w:val="none" w:sz="0" w:space="0" w:color="auto"/>
            <w:left w:val="none" w:sz="0" w:space="0" w:color="auto"/>
            <w:bottom w:val="none" w:sz="0" w:space="0" w:color="auto"/>
            <w:right w:val="none" w:sz="0" w:space="0" w:color="auto"/>
          </w:divBdr>
        </w:div>
        <w:div w:id="235675277">
          <w:marLeft w:val="0"/>
          <w:marRight w:val="0"/>
          <w:marTop w:val="0"/>
          <w:marBottom w:val="45"/>
          <w:divBdr>
            <w:top w:val="none" w:sz="0" w:space="0" w:color="auto"/>
            <w:left w:val="none" w:sz="0" w:space="0" w:color="auto"/>
            <w:bottom w:val="none" w:sz="0" w:space="0" w:color="auto"/>
            <w:right w:val="none" w:sz="0" w:space="0" w:color="auto"/>
          </w:divBdr>
        </w:div>
      </w:divsChild>
    </w:div>
    <w:div w:id="296375536">
      <w:bodyDiv w:val="1"/>
      <w:marLeft w:val="0"/>
      <w:marRight w:val="0"/>
      <w:marTop w:val="0"/>
      <w:marBottom w:val="0"/>
      <w:divBdr>
        <w:top w:val="none" w:sz="0" w:space="0" w:color="auto"/>
        <w:left w:val="none" w:sz="0" w:space="0" w:color="auto"/>
        <w:bottom w:val="none" w:sz="0" w:space="0" w:color="auto"/>
        <w:right w:val="none" w:sz="0" w:space="0" w:color="auto"/>
      </w:divBdr>
      <w:divsChild>
        <w:div w:id="2121680364">
          <w:marLeft w:val="0"/>
          <w:marRight w:val="0"/>
          <w:marTop w:val="0"/>
          <w:marBottom w:val="0"/>
          <w:divBdr>
            <w:top w:val="single" w:sz="6" w:space="16" w:color="414141"/>
            <w:left w:val="single" w:sz="6" w:space="18" w:color="414141"/>
            <w:bottom w:val="single" w:sz="6" w:space="0" w:color="414141"/>
            <w:right w:val="single" w:sz="6" w:space="31" w:color="414141"/>
          </w:divBdr>
          <w:divsChild>
            <w:div w:id="119269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68237">
      <w:bodyDiv w:val="1"/>
      <w:marLeft w:val="0"/>
      <w:marRight w:val="0"/>
      <w:marTop w:val="0"/>
      <w:marBottom w:val="0"/>
      <w:divBdr>
        <w:top w:val="none" w:sz="0" w:space="0" w:color="auto"/>
        <w:left w:val="none" w:sz="0" w:space="0" w:color="auto"/>
        <w:bottom w:val="none" w:sz="0" w:space="0" w:color="auto"/>
        <w:right w:val="none" w:sz="0" w:space="0" w:color="auto"/>
      </w:divBdr>
    </w:div>
    <w:div w:id="329723297">
      <w:bodyDiv w:val="1"/>
      <w:marLeft w:val="0"/>
      <w:marRight w:val="0"/>
      <w:marTop w:val="0"/>
      <w:marBottom w:val="0"/>
      <w:divBdr>
        <w:top w:val="none" w:sz="0" w:space="0" w:color="auto"/>
        <w:left w:val="none" w:sz="0" w:space="0" w:color="auto"/>
        <w:bottom w:val="none" w:sz="0" w:space="0" w:color="auto"/>
        <w:right w:val="none" w:sz="0" w:space="0" w:color="auto"/>
      </w:divBdr>
    </w:div>
    <w:div w:id="353194441">
      <w:bodyDiv w:val="1"/>
      <w:marLeft w:val="0"/>
      <w:marRight w:val="0"/>
      <w:marTop w:val="0"/>
      <w:marBottom w:val="0"/>
      <w:divBdr>
        <w:top w:val="none" w:sz="0" w:space="0" w:color="auto"/>
        <w:left w:val="none" w:sz="0" w:space="0" w:color="auto"/>
        <w:bottom w:val="none" w:sz="0" w:space="0" w:color="auto"/>
        <w:right w:val="none" w:sz="0" w:space="0" w:color="auto"/>
      </w:divBdr>
    </w:div>
    <w:div w:id="443771988">
      <w:bodyDiv w:val="1"/>
      <w:marLeft w:val="0"/>
      <w:marRight w:val="0"/>
      <w:marTop w:val="0"/>
      <w:marBottom w:val="0"/>
      <w:divBdr>
        <w:top w:val="none" w:sz="0" w:space="0" w:color="auto"/>
        <w:left w:val="none" w:sz="0" w:space="0" w:color="auto"/>
        <w:bottom w:val="none" w:sz="0" w:space="0" w:color="auto"/>
        <w:right w:val="none" w:sz="0" w:space="0" w:color="auto"/>
      </w:divBdr>
      <w:divsChild>
        <w:div w:id="487213976">
          <w:marLeft w:val="0"/>
          <w:marRight w:val="0"/>
          <w:marTop w:val="0"/>
          <w:marBottom w:val="0"/>
          <w:divBdr>
            <w:top w:val="none" w:sz="0" w:space="0" w:color="auto"/>
            <w:left w:val="none" w:sz="0" w:space="0" w:color="auto"/>
            <w:bottom w:val="none" w:sz="0" w:space="0" w:color="auto"/>
            <w:right w:val="none" w:sz="0" w:space="0" w:color="auto"/>
          </w:divBdr>
          <w:divsChild>
            <w:div w:id="173037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60333">
      <w:bodyDiv w:val="1"/>
      <w:marLeft w:val="0"/>
      <w:marRight w:val="0"/>
      <w:marTop w:val="0"/>
      <w:marBottom w:val="0"/>
      <w:divBdr>
        <w:top w:val="none" w:sz="0" w:space="0" w:color="auto"/>
        <w:left w:val="none" w:sz="0" w:space="0" w:color="auto"/>
        <w:bottom w:val="none" w:sz="0" w:space="0" w:color="auto"/>
        <w:right w:val="none" w:sz="0" w:space="0" w:color="auto"/>
      </w:divBdr>
    </w:div>
    <w:div w:id="481046453">
      <w:bodyDiv w:val="1"/>
      <w:marLeft w:val="0"/>
      <w:marRight w:val="0"/>
      <w:marTop w:val="0"/>
      <w:marBottom w:val="0"/>
      <w:divBdr>
        <w:top w:val="none" w:sz="0" w:space="0" w:color="auto"/>
        <w:left w:val="none" w:sz="0" w:space="0" w:color="auto"/>
        <w:bottom w:val="none" w:sz="0" w:space="0" w:color="auto"/>
        <w:right w:val="none" w:sz="0" w:space="0" w:color="auto"/>
      </w:divBdr>
      <w:divsChild>
        <w:div w:id="2039356738">
          <w:marLeft w:val="0"/>
          <w:marRight w:val="0"/>
          <w:marTop w:val="0"/>
          <w:marBottom w:val="240"/>
          <w:divBdr>
            <w:top w:val="none" w:sz="0" w:space="0" w:color="auto"/>
            <w:left w:val="none" w:sz="0" w:space="0" w:color="auto"/>
            <w:bottom w:val="none" w:sz="0" w:space="0" w:color="auto"/>
            <w:right w:val="none" w:sz="0" w:space="0" w:color="auto"/>
          </w:divBdr>
        </w:div>
        <w:div w:id="1826702658">
          <w:marLeft w:val="0"/>
          <w:marRight w:val="0"/>
          <w:marTop w:val="0"/>
          <w:marBottom w:val="240"/>
          <w:divBdr>
            <w:top w:val="none" w:sz="0" w:space="0" w:color="auto"/>
            <w:left w:val="none" w:sz="0" w:space="0" w:color="auto"/>
            <w:bottom w:val="none" w:sz="0" w:space="0" w:color="auto"/>
            <w:right w:val="none" w:sz="0" w:space="0" w:color="auto"/>
          </w:divBdr>
        </w:div>
      </w:divsChild>
    </w:div>
    <w:div w:id="488519481">
      <w:bodyDiv w:val="1"/>
      <w:marLeft w:val="0"/>
      <w:marRight w:val="0"/>
      <w:marTop w:val="0"/>
      <w:marBottom w:val="0"/>
      <w:divBdr>
        <w:top w:val="none" w:sz="0" w:space="0" w:color="auto"/>
        <w:left w:val="none" w:sz="0" w:space="0" w:color="auto"/>
        <w:bottom w:val="none" w:sz="0" w:space="0" w:color="auto"/>
        <w:right w:val="none" w:sz="0" w:space="0" w:color="auto"/>
      </w:divBdr>
    </w:div>
    <w:div w:id="543759952">
      <w:bodyDiv w:val="1"/>
      <w:marLeft w:val="0"/>
      <w:marRight w:val="0"/>
      <w:marTop w:val="0"/>
      <w:marBottom w:val="0"/>
      <w:divBdr>
        <w:top w:val="none" w:sz="0" w:space="0" w:color="auto"/>
        <w:left w:val="none" w:sz="0" w:space="0" w:color="auto"/>
        <w:bottom w:val="none" w:sz="0" w:space="0" w:color="auto"/>
        <w:right w:val="none" w:sz="0" w:space="0" w:color="auto"/>
      </w:divBdr>
    </w:div>
    <w:div w:id="600144346">
      <w:bodyDiv w:val="1"/>
      <w:marLeft w:val="0"/>
      <w:marRight w:val="0"/>
      <w:marTop w:val="0"/>
      <w:marBottom w:val="0"/>
      <w:divBdr>
        <w:top w:val="none" w:sz="0" w:space="0" w:color="auto"/>
        <w:left w:val="none" w:sz="0" w:space="0" w:color="auto"/>
        <w:bottom w:val="none" w:sz="0" w:space="0" w:color="auto"/>
        <w:right w:val="none" w:sz="0" w:space="0" w:color="auto"/>
      </w:divBdr>
      <w:divsChild>
        <w:div w:id="1749494091">
          <w:marLeft w:val="0"/>
          <w:marRight w:val="0"/>
          <w:marTop w:val="0"/>
          <w:marBottom w:val="120"/>
          <w:divBdr>
            <w:top w:val="none" w:sz="0" w:space="0" w:color="auto"/>
            <w:left w:val="none" w:sz="0" w:space="0" w:color="auto"/>
            <w:bottom w:val="none" w:sz="0" w:space="0" w:color="auto"/>
            <w:right w:val="none" w:sz="0" w:space="0" w:color="auto"/>
          </w:divBdr>
        </w:div>
      </w:divsChild>
    </w:div>
    <w:div w:id="602693407">
      <w:bodyDiv w:val="1"/>
      <w:marLeft w:val="0"/>
      <w:marRight w:val="0"/>
      <w:marTop w:val="0"/>
      <w:marBottom w:val="0"/>
      <w:divBdr>
        <w:top w:val="none" w:sz="0" w:space="0" w:color="auto"/>
        <w:left w:val="none" w:sz="0" w:space="0" w:color="auto"/>
        <w:bottom w:val="none" w:sz="0" w:space="0" w:color="auto"/>
        <w:right w:val="none" w:sz="0" w:space="0" w:color="auto"/>
      </w:divBdr>
    </w:div>
    <w:div w:id="604189685">
      <w:bodyDiv w:val="1"/>
      <w:marLeft w:val="0"/>
      <w:marRight w:val="0"/>
      <w:marTop w:val="0"/>
      <w:marBottom w:val="0"/>
      <w:divBdr>
        <w:top w:val="none" w:sz="0" w:space="0" w:color="auto"/>
        <w:left w:val="none" w:sz="0" w:space="0" w:color="auto"/>
        <w:bottom w:val="none" w:sz="0" w:space="0" w:color="auto"/>
        <w:right w:val="none" w:sz="0" w:space="0" w:color="auto"/>
      </w:divBdr>
    </w:div>
    <w:div w:id="648558021">
      <w:bodyDiv w:val="1"/>
      <w:marLeft w:val="0"/>
      <w:marRight w:val="0"/>
      <w:marTop w:val="0"/>
      <w:marBottom w:val="0"/>
      <w:divBdr>
        <w:top w:val="none" w:sz="0" w:space="0" w:color="auto"/>
        <w:left w:val="none" w:sz="0" w:space="0" w:color="auto"/>
        <w:bottom w:val="none" w:sz="0" w:space="0" w:color="auto"/>
        <w:right w:val="none" w:sz="0" w:space="0" w:color="auto"/>
      </w:divBdr>
    </w:div>
    <w:div w:id="757948177">
      <w:bodyDiv w:val="1"/>
      <w:marLeft w:val="0"/>
      <w:marRight w:val="0"/>
      <w:marTop w:val="0"/>
      <w:marBottom w:val="0"/>
      <w:divBdr>
        <w:top w:val="none" w:sz="0" w:space="0" w:color="auto"/>
        <w:left w:val="none" w:sz="0" w:space="0" w:color="auto"/>
        <w:bottom w:val="none" w:sz="0" w:space="0" w:color="auto"/>
        <w:right w:val="none" w:sz="0" w:space="0" w:color="auto"/>
      </w:divBdr>
    </w:div>
    <w:div w:id="786046088">
      <w:bodyDiv w:val="1"/>
      <w:marLeft w:val="0"/>
      <w:marRight w:val="0"/>
      <w:marTop w:val="0"/>
      <w:marBottom w:val="0"/>
      <w:divBdr>
        <w:top w:val="none" w:sz="0" w:space="0" w:color="auto"/>
        <w:left w:val="none" w:sz="0" w:space="0" w:color="auto"/>
        <w:bottom w:val="none" w:sz="0" w:space="0" w:color="auto"/>
        <w:right w:val="none" w:sz="0" w:space="0" w:color="auto"/>
      </w:divBdr>
    </w:div>
    <w:div w:id="798494254">
      <w:bodyDiv w:val="1"/>
      <w:marLeft w:val="0"/>
      <w:marRight w:val="0"/>
      <w:marTop w:val="0"/>
      <w:marBottom w:val="0"/>
      <w:divBdr>
        <w:top w:val="none" w:sz="0" w:space="0" w:color="auto"/>
        <w:left w:val="none" w:sz="0" w:space="0" w:color="auto"/>
        <w:bottom w:val="none" w:sz="0" w:space="0" w:color="auto"/>
        <w:right w:val="none" w:sz="0" w:space="0" w:color="auto"/>
      </w:divBdr>
    </w:div>
    <w:div w:id="802964627">
      <w:bodyDiv w:val="1"/>
      <w:marLeft w:val="0"/>
      <w:marRight w:val="0"/>
      <w:marTop w:val="0"/>
      <w:marBottom w:val="0"/>
      <w:divBdr>
        <w:top w:val="none" w:sz="0" w:space="0" w:color="auto"/>
        <w:left w:val="none" w:sz="0" w:space="0" w:color="auto"/>
        <w:bottom w:val="none" w:sz="0" w:space="0" w:color="auto"/>
        <w:right w:val="none" w:sz="0" w:space="0" w:color="auto"/>
      </w:divBdr>
    </w:div>
    <w:div w:id="925922438">
      <w:bodyDiv w:val="1"/>
      <w:marLeft w:val="0"/>
      <w:marRight w:val="0"/>
      <w:marTop w:val="0"/>
      <w:marBottom w:val="0"/>
      <w:divBdr>
        <w:top w:val="none" w:sz="0" w:space="0" w:color="auto"/>
        <w:left w:val="none" w:sz="0" w:space="0" w:color="auto"/>
        <w:bottom w:val="none" w:sz="0" w:space="0" w:color="auto"/>
        <w:right w:val="none" w:sz="0" w:space="0" w:color="auto"/>
      </w:divBdr>
      <w:divsChild>
        <w:div w:id="1170214340">
          <w:blockQuote w:val="1"/>
          <w:marLeft w:val="0"/>
          <w:marRight w:val="120"/>
          <w:marTop w:val="0"/>
          <w:marBottom w:val="240"/>
          <w:divBdr>
            <w:top w:val="single" w:sz="6" w:space="6" w:color="EEEEEE"/>
            <w:left w:val="single" w:sz="6" w:space="6" w:color="EEEEEE"/>
            <w:bottom w:val="single" w:sz="6" w:space="6" w:color="CCCCCC"/>
            <w:right w:val="single" w:sz="6" w:space="6" w:color="CCCCCC"/>
          </w:divBdr>
        </w:div>
        <w:div w:id="557859671">
          <w:blockQuote w:val="1"/>
          <w:marLeft w:val="0"/>
          <w:marRight w:val="0"/>
          <w:marTop w:val="0"/>
          <w:marBottom w:val="240"/>
          <w:divBdr>
            <w:top w:val="single" w:sz="6" w:space="6" w:color="EEEEEE"/>
            <w:left w:val="single" w:sz="6" w:space="6" w:color="EEEEEE"/>
            <w:bottom w:val="single" w:sz="6" w:space="6" w:color="CCCCCC"/>
            <w:right w:val="single" w:sz="6" w:space="6" w:color="CCCCCC"/>
          </w:divBdr>
        </w:div>
        <w:div w:id="2041513685">
          <w:blockQuote w:val="1"/>
          <w:marLeft w:val="0"/>
          <w:marRight w:val="0"/>
          <w:marTop w:val="0"/>
          <w:marBottom w:val="240"/>
          <w:divBdr>
            <w:top w:val="single" w:sz="6" w:space="6" w:color="EEEEEE"/>
            <w:left w:val="single" w:sz="6" w:space="6" w:color="EEEEEE"/>
            <w:bottom w:val="single" w:sz="6" w:space="6" w:color="CCCCCC"/>
            <w:right w:val="single" w:sz="6" w:space="6" w:color="CCCCCC"/>
          </w:divBdr>
        </w:div>
        <w:div w:id="468867055">
          <w:blockQuote w:val="1"/>
          <w:marLeft w:val="0"/>
          <w:marRight w:val="0"/>
          <w:marTop w:val="0"/>
          <w:marBottom w:val="240"/>
          <w:divBdr>
            <w:top w:val="single" w:sz="6" w:space="6" w:color="EEEEEE"/>
            <w:left w:val="single" w:sz="6" w:space="6" w:color="EEEEEE"/>
            <w:bottom w:val="single" w:sz="6" w:space="6" w:color="CCCCCC"/>
            <w:right w:val="single" w:sz="6" w:space="6" w:color="CCCCCC"/>
          </w:divBdr>
        </w:div>
        <w:div w:id="2110461998">
          <w:blockQuote w:val="1"/>
          <w:marLeft w:val="0"/>
          <w:marRight w:val="0"/>
          <w:marTop w:val="0"/>
          <w:marBottom w:val="240"/>
          <w:divBdr>
            <w:top w:val="single" w:sz="6" w:space="6" w:color="EEEEEE"/>
            <w:left w:val="single" w:sz="6" w:space="6" w:color="EEEEEE"/>
            <w:bottom w:val="single" w:sz="6" w:space="6" w:color="CCCCCC"/>
            <w:right w:val="single" w:sz="6" w:space="6" w:color="CCCCCC"/>
          </w:divBdr>
        </w:div>
      </w:divsChild>
    </w:div>
    <w:div w:id="948009627">
      <w:bodyDiv w:val="1"/>
      <w:marLeft w:val="0"/>
      <w:marRight w:val="0"/>
      <w:marTop w:val="0"/>
      <w:marBottom w:val="0"/>
      <w:divBdr>
        <w:top w:val="none" w:sz="0" w:space="0" w:color="auto"/>
        <w:left w:val="none" w:sz="0" w:space="0" w:color="auto"/>
        <w:bottom w:val="none" w:sz="0" w:space="0" w:color="auto"/>
        <w:right w:val="none" w:sz="0" w:space="0" w:color="auto"/>
      </w:divBdr>
    </w:div>
    <w:div w:id="991374255">
      <w:bodyDiv w:val="1"/>
      <w:marLeft w:val="0"/>
      <w:marRight w:val="0"/>
      <w:marTop w:val="0"/>
      <w:marBottom w:val="0"/>
      <w:divBdr>
        <w:top w:val="none" w:sz="0" w:space="0" w:color="auto"/>
        <w:left w:val="none" w:sz="0" w:space="0" w:color="auto"/>
        <w:bottom w:val="none" w:sz="0" w:space="0" w:color="auto"/>
        <w:right w:val="none" w:sz="0" w:space="0" w:color="auto"/>
      </w:divBdr>
    </w:div>
    <w:div w:id="1024132490">
      <w:bodyDiv w:val="1"/>
      <w:marLeft w:val="0"/>
      <w:marRight w:val="0"/>
      <w:marTop w:val="0"/>
      <w:marBottom w:val="0"/>
      <w:divBdr>
        <w:top w:val="none" w:sz="0" w:space="0" w:color="auto"/>
        <w:left w:val="none" w:sz="0" w:space="0" w:color="auto"/>
        <w:bottom w:val="none" w:sz="0" w:space="0" w:color="auto"/>
        <w:right w:val="none" w:sz="0" w:space="0" w:color="auto"/>
      </w:divBdr>
      <w:divsChild>
        <w:div w:id="772627282">
          <w:marLeft w:val="0"/>
          <w:marRight w:val="0"/>
          <w:marTop w:val="0"/>
          <w:marBottom w:val="0"/>
          <w:divBdr>
            <w:top w:val="none" w:sz="0" w:space="0" w:color="auto"/>
            <w:left w:val="none" w:sz="0" w:space="0" w:color="auto"/>
            <w:bottom w:val="none" w:sz="0" w:space="0" w:color="auto"/>
            <w:right w:val="none" w:sz="0" w:space="0" w:color="auto"/>
          </w:divBdr>
        </w:div>
      </w:divsChild>
    </w:div>
    <w:div w:id="1047871693">
      <w:bodyDiv w:val="1"/>
      <w:marLeft w:val="0"/>
      <w:marRight w:val="0"/>
      <w:marTop w:val="0"/>
      <w:marBottom w:val="0"/>
      <w:divBdr>
        <w:top w:val="none" w:sz="0" w:space="0" w:color="auto"/>
        <w:left w:val="none" w:sz="0" w:space="0" w:color="auto"/>
        <w:bottom w:val="none" w:sz="0" w:space="0" w:color="auto"/>
        <w:right w:val="none" w:sz="0" w:space="0" w:color="auto"/>
      </w:divBdr>
    </w:div>
    <w:div w:id="1093697185">
      <w:bodyDiv w:val="1"/>
      <w:marLeft w:val="0"/>
      <w:marRight w:val="0"/>
      <w:marTop w:val="0"/>
      <w:marBottom w:val="0"/>
      <w:divBdr>
        <w:top w:val="none" w:sz="0" w:space="0" w:color="auto"/>
        <w:left w:val="none" w:sz="0" w:space="0" w:color="auto"/>
        <w:bottom w:val="none" w:sz="0" w:space="0" w:color="auto"/>
        <w:right w:val="none" w:sz="0" w:space="0" w:color="auto"/>
      </w:divBdr>
    </w:div>
    <w:div w:id="1095589807">
      <w:bodyDiv w:val="1"/>
      <w:marLeft w:val="0"/>
      <w:marRight w:val="0"/>
      <w:marTop w:val="0"/>
      <w:marBottom w:val="0"/>
      <w:divBdr>
        <w:top w:val="none" w:sz="0" w:space="0" w:color="auto"/>
        <w:left w:val="none" w:sz="0" w:space="0" w:color="auto"/>
        <w:bottom w:val="none" w:sz="0" w:space="0" w:color="auto"/>
        <w:right w:val="none" w:sz="0" w:space="0" w:color="auto"/>
      </w:divBdr>
    </w:div>
    <w:div w:id="1124470049">
      <w:bodyDiv w:val="1"/>
      <w:marLeft w:val="0"/>
      <w:marRight w:val="0"/>
      <w:marTop w:val="0"/>
      <w:marBottom w:val="0"/>
      <w:divBdr>
        <w:top w:val="none" w:sz="0" w:space="0" w:color="auto"/>
        <w:left w:val="none" w:sz="0" w:space="0" w:color="auto"/>
        <w:bottom w:val="none" w:sz="0" w:space="0" w:color="auto"/>
        <w:right w:val="none" w:sz="0" w:space="0" w:color="auto"/>
      </w:divBdr>
    </w:div>
    <w:div w:id="1132409238">
      <w:bodyDiv w:val="1"/>
      <w:marLeft w:val="0"/>
      <w:marRight w:val="0"/>
      <w:marTop w:val="0"/>
      <w:marBottom w:val="0"/>
      <w:divBdr>
        <w:top w:val="none" w:sz="0" w:space="0" w:color="auto"/>
        <w:left w:val="none" w:sz="0" w:space="0" w:color="auto"/>
        <w:bottom w:val="none" w:sz="0" w:space="0" w:color="auto"/>
        <w:right w:val="none" w:sz="0" w:space="0" w:color="auto"/>
      </w:divBdr>
    </w:div>
    <w:div w:id="1216161792">
      <w:bodyDiv w:val="1"/>
      <w:marLeft w:val="0"/>
      <w:marRight w:val="0"/>
      <w:marTop w:val="0"/>
      <w:marBottom w:val="0"/>
      <w:divBdr>
        <w:top w:val="none" w:sz="0" w:space="0" w:color="auto"/>
        <w:left w:val="none" w:sz="0" w:space="0" w:color="auto"/>
        <w:bottom w:val="none" w:sz="0" w:space="0" w:color="auto"/>
        <w:right w:val="none" w:sz="0" w:space="0" w:color="auto"/>
      </w:divBdr>
      <w:divsChild>
        <w:div w:id="1941991495">
          <w:marLeft w:val="0"/>
          <w:marRight w:val="0"/>
          <w:marTop w:val="0"/>
          <w:marBottom w:val="0"/>
          <w:divBdr>
            <w:top w:val="none" w:sz="0" w:space="0" w:color="auto"/>
            <w:left w:val="none" w:sz="0" w:space="0" w:color="auto"/>
            <w:bottom w:val="none" w:sz="0" w:space="0" w:color="auto"/>
            <w:right w:val="none" w:sz="0" w:space="0" w:color="auto"/>
          </w:divBdr>
        </w:div>
        <w:div w:id="2005545823">
          <w:marLeft w:val="0"/>
          <w:marRight w:val="0"/>
          <w:marTop w:val="0"/>
          <w:marBottom w:val="0"/>
          <w:divBdr>
            <w:top w:val="none" w:sz="0" w:space="0" w:color="auto"/>
            <w:left w:val="none" w:sz="0" w:space="0" w:color="auto"/>
            <w:bottom w:val="none" w:sz="0" w:space="0" w:color="auto"/>
            <w:right w:val="none" w:sz="0" w:space="0" w:color="auto"/>
          </w:divBdr>
        </w:div>
      </w:divsChild>
    </w:div>
    <w:div w:id="1227186173">
      <w:bodyDiv w:val="1"/>
      <w:marLeft w:val="0"/>
      <w:marRight w:val="0"/>
      <w:marTop w:val="0"/>
      <w:marBottom w:val="0"/>
      <w:divBdr>
        <w:top w:val="none" w:sz="0" w:space="0" w:color="auto"/>
        <w:left w:val="none" w:sz="0" w:space="0" w:color="auto"/>
        <w:bottom w:val="none" w:sz="0" w:space="0" w:color="auto"/>
        <w:right w:val="none" w:sz="0" w:space="0" w:color="auto"/>
      </w:divBdr>
    </w:div>
    <w:div w:id="1352799009">
      <w:bodyDiv w:val="1"/>
      <w:marLeft w:val="0"/>
      <w:marRight w:val="0"/>
      <w:marTop w:val="0"/>
      <w:marBottom w:val="0"/>
      <w:divBdr>
        <w:top w:val="none" w:sz="0" w:space="0" w:color="auto"/>
        <w:left w:val="none" w:sz="0" w:space="0" w:color="auto"/>
        <w:bottom w:val="none" w:sz="0" w:space="0" w:color="auto"/>
        <w:right w:val="none" w:sz="0" w:space="0" w:color="auto"/>
      </w:divBdr>
    </w:div>
    <w:div w:id="1355031267">
      <w:bodyDiv w:val="1"/>
      <w:marLeft w:val="0"/>
      <w:marRight w:val="0"/>
      <w:marTop w:val="0"/>
      <w:marBottom w:val="0"/>
      <w:divBdr>
        <w:top w:val="none" w:sz="0" w:space="0" w:color="auto"/>
        <w:left w:val="none" w:sz="0" w:space="0" w:color="auto"/>
        <w:bottom w:val="none" w:sz="0" w:space="0" w:color="auto"/>
        <w:right w:val="none" w:sz="0" w:space="0" w:color="auto"/>
      </w:divBdr>
      <w:divsChild>
        <w:div w:id="458259153">
          <w:marLeft w:val="0"/>
          <w:marRight w:val="0"/>
          <w:marTop w:val="120"/>
          <w:marBottom w:val="120"/>
          <w:divBdr>
            <w:top w:val="none" w:sz="0" w:space="0" w:color="auto"/>
            <w:left w:val="none" w:sz="0" w:space="0" w:color="auto"/>
            <w:bottom w:val="none" w:sz="0" w:space="0" w:color="auto"/>
            <w:right w:val="none" w:sz="0" w:space="0" w:color="auto"/>
          </w:divBdr>
          <w:divsChild>
            <w:div w:id="1119458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67293764">
      <w:bodyDiv w:val="1"/>
      <w:marLeft w:val="0"/>
      <w:marRight w:val="0"/>
      <w:marTop w:val="0"/>
      <w:marBottom w:val="0"/>
      <w:divBdr>
        <w:top w:val="none" w:sz="0" w:space="0" w:color="auto"/>
        <w:left w:val="none" w:sz="0" w:space="0" w:color="auto"/>
        <w:bottom w:val="none" w:sz="0" w:space="0" w:color="auto"/>
        <w:right w:val="none" w:sz="0" w:space="0" w:color="auto"/>
      </w:divBdr>
    </w:div>
    <w:div w:id="1373118168">
      <w:bodyDiv w:val="1"/>
      <w:marLeft w:val="0"/>
      <w:marRight w:val="0"/>
      <w:marTop w:val="0"/>
      <w:marBottom w:val="0"/>
      <w:divBdr>
        <w:top w:val="none" w:sz="0" w:space="0" w:color="auto"/>
        <w:left w:val="none" w:sz="0" w:space="0" w:color="auto"/>
        <w:bottom w:val="none" w:sz="0" w:space="0" w:color="auto"/>
        <w:right w:val="none" w:sz="0" w:space="0" w:color="auto"/>
      </w:divBdr>
    </w:div>
    <w:div w:id="1396470364">
      <w:bodyDiv w:val="1"/>
      <w:marLeft w:val="0"/>
      <w:marRight w:val="0"/>
      <w:marTop w:val="0"/>
      <w:marBottom w:val="0"/>
      <w:divBdr>
        <w:top w:val="none" w:sz="0" w:space="0" w:color="auto"/>
        <w:left w:val="none" w:sz="0" w:space="0" w:color="auto"/>
        <w:bottom w:val="none" w:sz="0" w:space="0" w:color="auto"/>
        <w:right w:val="none" w:sz="0" w:space="0" w:color="auto"/>
      </w:divBdr>
    </w:div>
    <w:div w:id="1403795009">
      <w:bodyDiv w:val="1"/>
      <w:marLeft w:val="0"/>
      <w:marRight w:val="0"/>
      <w:marTop w:val="0"/>
      <w:marBottom w:val="0"/>
      <w:divBdr>
        <w:top w:val="none" w:sz="0" w:space="0" w:color="auto"/>
        <w:left w:val="none" w:sz="0" w:space="0" w:color="auto"/>
        <w:bottom w:val="none" w:sz="0" w:space="0" w:color="auto"/>
        <w:right w:val="none" w:sz="0" w:space="0" w:color="auto"/>
      </w:divBdr>
    </w:div>
    <w:div w:id="1412196573">
      <w:bodyDiv w:val="1"/>
      <w:marLeft w:val="0"/>
      <w:marRight w:val="0"/>
      <w:marTop w:val="0"/>
      <w:marBottom w:val="0"/>
      <w:divBdr>
        <w:top w:val="none" w:sz="0" w:space="0" w:color="auto"/>
        <w:left w:val="none" w:sz="0" w:space="0" w:color="auto"/>
        <w:bottom w:val="none" w:sz="0" w:space="0" w:color="auto"/>
        <w:right w:val="none" w:sz="0" w:space="0" w:color="auto"/>
      </w:divBdr>
    </w:div>
    <w:div w:id="1418551363">
      <w:bodyDiv w:val="1"/>
      <w:marLeft w:val="0"/>
      <w:marRight w:val="0"/>
      <w:marTop w:val="0"/>
      <w:marBottom w:val="0"/>
      <w:divBdr>
        <w:top w:val="none" w:sz="0" w:space="0" w:color="auto"/>
        <w:left w:val="none" w:sz="0" w:space="0" w:color="auto"/>
        <w:bottom w:val="none" w:sz="0" w:space="0" w:color="auto"/>
        <w:right w:val="none" w:sz="0" w:space="0" w:color="auto"/>
      </w:divBdr>
    </w:div>
    <w:div w:id="1431468798">
      <w:bodyDiv w:val="1"/>
      <w:marLeft w:val="0"/>
      <w:marRight w:val="0"/>
      <w:marTop w:val="0"/>
      <w:marBottom w:val="0"/>
      <w:divBdr>
        <w:top w:val="none" w:sz="0" w:space="0" w:color="auto"/>
        <w:left w:val="none" w:sz="0" w:space="0" w:color="auto"/>
        <w:bottom w:val="none" w:sz="0" w:space="0" w:color="auto"/>
        <w:right w:val="none" w:sz="0" w:space="0" w:color="auto"/>
      </w:divBdr>
      <w:divsChild>
        <w:div w:id="1202552239">
          <w:marLeft w:val="0"/>
          <w:marRight w:val="0"/>
          <w:marTop w:val="150"/>
          <w:marBottom w:val="225"/>
          <w:divBdr>
            <w:top w:val="none" w:sz="0" w:space="0" w:color="auto"/>
            <w:left w:val="none" w:sz="0" w:space="0" w:color="auto"/>
            <w:bottom w:val="none" w:sz="0" w:space="0" w:color="auto"/>
            <w:right w:val="none" w:sz="0" w:space="0" w:color="auto"/>
          </w:divBdr>
        </w:div>
      </w:divsChild>
    </w:div>
    <w:div w:id="1461652572">
      <w:bodyDiv w:val="1"/>
      <w:marLeft w:val="0"/>
      <w:marRight w:val="0"/>
      <w:marTop w:val="0"/>
      <w:marBottom w:val="0"/>
      <w:divBdr>
        <w:top w:val="none" w:sz="0" w:space="0" w:color="auto"/>
        <w:left w:val="none" w:sz="0" w:space="0" w:color="auto"/>
        <w:bottom w:val="none" w:sz="0" w:space="0" w:color="auto"/>
        <w:right w:val="none" w:sz="0" w:space="0" w:color="auto"/>
      </w:divBdr>
    </w:div>
    <w:div w:id="1486782078">
      <w:bodyDiv w:val="1"/>
      <w:marLeft w:val="0"/>
      <w:marRight w:val="0"/>
      <w:marTop w:val="0"/>
      <w:marBottom w:val="0"/>
      <w:divBdr>
        <w:top w:val="none" w:sz="0" w:space="0" w:color="auto"/>
        <w:left w:val="none" w:sz="0" w:space="0" w:color="auto"/>
        <w:bottom w:val="none" w:sz="0" w:space="0" w:color="auto"/>
        <w:right w:val="none" w:sz="0" w:space="0" w:color="auto"/>
      </w:divBdr>
    </w:div>
    <w:div w:id="1526288710">
      <w:bodyDiv w:val="1"/>
      <w:marLeft w:val="0"/>
      <w:marRight w:val="0"/>
      <w:marTop w:val="0"/>
      <w:marBottom w:val="0"/>
      <w:divBdr>
        <w:top w:val="none" w:sz="0" w:space="0" w:color="auto"/>
        <w:left w:val="none" w:sz="0" w:space="0" w:color="auto"/>
        <w:bottom w:val="none" w:sz="0" w:space="0" w:color="auto"/>
        <w:right w:val="none" w:sz="0" w:space="0" w:color="auto"/>
      </w:divBdr>
    </w:div>
    <w:div w:id="1546214426">
      <w:bodyDiv w:val="1"/>
      <w:marLeft w:val="0"/>
      <w:marRight w:val="0"/>
      <w:marTop w:val="0"/>
      <w:marBottom w:val="0"/>
      <w:divBdr>
        <w:top w:val="none" w:sz="0" w:space="0" w:color="auto"/>
        <w:left w:val="none" w:sz="0" w:space="0" w:color="auto"/>
        <w:bottom w:val="none" w:sz="0" w:space="0" w:color="auto"/>
        <w:right w:val="none" w:sz="0" w:space="0" w:color="auto"/>
      </w:divBdr>
      <w:divsChild>
        <w:div w:id="135536274">
          <w:marLeft w:val="0"/>
          <w:marRight w:val="0"/>
          <w:marTop w:val="0"/>
          <w:marBottom w:val="445"/>
          <w:divBdr>
            <w:top w:val="none" w:sz="0" w:space="0" w:color="auto"/>
            <w:left w:val="none" w:sz="0" w:space="0" w:color="auto"/>
            <w:bottom w:val="none" w:sz="0" w:space="0" w:color="auto"/>
            <w:right w:val="none" w:sz="0" w:space="0" w:color="auto"/>
          </w:divBdr>
        </w:div>
      </w:divsChild>
    </w:div>
    <w:div w:id="1553275198">
      <w:bodyDiv w:val="1"/>
      <w:marLeft w:val="0"/>
      <w:marRight w:val="0"/>
      <w:marTop w:val="0"/>
      <w:marBottom w:val="0"/>
      <w:divBdr>
        <w:top w:val="none" w:sz="0" w:space="0" w:color="auto"/>
        <w:left w:val="none" w:sz="0" w:space="0" w:color="auto"/>
        <w:bottom w:val="none" w:sz="0" w:space="0" w:color="auto"/>
        <w:right w:val="none" w:sz="0" w:space="0" w:color="auto"/>
      </w:divBdr>
    </w:div>
    <w:div w:id="1556116475">
      <w:bodyDiv w:val="1"/>
      <w:marLeft w:val="0"/>
      <w:marRight w:val="0"/>
      <w:marTop w:val="0"/>
      <w:marBottom w:val="0"/>
      <w:divBdr>
        <w:top w:val="none" w:sz="0" w:space="0" w:color="auto"/>
        <w:left w:val="none" w:sz="0" w:space="0" w:color="auto"/>
        <w:bottom w:val="none" w:sz="0" w:space="0" w:color="auto"/>
        <w:right w:val="none" w:sz="0" w:space="0" w:color="auto"/>
      </w:divBdr>
    </w:div>
    <w:div w:id="1604653181">
      <w:bodyDiv w:val="1"/>
      <w:marLeft w:val="0"/>
      <w:marRight w:val="0"/>
      <w:marTop w:val="0"/>
      <w:marBottom w:val="0"/>
      <w:divBdr>
        <w:top w:val="none" w:sz="0" w:space="0" w:color="auto"/>
        <w:left w:val="none" w:sz="0" w:space="0" w:color="auto"/>
        <w:bottom w:val="none" w:sz="0" w:space="0" w:color="auto"/>
        <w:right w:val="none" w:sz="0" w:space="0" w:color="auto"/>
      </w:divBdr>
    </w:div>
    <w:div w:id="1659848416">
      <w:bodyDiv w:val="1"/>
      <w:marLeft w:val="0"/>
      <w:marRight w:val="0"/>
      <w:marTop w:val="0"/>
      <w:marBottom w:val="0"/>
      <w:divBdr>
        <w:top w:val="none" w:sz="0" w:space="0" w:color="auto"/>
        <w:left w:val="none" w:sz="0" w:space="0" w:color="auto"/>
        <w:bottom w:val="none" w:sz="0" w:space="0" w:color="auto"/>
        <w:right w:val="none" w:sz="0" w:space="0" w:color="auto"/>
      </w:divBdr>
    </w:div>
    <w:div w:id="1684240825">
      <w:bodyDiv w:val="1"/>
      <w:marLeft w:val="0"/>
      <w:marRight w:val="0"/>
      <w:marTop w:val="0"/>
      <w:marBottom w:val="0"/>
      <w:divBdr>
        <w:top w:val="none" w:sz="0" w:space="0" w:color="auto"/>
        <w:left w:val="none" w:sz="0" w:space="0" w:color="auto"/>
        <w:bottom w:val="none" w:sz="0" w:space="0" w:color="auto"/>
        <w:right w:val="none" w:sz="0" w:space="0" w:color="auto"/>
      </w:divBdr>
    </w:div>
    <w:div w:id="1702316449">
      <w:bodyDiv w:val="1"/>
      <w:marLeft w:val="0"/>
      <w:marRight w:val="0"/>
      <w:marTop w:val="0"/>
      <w:marBottom w:val="0"/>
      <w:divBdr>
        <w:top w:val="none" w:sz="0" w:space="0" w:color="auto"/>
        <w:left w:val="none" w:sz="0" w:space="0" w:color="auto"/>
        <w:bottom w:val="none" w:sz="0" w:space="0" w:color="auto"/>
        <w:right w:val="none" w:sz="0" w:space="0" w:color="auto"/>
      </w:divBdr>
    </w:div>
    <w:div w:id="1776635014">
      <w:bodyDiv w:val="1"/>
      <w:marLeft w:val="0"/>
      <w:marRight w:val="0"/>
      <w:marTop w:val="0"/>
      <w:marBottom w:val="0"/>
      <w:divBdr>
        <w:top w:val="none" w:sz="0" w:space="0" w:color="auto"/>
        <w:left w:val="none" w:sz="0" w:space="0" w:color="auto"/>
        <w:bottom w:val="none" w:sz="0" w:space="0" w:color="auto"/>
        <w:right w:val="none" w:sz="0" w:space="0" w:color="auto"/>
      </w:divBdr>
    </w:div>
    <w:div w:id="1781413062">
      <w:bodyDiv w:val="1"/>
      <w:marLeft w:val="0"/>
      <w:marRight w:val="0"/>
      <w:marTop w:val="0"/>
      <w:marBottom w:val="0"/>
      <w:divBdr>
        <w:top w:val="none" w:sz="0" w:space="0" w:color="auto"/>
        <w:left w:val="none" w:sz="0" w:space="0" w:color="auto"/>
        <w:bottom w:val="none" w:sz="0" w:space="0" w:color="auto"/>
        <w:right w:val="none" w:sz="0" w:space="0" w:color="auto"/>
      </w:divBdr>
    </w:div>
    <w:div w:id="1828477045">
      <w:bodyDiv w:val="1"/>
      <w:marLeft w:val="0"/>
      <w:marRight w:val="0"/>
      <w:marTop w:val="0"/>
      <w:marBottom w:val="0"/>
      <w:divBdr>
        <w:top w:val="none" w:sz="0" w:space="0" w:color="auto"/>
        <w:left w:val="none" w:sz="0" w:space="0" w:color="auto"/>
        <w:bottom w:val="none" w:sz="0" w:space="0" w:color="auto"/>
        <w:right w:val="none" w:sz="0" w:space="0" w:color="auto"/>
      </w:divBdr>
    </w:div>
    <w:div w:id="1889222946">
      <w:bodyDiv w:val="1"/>
      <w:marLeft w:val="0"/>
      <w:marRight w:val="0"/>
      <w:marTop w:val="0"/>
      <w:marBottom w:val="0"/>
      <w:divBdr>
        <w:top w:val="none" w:sz="0" w:space="0" w:color="auto"/>
        <w:left w:val="none" w:sz="0" w:space="0" w:color="auto"/>
        <w:bottom w:val="none" w:sz="0" w:space="0" w:color="auto"/>
        <w:right w:val="none" w:sz="0" w:space="0" w:color="auto"/>
      </w:divBdr>
    </w:div>
    <w:div w:id="1918632366">
      <w:bodyDiv w:val="1"/>
      <w:marLeft w:val="0"/>
      <w:marRight w:val="0"/>
      <w:marTop w:val="0"/>
      <w:marBottom w:val="0"/>
      <w:divBdr>
        <w:top w:val="none" w:sz="0" w:space="0" w:color="auto"/>
        <w:left w:val="none" w:sz="0" w:space="0" w:color="auto"/>
        <w:bottom w:val="none" w:sz="0" w:space="0" w:color="auto"/>
        <w:right w:val="none" w:sz="0" w:space="0" w:color="auto"/>
      </w:divBdr>
      <w:divsChild>
        <w:div w:id="1163930807">
          <w:marLeft w:val="150"/>
          <w:marRight w:val="0"/>
          <w:marTop w:val="0"/>
          <w:marBottom w:val="0"/>
          <w:divBdr>
            <w:top w:val="none" w:sz="0" w:space="0" w:color="auto"/>
            <w:left w:val="none" w:sz="0" w:space="0" w:color="auto"/>
            <w:bottom w:val="none" w:sz="0" w:space="0" w:color="auto"/>
            <w:right w:val="none" w:sz="0" w:space="0" w:color="auto"/>
          </w:divBdr>
        </w:div>
        <w:div w:id="1942447241">
          <w:marLeft w:val="150"/>
          <w:marRight w:val="0"/>
          <w:marTop w:val="0"/>
          <w:marBottom w:val="0"/>
          <w:divBdr>
            <w:top w:val="none" w:sz="0" w:space="0" w:color="auto"/>
            <w:left w:val="none" w:sz="0" w:space="0" w:color="auto"/>
            <w:bottom w:val="none" w:sz="0" w:space="0" w:color="auto"/>
            <w:right w:val="none" w:sz="0" w:space="0" w:color="auto"/>
          </w:divBdr>
        </w:div>
      </w:divsChild>
    </w:div>
    <w:div w:id="1951736778">
      <w:bodyDiv w:val="1"/>
      <w:marLeft w:val="0"/>
      <w:marRight w:val="0"/>
      <w:marTop w:val="0"/>
      <w:marBottom w:val="0"/>
      <w:divBdr>
        <w:top w:val="none" w:sz="0" w:space="0" w:color="auto"/>
        <w:left w:val="none" w:sz="0" w:space="0" w:color="auto"/>
        <w:bottom w:val="none" w:sz="0" w:space="0" w:color="auto"/>
        <w:right w:val="none" w:sz="0" w:space="0" w:color="auto"/>
      </w:divBdr>
    </w:div>
    <w:div w:id="1955356153">
      <w:bodyDiv w:val="1"/>
      <w:marLeft w:val="0"/>
      <w:marRight w:val="0"/>
      <w:marTop w:val="0"/>
      <w:marBottom w:val="0"/>
      <w:divBdr>
        <w:top w:val="none" w:sz="0" w:space="0" w:color="auto"/>
        <w:left w:val="none" w:sz="0" w:space="0" w:color="auto"/>
        <w:bottom w:val="none" w:sz="0" w:space="0" w:color="auto"/>
        <w:right w:val="none" w:sz="0" w:space="0" w:color="auto"/>
      </w:divBdr>
    </w:div>
    <w:div w:id="2039965880">
      <w:bodyDiv w:val="1"/>
      <w:marLeft w:val="0"/>
      <w:marRight w:val="0"/>
      <w:marTop w:val="0"/>
      <w:marBottom w:val="0"/>
      <w:divBdr>
        <w:top w:val="none" w:sz="0" w:space="0" w:color="auto"/>
        <w:left w:val="none" w:sz="0" w:space="0" w:color="auto"/>
        <w:bottom w:val="none" w:sz="0" w:space="0" w:color="auto"/>
        <w:right w:val="none" w:sz="0" w:space="0" w:color="auto"/>
      </w:divBdr>
    </w:div>
    <w:div w:id="2046131541">
      <w:bodyDiv w:val="1"/>
      <w:marLeft w:val="0"/>
      <w:marRight w:val="0"/>
      <w:marTop w:val="0"/>
      <w:marBottom w:val="0"/>
      <w:divBdr>
        <w:top w:val="none" w:sz="0" w:space="0" w:color="auto"/>
        <w:left w:val="none" w:sz="0" w:space="0" w:color="auto"/>
        <w:bottom w:val="none" w:sz="0" w:space="0" w:color="auto"/>
        <w:right w:val="none" w:sz="0" w:space="0" w:color="auto"/>
      </w:divBdr>
    </w:div>
    <w:div w:id="2078937729">
      <w:bodyDiv w:val="1"/>
      <w:marLeft w:val="0"/>
      <w:marRight w:val="0"/>
      <w:marTop w:val="0"/>
      <w:marBottom w:val="0"/>
      <w:divBdr>
        <w:top w:val="none" w:sz="0" w:space="0" w:color="auto"/>
        <w:left w:val="none" w:sz="0" w:space="0" w:color="auto"/>
        <w:bottom w:val="none" w:sz="0" w:space="0" w:color="auto"/>
        <w:right w:val="none" w:sz="0" w:space="0" w:color="auto"/>
      </w:divBdr>
      <w:divsChild>
        <w:div w:id="132144942">
          <w:marLeft w:val="0"/>
          <w:marRight w:val="0"/>
          <w:marTop w:val="0"/>
          <w:marBottom w:val="0"/>
          <w:divBdr>
            <w:top w:val="none" w:sz="0" w:space="0" w:color="auto"/>
            <w:left w:val="none" w:sz="0" w:space="0" w:color="auto"/>
            <w:bottom w:val="none" w:sz="0" w:space="0" w:color="auto"/>
            <w:right w:val="none" w:sz="0" w:space="0" w:color="auto"/>
          </w:divBdr>
        </w:div>
        <w:div w:id="1720472461">
          <w:marLeft w:val="0"/>
          <w:marRight w:val="0"/>
          <w:marTop w:val="0"/>
          <w:marBottom w:val="0"/>
          <w:divBdr>
            <w:top w:val="none" w:sz="0" w:space="0" w:color="auto"/>
            <w:left w:val="none" w:sz="0" w:space="0" w:color="auto"/>
            <w:bottom w:val="none" w:sz="0" w:space="0" w:color="auto"/>
            <w:right w:val="none" w:sz="0" w:space="0" w:color="auto"/>
          </w:divBdr>
          <w:divsChild>
            <w:div w:id="446779994">
              <w:marLeft w:val="0"/>
              <w:marRight w:val="0"/>
              <w:marTop w:val="0"/>
              <w:marBottom w:val="0"/>
              <w:divBdr>
                <w:top w:val="none" w:sz="0" w:space="0" w:color="auto"/>
                <w:left w:val="none" w:sz="0" w:space="0" w:color="auto"/>
                <w:bottom w:val="none" w:sz="0" w:space="0" w:color="auto"/>
                <w:right w:val="none" w:sz="0" w:space="0" w:color="auto"/>
              </w:divBdr>
            </w:div>
          </w:divsChild>
        </w:div>
        <w:div w:id="169177868">
          <w:marLeft w:val="0"/>
          <w:marRight w:val="0"/>
          <w:marTop w:val="0"/>
          <w:marBottom w:val="0"/>
          <w:divBdr>
            <w:top w:val="none" w:sz="0" w:space="0" w:color="auto"/>
            <w:left w:val="none" w:sz="0" w:space="0" w:color="auto"/>
            <w:bottom w:val="none" w:sz="0" w:space="0" w:color="auto"/>
            <w:right w:val="none" w:sz="0" w:space="0" w:color="auto"/>
          </w:divBdr>
          <w:divsChild>
            <w:div w:id="164700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6996">
      <w:bodyDiv w:val="1"/>
      <w:marLeft w:val="0"/>
      <w:marRight w:val="0"/>
      <w:marTop w:val="0"/>
      <w:marBottom w:val="0"/>
      <w:divBdr>
        <w:top w:val="none" w:sz="0" w:space="0" w:color="auto"/>
        <w:left w:val="none" w:sz="0" w:space="0" w:color="auto"/>
        <w:bottom w:val="none" w:sz="0" w:space="0" w:color="auto"/>
        <w:right w:val="none" w:sz="0" w:space="0" w:color="auto"/>
      </w:divBdr>
    </w:div>
    <w:div w:id="2089575816">
      <w:bodyDiv w:val="1"/>
      <w:marLeft w:val="0"/>
      <w:marRight w:val="0"/>
      <w:marTop w:val="0"/>
      <w:marBottom w:val="0"/>
      <w:divBdr>
        <w:top w:val="none" w:sz="0" w:space="0" w:color="auto"/>
        <w:left w:val="none" w:sz="0" w:space="0" w:color="auto"/>
        <w:bottom w:val="none" w:sz="0" w:space="0" w:color="auto"/>
        <w:right w:val="none" w:sz="0" w:space="0" w:color="auto"/>
      </w:divBdr>
    </w:div>
    <w:div w:id="2115054444">
      <w:bodyDiv w:val="1"/>
      <w:marLeft w:val="0"/>
      <w:marRight w:val="0"/>
      <w:marTop w:val="0"/>
      <w:marBottom w:val="0"/>
      <w:divBdr>
        <w:top w:val="none" w:sz="0" w:space="0" w:color="auto"/>
        <w:left w:val="none" w:sz="0" w:space="0" w:color="auto"/>
        <w:bottom w:val="none" w:sz="0" w:space="0" w:color="auto"/>
        <w:right w:val="none" w:sz="0" w:space="0" w:color="auto"/>
      </w:divBdr>
    </w:div>
    <w:div w:id="2123458105">
      <w:bodyDiv w:val="1"/>
      <w:marLeft w:val="0"/>
      <w:marRight w:val="0"/>
      <w:marTop w:val="0"/>
      <w:marBottom w:val="0"/>
      <w:divBdr>
        <w:top w:val="none" w:sz="0" w:space="0" w:color="auto"/>
        <w:left w:val="none" w:sz="0" w:space="0" w:color="auto"/>
        <w:bottom w:val="none" w:sz="0" w:space="0" w:color="auto"/>
        <w:right w:val="none" w:sz="0" w:space="0" w:color="auto"/>
      </w:divBdr>
    </w:div>
    <w:div w:id="2131700920">
      <w:bodyDiv w:val="1"/>
      <w:marLeft w:val="0"/>
      <w:marRight w:val="0"/>
      <w:marTop w:val="0"/>
      <w:marBottom w:val="0"/>
      <w:divBdr>
        <w:top w:val="none" w:sz="0" w:space="0" w:color="auto"/>
        <w:left w:val="none" w:sz="0" w:space="0" w:color="auto"/>
        <w:bottom w:val="none" w:sz="0" w:space="0" w:color="auto"/>
        <w:right w:val="none" w:sz="0" w:space="0" w:color="auto"/>
      </w:divBdr>
      <w:divsChild>
        <w:div w:id="1958753639">
          <w:marLeft w:val="0"/>
          <w:marRight w:val="0"/>
          <w:marTop w:val="0"/>
          <w:marBottom w:val="0"/>
          <w:divBdr>
            <w:top w:val="none" w:sz="0" w:space="0" w:color="auto"/>
            <w:left w:val="none" w:sz="0" w:space="0" w:color="auto"/>
            <w:bottom w:val="none" w:sz="0" w:space="0" w:color="auto"/>
            <w:right w:val="none" w:sz="0" w:space="0" w:color="auto"/>
          </w:divBdr>
          <w:divsChild>
            <w:div w:id="1738552236">
              <w:marLeft w:val="0"/>
              <w:marRight w:val="0"/>
              <w:marTop w:val="0"/>
              <w:marBottom w:val="0"/>
              <w:divBdr>
                <w:top w:val="none" w:sz="0" w:space="0" w:color="auto"/>
                <w:left w:val="none" w:sz="0" w:space="0" w:color="auto"/>
                <w:bottom w:val="none" w:sz="0" w:space="0" w:color="auto"/>
                <w:right w:val="none" w:sz="0" w:space="0" w:color="auto"/>
              </w:divBdr>
            </w:div>
          </w:divsChild>
        </w:div>
        <w:div w:id="1638753398">
          <w:marLeft w:val="0"/>
          <w:marRight w:val="0"/>
          <w:marTop w:val="0"/>
          <w:marBottom w:val="0"/>
          <w:divBdr>
            <w:top w:val="none" w:sz="0" w:space="0" w:color="auto"/>
            <w:left w:val="none" w:sz="0" w:space="0" w:color="auto"/>
            <w:bottom w:val="none" w:sz="0" w:space="0" w:color="auto"/>
            <w:right w:val="none" w:sz="0" w:space="0" w:color="auto"/>
          </w:divBdr>
          <w:divsChild>
            <w:div w:id="1178539843">
              <w:marLeft w:val="0"/>
              <w:marRight w:val="0"/>
              <w:marTop w:val="0"/>
              <w:marBottom w:val="0"/>
              <w:divBdr>
                <w:top w:val="none" w:sz="0" w:space="0" w:color="auto"/>
                <w:left w:val="none" w:sz="0" w:space="0" w:color="auto"/>
                <w:bottom w:val="none" w:sz="0" w:space="0" w:color="auto"/>
                <w:right w:val="none" w:sz="0" w:space="0" w:color="auto"/>
              </w:divBdr>
            </w:div>
          </w:divsChild>
        </w:div>
        <w:div w:id="1057363340">
          <w:marLeft w:val="0"/>
          <w:marRight w:val="0"/>
          <w:marTop w:val="0"/>
          <w:marBottom w:val="0"/>
          <w:divBdr>
            <w:top w:val="none" w:sz="0" w:space="0" w:color="auto"/>
            <w:left w:val="none" w:sz="0" w:space="0" w:color="auto"/>
            <w:bottom w:val="none" w:sz="0" w:space="0" w:color="auto"/>
            <w:right w:val="none" w:sz="0" w:space="0" w:color="auto"/>
          </w:divBdr>
          <w:divsChild>
            <w:div w:id="9485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ourtlistener.com/opinion/2167919/union-of-american-physicians-dentists-v-kizer/" TargetMode="External"/><Relationship Id="rId21" Type="http://schemas.openxmlformats.org/officeDocument/2006/relationships/hyperlink" Target="https://casetext.com/case/vance-v-ball-state-univ-5" TargetMode="External"/><Relationship Id="rId42" Type="http://schemas.openxmlformats.org/officeDocument/2006/relationships/hyperlink" Target="http://onlinelibrary.wiley.com/doi/10.1111/rego.12094/full" TargetMode="External"/><Relationship Id="rId47" Type="http://schemas.openxmlformats.org/officeDocument/2006/relationships/hyperlink" Target="http://onlinelibrary.wiley.com/doi/10.1111/rego.12094/full" TargetMode="External"/><Relationship Id="rId63" Type="http://schemas.openxmlformats.org/officeDocument/2006/relationships/hyperlink" Target="http://onlinelibrary.wiley.com/doi/10.1111/rego.12094/full" TargetMode="External"/><Relationship Id="rId68" Type="http://schemas.openxmlformats.org/officeDocument/2006/relationships/hyperlink" Target="http://onlinelibrary.wiley.com/doi/10.1111/rego.12094/full" TargetMode="External"/><Relationship Id="rId84" Type="http://schemas.openxmlformats.org/officeDocument/2006/relationships/hyperlink" Target="https://www.collinsdictionary.com/us/dictionary/english/eight" TargetMode="External"/><Relationship Id="rId89" Type="http://schemas.openxmlformats.org/officeDocument/2006/relationships/hyperlink" Target="https://www.collinsdictionary.com/us/dictionary/english/education" TargetMode="External"/><Relationship Id="rId1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dictionary.cambridge.org/us/dictionary/english/available" TargetMode="External"/><Relationship Id="rId29" Type="http://schemas.openxmlformats.org/officeDocument/2006/relationships/hyperlink" Target="http://www.canlii.org/en/bc/bcsc/doc/1997/1997canlii2108/1997canlii2108.html" TargetMode="External"/><Relationship Id="rId107" Type="http://schemas.openxmlformats.org/officeDocument/2006/relationships/hyperlink" Target="http://www.leagle.com/decision/198869848PaDampC3d650_1627/PRANA%20YOGA%20CENTRE%20v.%20LOWER%20POTTSGROVE%20ZHB" TargetMode="External"/><Relationship Id="rId11" Type="http://schemas.openxmlformats.org/officeDocument/2006/relationships/hyperlink" Target="http://www.oscn.net/applications/oscn/deliverdocument.asp?box1=802&amp;box2=P.2D&amp;box3=813" TargetMode="External"/><Relationship Id="rId24" Type="http://schemas.openxmlformats.org/officeDocument/2006/relationships/hyperlink" Target="https://www.thoughtco.com/federal-regulations-3322287" TargetMode="External"/><Relationship Id="rId32" Type="http://schemas.openxmlformats.org/officeDocument/2006/relationships/hyperlink" Target="http://onlinelibrary.wiley.com/doi/10.1111/rego.12094/full" TargetMode="External"/><Relationship Id="rId37" Type="http://schemas.openxmlformats.org/officeDocument/2006/relationships/hyperlink" Target="http://onlinelibrary.wiley.com/doi/10.1111/rego.12094/full" TargetMode="External"/><Relationship Id="rId40" Type="http://schemas.openxmlformats.org/officeDocument/2006/relationships/hyperlink" Target="http://onlinelibrary.wiley.com/doi/10.1111/rego.12094/full" TargetMode="External"/><Relationship Id="rId45" Type="http://schemas.openxmlformats.org/officeDocument/2006/relationships/hyperlink" Target="http://onlinelibrary.wiley.com/doi/10.1111/rego.12094/full" TargetMode="External"/><Relationship Id="rId53" Type="http://schemas.openxmlformats.org/officeDocument/2006/relationships/hyperlink" Target="http://onlinelibrary.wiley.com/doi/10.1111/rego.12094/full" TargetMode="External"/><Relationship Id="rId58" Type="http://schemas.openxmlformats.org/officeDocument/2006/relationships/hyperlink" Target="http://onlinelibrary.wiley.com/doi/10.1111/rego.12094/full" TargetMode="External"/><Relationship Id="rId66" Type="http://schemas.openxmlformats.org/officeDocument/2006/relationships/hyperlink" Target="http://onlinelibrary.wiley.com/doi/10.1111/rego.12094/full" TargetMode="External"/><Relationship Id="rId74" Type="http://schemas.openxmlformats.org/officeDocument/2006/relationships/hyperlink" Target="http://onlinelibrary.wiley.com/doi/10.1111/rego.12094/full" TargetMode="External"/><Relationship Id="rId79" Type="http://schemas.openxmlformats.org/officeDocument/2006/relationships/hyperlink" Target="http://education.stateuniversity.com/pages/1950/Elementary-Education.html" TargetMode="External"/><Relationship Id="rId87" Type="http://schemas.openxmlformats.org/officeDocument/2006/relationships/hyperlink" Target="https://www.boundless.com/education/definition/secondary-education/" TargetMode="External"/><Relationship Id="rId102" Type="http://schemas.openxmlformats.org/officeDocument/2006/relationships/hyperlink" Target="http://infed.org/mobi/paulo-freire-dialogue-praxis-and-education/" TargetMode="External"/><Relationship Id="rId110" Type="http://schemas.openxmlformats.org/officeDocument/2006/relationships/hyperlink" Target="http://www.leagle.com/cite/27%20Pa.Commw.%20237" TargetMode="External"/><Relationship Id="rId5" Type="http://schemas.openxmlformats.org/officeDocument/2006/relationships/webSettings" Target="webSettings.xml"/><Relationship Id="rId61" Type="http://schemas.openxmlformats.org/officeDocument/2006/relationships/hyperlink" Target="http://onlinelibrary.wiley.com/doi/10.1111/rego.12094/full" TargetMode="External"/><Relationship Id="rId82" Type="http://schemas.openxmlformats.org/officeDocument/2006/relationships/hyperlink" Target="https://www.britannica.com/topic/secondary-education" TargetMode="External"/><Relationship Id="rId90" Type="http://schemas.openxmlformats.org/officeDocument/2006/relationships/hyperlink" Target="https://www.collinsdictionary.com/us/dictionary/english/pupil" TargetMode="External"/><Relationship Id="rId95" Type="http://schemas.openxmlformats.org/officeDocument/2006/relationships/hyperlink" Target="http://www.macmillandictionary.com/us/dictionary/american/people_1" TargetMode="External"/><Relationship Id="rId19" Type="http://schemas.openxmlformats.org/officeDocument/2006/relationships/hyperlink" Target="https://casetext.com/case/lorillard-tobacco-v-american-legacy" TargetMode="External"/><Relationship Id="rId14" Type="http://schemas.openxmlformats.org/officeDocument/2006/relationships/hyperlink" Target="http://supreme.lp.findlaw.com/supreme_court/briefs/06-84/06-84.mer.ami.mica.pdf" TargetMode="External"/><Relationship Id="rId22" Type="http://schemas.openxmlformats.org/officeDocument/2006/relationships/hyperlink" Target="https://casetext.com/case/seaford-golf-v-ei-dupont" TargetMode="External"/><Relationship Id="rId27" Type="http://schemas.openxmlformats.org/officeDocument/2006/relationships/hyperlink" Target="https://www.courtlistener.com/opinion/2167919/union-of-american-physicians-dentists-v-kizer/" TargetMode="External"/><Relationship Id="rId30" Type="http://schemas.openxmlformats.org/officeDocument/2006/relationships/hyperlink" Target="http://www.canlii.org/en/ca/scc/doc/1992/1992canlii115/1992canlii115.html" TargetMode="External"/><Relationship Id="rId35" Type="http://schemas.openxmlformats.org/officeDocument/2006/relationships/hyperlink" Target="http://onlinelibrary.wiley.com/doi/10.1111/rego.12094/full" TargetMode="External"/><Relationship Id="rId43" Type="http://schemas.openxmlformats.org/officeDocument/2006/relationships/hyperlink" Target="http://onlinelibrary.wiley.com/doi/10.1111/rego.12094/full" TargetMode="External"/><Relationship Id="rId48" Type="http://schemas.openxmlformats.org/officeDocument/2006/relationships/hyperlink" Target="http://onlinelibrary.wiley.com/doi/10.1111/rego.12094/full" TargetMode="External"/><Relationship Id="rId56" Type="http://schemas.openxmlformats.org/officeDocument/2006/relationships/hyperlink" Target="http://onlinelibrary.wiley.com/doi/10.1111/rego.12094/full" TargetMode="External"/><Relationship Id="rId64" Type="http://schemas.openxmlformats.org/officeDocument/2006/relationships/hyperlink" Target="http://onlinelibrary.wiley.com/doi/10.1111/rego.12094/full" TargetMode="External"/><Relationship Id="rId69" Type="http://schemas.openxmlformats.org/officeDocument/2006/relationships/hyperlink" Target="http://onlinelibrary.wiley.com/doi/10.1111/rego.12094/full" TargetMode="External"/><Relationship Id="rId77" Type="http://schemas.openxmlformats.org/officeDocument/2006/relationships/hyperlink" Target="http://onlinelibrary.wiley.com/doi/10.1111/rego.12094/full" TargetMode="External"/><Relationship Id="rId100" Type="http://schemas.openxmlformats.org/officeDocument/2006/relationships/hyperlink" Target="http://www.macmillandictionary.com/us/dictionary/american/arrangement" TargetMode="External"/><Relationship Id="rId105" Type="http://schemas.openxmlformats.org/officeDocument/2006/relationships/hyperlink" Target="http://thelawdictionary.org/education/" TargetMode="External"/><Relationship Id="rId113" Type="http://schemas.openxmlformats.org/officeDocument/2006/relationships/theme" Target="theme/theme1.xml"/><Relationship Id="rId8" Type="http://schemas.openxmlformats.org/officeDocument/2006/relationships/hyperlink" Target="http://www.oscn.net/applications/oscn/DeliverDocument.asp?CiteID=20287" TargetMode="External"/><Relationship Id="rId51" Type="http://schemas.openxmlformats.org/officeDocument/2006/relationships/hyperlink" Target="http://onlinelibrary.wiley.com/doi/10.1111/rego.12094/full" TargetMode="External"/><Relationship Id="rId72" Type="http://schemas.openxmlformats.org/officeDocument/2006/relationships/hyperlink" Target="http://onlinelibrary.wiley.com/doi/10.1111/rego.12094/full" TargetMode="External"/><Relationship Id="rId80" Type="http://schemas.openxmlformats.org/officeDocument/2006/relationships/hyperlink" Target="https://www.britannica.com/topic/education" TargetMode="External"/><Relationship Id="rId85" Type="http://schemas.openxmlformats.org/officeDocument/2006/relationships/hyperlink" Target="https://www.collinsdictionary.com/us/dictionary/english/education" TargetMode="External"/><Relationship Id="rId93" Type="http://schemas.openxmlformats.org/officeDocument/2006/relationships/hyperlink" Target="http://www.macmillandictionary.com/us/dictionary/american/activity" TargetMode="External"/><Relationship Id="rId98" Type="http://schemas.openxmlformats.org/officeDocument/2006/relationships/hyperlink" Target="http://www.macmillandictionary.com/us/dictionary/american/university" TargetMode="External"/><Relationship Id="rId3" Type="http://schemas.openxmlformats.org/officeDocument/2006/relationships/styles" Target="style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dictionary.cambridge.org/us/dictionary/english/particular" TargetMode="External"/><Relationship Id="rId25" Type="http://schemas.openxmlformats.org/officeDocument/2006/relationships/hyperlink" Target="https://www.thoughtco.com/how-budget-process-is-supposed-to-work-3321458" TargetMode="External"/><Relationship Id="rId33" Type="http://schemas.openxmlformats.org/officeDocument/2006/relationships/hyperlink" Target="http://onlinelibrary.wiley.com/doi/10.1111/rego.12094/full" TargetMode="External"/><Relationship Id="rId38" Type="http://schemas.openxmlformats.org/officeDocument/2006/relationships/hyperlink" Target="http://onlinelibrary.wiley.com/doi/10.1111/rego.12094/full" TargetMode="External"/><Relationship Id="rId46" Type="http://schemas.openxmlformats.org/officeDocument/2006/relationships/hyperlink" Target="http://onlinelibrary.wiley.com/doi/10.1111/rego.12094/full" TargetMode="External"/><Relationship Id="rId59" Type="http://schemas.openxmlformats.org/officeDocument/2006/relationships/hyperlink" Target="http://onlinelibrary.wiley.com/doi/10.1111/rego.12094/full" TargetMode="External"/><Relationship Id="rId67" Type="http://schemas.openxmlformats.org/officeDocument/2006/relationships/hyperlink" Target="http://onlinelibrary.wiley.com/doi/10.1111/rego.12094/full" TargetMode="External"/><Relationship Id="rId103" Type="http://schemas.openxmlformats.org/officeDocument/2006/relationships/hyperlink" Target="https://protect-us.mimecast.com/s/EJqdBzTAEXqQtp" TargetMode="External"/><Relationship Id="rId108" Type="http://schemas.openxmlformats.org/officeDocument/2006/relationships/hyperlink" Target="http://www.leagle.com/cite/406%20Pa.%20484" TargetMode="External"/><Relationship Id="rId20" Type="http://schemas.openxmlformats.org/officeDocument/2006/relationships/hyperlink" Target="https://casetext.com/case/lorillard-tobacco-v-american-legacy" TargetMode="External"/><Relationship Id="rId41" Type="http://schemas.openxmlformats.org/officeDocument/2006/relationships/hyperlink" Target="http://onlinelibrary.wiley.com/doi/10.1111/rego.12094/full" TargetMode="External"/><Relationship Id="rId54" Type="http://schemas.openxmlformats.org/officeDocument/2006/relationships/hyperlink" Target="http://onlinelibrary.wiley.com/doi/10.1111/rego.12094/full" TargetMode="External"/><Relationship Id="rId62" Type="http://schemas.openxmlformats.org/officeDocument/2006/relationships/hyperlink" Target="http://onlinelibrary.wiley.com/doi/10.1111/rego.12094/full" TargetMode="External"/><Relationship Id="rId70" Type="http://schemas.openxmlformats.org/officeDocument/2006/relationships/hyperlink" Target="http://onlinelibrary.wiley.com/doi/10.1111/rego.12094/full" TargetMode="External"/><Relationship Id="rId75" Type="http://schemas.openxmlformats.org/officeDocument/2006/relationships/hyperlink" Target="http://onlinelibrary.wiley.com/doi/10.1111/rego.12094/full" TargetMode="External"/><Relationship Id="rId83" Type="http://schemas.openxmlformats.org/officeDocument/2006/relationships/hyperlink" Target="https://www.collinsdictionary.com/us/dictionary/english/six" TargetMode="External"/><Relationship Id="rId88" Type="http://schemas.openxmlformats.org/officeDocument/2006/relationships/hyperlink" Target="https://www.boundless.com/education/definition/core-subjects/" TargetMode="External"/><Relationship Id="rId91" Type="http://schemas.openxmlformats.org/officeDocument/2006/relationships/hyperlink" Target="https://web.archive.org/web/20100612125047/http://www.sanford.duke.edu/research/papers/SAN07-01.pdf" TargetMode="External"/><Relationship Id="rId96" Type="http://schemas.openxmlformats.org/officeDocument/2006/relationships/hyperlink" Target="http://www.macmillandictionary.com/us/dictionary/american/school_1" TargetMode="External"/><Relationship Id="rId111" Type="http://schemas.openxmlformats.org/officeDocument/2006/relationships/hyperlink" Target="http://www.leagle.com/cite/2%20Pa.Commw.%20238" TargetMode="External"/><Relationship Id="rId1" Type="http://schemas.openxmlformats.org/officeDocument/2006/relationships/customXml" Target="../customXml/item1.xml"/><Relationship Id="rId6" Type="http://schemas.openxmlformats.org/officeDocument/2006/relationships/hyperlink" Target="http://www.oscn.net/applications/oscn/DeliverDocument.asp?CiteID=20287" TargetMode="External"/><Relationship Id="rId15" Type="http://schemas.openxmlformats.org/officeDocument/2006/relationships/hyperlink" Target="http://dictionary.cambridge.org/us/dictionary/english/money" TargetMode="External"/><Relationship Id="rId23" Type="http://schemas.openxmlformats.org/officeDocument/2006/relationships/hyperlink" Target="https://casetext.com/case/2009-caiola-family-trust-v-pwa" TargetMode="External"/><Relationship Id="rId28" Type="http://schemas.openxmlformats.org/officeDocument/2006/relationships/hyperlink" Target="https://www.courtlistener.com/opinion/2146994/roth-v-department-of-veterans-affairs/" TargetMode="External"/><Relationship Id="rId36" Type="http://schemas.openxmlformats.org/officeDocument/2006/relationships/hyperlink" Target="http://onlinelibrary.wiley.com/doi/10.1111/rego.12094/full" TargetMode="External"/><Relationship Id="rId49" Type="http://schemas.openxmlformats.org/officeDocument/2006/relationships/hyperlink" Target="http://onlinelibrary.wiley.com/doi/10.1111/rego.12094/full" TargetMode="External"/><Relationship Id="rId57" Type="http://schemas.openxmlformats.org/officeDocument/2006/relationships/hyperlink" Target="http://onlinelibrary.wiley.com/doi/10.1111/rego.12094/full" TargetMode="External"/><Relationship Id="rId106" Type="http://schemas.openxmlformats.org/officeDocument/2006/relationships/hyperlink" Target="http://thelawdictionary.org/instruction/" TargetMode="External"/><Relationship Id="rId10" Type="http://schemas.openxmlformats.org/officeDocument/2006/relationships/hyperlink" Target="http://www.oscn.net/applications/oscn/DeliverDocument.asp?CiteID=20287" TargetMode="External"/><Relationship Id="rId31" Type="http://schemas.openxmlformats.org/officeDocument/2006/relationships/hyperlink" Target="http://onlinelibrary.wiley.com/doi/10.1111/rego.12094/full" TargetMode="External"/><Relationship Id="rId44" Type="http://schemas.openxmlformats.org/officeDocument/2006/relationships/hyperlink" Target="http://onlinelibrary.wiley.com/doi/10.1111/rego.12094/full" TargetMode="External"/><Relationship Id="rId52" Type="http://schemas.openxmlformats.org/officeDocument/2006/relationships/hyperlink" Target="http://onlinelibrary.wiley.com/doi/10.1111/rego.12094/full" TargetMode="External"/><Relationship Id="rId60" Type="http://schemas.openxmlformats.org/officeDocument/2006/relationships/hyperlink" Target="http://onlinelibrary.wiley.com/doi/10.1111/rego.12094/full" TargetMode="External"/><Relationship Id="rId65" Type="http://schemas.openxmlformats.org/officeDocument/2006/relationships/hyperlink" Target="http://onlinelibrary.wiley.com/doi/10.1111/rego.12094/full" TargetMode="External"/><Relationship Id="rId73" Type="http://schemas.openxmlformats.org/officeDocument/2006/relationships/hyperlink" Target="http://onlinelibrary.wiley.com/doi/10.1111/rego.12094/full" TargetMode="External"/><Relationship Id="rId78" Type="http://schemas.openxmlformats.org/officeDocument/2006/relationships/hyperlink" Target="http://onlinelibrary.wiley.com/doi/10.1111/rego.12094/full" TargetMode="External"/><Relationship Id="rId81" Type="http://schemas.openxmlformats.org/officeDocument/2006/relationships/hyperlink" Target="https://www.britannica.com/place/United-Kingdom" TargetMode="External"/><Relationship Id="rId86" Type="http://schemas.openxmlformats.org/officeDocument/2006/relationships/hyperlink" Target="https://www.boundless.com/education/definition/primary-education/" TargetMode="External"/><Relationship Id="rId94" Type="http://schemas.openxmlformats.org/officeDocument/2006/relationships/hyperlink" Target="http://www.macmillandictionary.com/us/dictionary/american/educate" TargetMode="External"/><Relationship Id="rId99" Type="http://schemas.openxmlformats.org/officeDocument/2006/relationships/hyperlink" Target="http://www.macmillandictionary.com/us/dictionary/american/policy" TargetMode="External"/><Relationship Id="rId101" Type="http://schemas.openxmlformats.org/officeDocument/2006/relationships/hyperlink" Target="http://www.macmillandictionary.com/us/dictionary/american/concerning_1" TargetMode="Externa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 Id="rId13" Type="http://schemas.openxmlformats.org/officeDocument/2006/relationships/hyperlink" Target="http://www.oscn.net/applications/oscn/deliverdocument.asp?box1=106&amp;box2=U.S.&amp;box3=360" TargetMode="External"/><Relationship Id="rId18" Type="http://schemas.openxmlformats.org/officeDocument/2006/relationships/hyperlink" Target="http://dictionary.cambridge.org/us/dictionary/english/purpose" TargetMode="External"/><Relationship Id="rId39" Type="http://schemas.openxmlformats.org/officeDocument/2006/relationships/hyperlink" Target="http://onlinelibrary.wiley.com/doi/10.1111/rego.12094/full" TargetMode="External"/><Relationship Id="rId109" Type="http://schemas.openxmlformats.org/officeDocument/2006/relationships/hyperlink" Target="http://www.leagle.com/cite/91%20Pa.Commw.%20220" TargetMode="External"/><Relationship Id="rId34" Type="http://schemas.openxmlformats.org/officeDocument/2006/relationships/hyperlink" Target="http://onlinelibrary.wiley.com/doi/10.1111/rego.12094/full" TargetMode="External"/><Relationship Id="rId50" Type="http://schemas.openxmlformats.org/officeDocument/2006/relationships/hyperlink" Target="http://onlinelibrary.wiley.com/doi/10.1111/rego.12094/full" TargetMode="External"/><Relationship Id="rId55" Type="http://schemas.openxmlformats.org/officeDocument/2006/relationships/hyperlink" Target="http://onlinelibrary.wiley.com/doi/10.1111/rego.12094/full" TargetMode="External"/><Relationship Id="rId76" Type="http://schemas.openxmlformats.org/officeDocument/2006/relationships/hyperlink" Target="http://onlinelibrary.wiley.com/doi/10.1111/rego.12094/full" TargetMode="External"/><Relationship Id="rId97" Type="http://schemas.openxmlformats.org/officeDocument/2006/relationships/hyperlink" Target="http://www.macmillandictionary.com/us/dictionary/american/college" TargetMode="External"/><Relationship Id="rId104" Type="http://schemas.openxmlformats.org/officeDocument/2006/relationships/hyperlink" Target="https://protect-us.mimecast.com/s/RKxkBwt8E5NGir" TargetMode="External"/><Relationship Id="rId7" Type="http://schemas.openxmlformats.org/officeDocument/2006/relationships/hyperlink" Target="http://www.oscn.net/applications/oscn/DeliverDocument.asp?CiteID=20287" TargetMode="External"/><Relationship Id="rId71" Type="http://schemas.openxmlformats.org/officeDocument/2006/relationships/hyperlink" Target="http://onlinelibrary.wiley.com/doi/10.1111/rego.12094/full" TargetMode="External"/><Relationship Id="rId92" Type="http://schemas.openxmlformats.org/officeDocument/2006/relationships/hyperlink" Target="https://www.collinsdictionary.com/dictionary/english/teac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FC21C-3895-42C6-9BAB-5F56B9A43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81</Pages>
  <Words>14118</Words>
  <Characters>80474</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saifb</dc:creator>
  <cp:keywords>5.1.1</cp:keywords>
  <dc:description/>
  <cp:lastModifiedBy>Alexandria</cp:lastModifiedBy>
  <cp:revision>2</cp:revision>
  <dcterms:created xsi:type="dcterms:W3CDTF">2017-06-26T01:28:00Z</dcterms:created>
  <dcterms:modified xsi:type="dcterms:W3CDTF">2017-06-26T01:28:00Z</dcterms:modified>
</cp:coreProperties>
</file>