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Default="00EB5125" w:rsidP="00EB5125">
      <w:pPr>
        <w:pStyle w:val="Heading1"/>
      </w:pPr>
      <w:r>
        <w:t>Topicality</w:t>
      </w:r>
    </w:p>
    <w:p w:rsidR="00EB5125" w:rsidRDefault="009F1B58" w:rsidP="00EB5125">
      <w:pPr>
        <w:pStyle w:val="Heading2"/>
      </w:pPr>
      <w:r>
        <w:t>RESOLUTION</w:t>
      </w:r>
    </w:p>
    <w:p w:rsidR="00EB5125" w:rsidRDefault="00EB5125" w:rsidP="00EB5125">
      <w:pPr>
        <w:pStyle w:val="Heading4"/>
      </w:pPr>
      <w:r>
        <w:t xml:space="preserve"> Resolved:   The United States federal government should substantially increase its funding and/or regulation of elementary and/or secondary education in the United States.</w:t>
      </w:r>
    </w:p>
    <w:p w:rsidR="00644A12" w:rsidRDefault="00644A12" w:rsidP="00644A12">
      <w:pPr>
        <w:pStyle w:val="Heading2"/>
      </w:pPr>
      <w:r>
        <w:t>TOPLINE</w:t>
      </w:r>
    </w:p>
    <w:p w:rsidR="00644A12" w:rsidRPr="00644A12" w:rsidRDefault="00644A12" w:rsidP="00644A12">
      <w:pPr>
        <w:pStyle w:val="Heading3"/>
      </w:pPr>
      <w:r>
        <w:t>1NC – STEM</w:t>
      </w:r>
    </w:p>
    <w:p w:rsidR="00644A12" w:rsidRDefault="00644A12" w:rsidP="00644A12">
      <w:pPr>
        <w:pStyle w:val="Heading4"/>
      </w:pPr>
      <w:r>
        <w:t>A. Interpretation – “Secondary education” is distinct from post-secondary education</w:t>
      </w:r>
    </w:p>
    <w:p w:rsidR="00644A12" w:rsidRPr="00D13240" w:rsidRDefault="00644A12" w:rsidP="00644A12">
      <w:r w:rsidRPr="00D13240">
        <w:rPr>
          <w:rStyle w:val="Style13ptBold"/>
        </w:rPr>
        <w:t xml:space="preserve">Lee </w:t>
      </w:r>
      <w:r w:rsidR="002E087B">
        <w:rPr>
          <w:rStyle w:val="Style13ptBold"/>
        </w:rPr>
        <w:t>‘</w:t>
      </w:r>
      <w:r w:rsidRPr="00D13240">
        <w:rPr>
          <w:rStyle w:val="Style13ptBold"/>
        </w:rPr>
        <w:t xml:space="preserve">17 </w:t>
      </w:r>
      <w:r w:rsidRPr="000720A1">
        <w:t>[</w:t>
      </w:r>
      <w:r>
        <w:t>Christina Lee, Leaf Group, “Difference Between Secondary and Postsecondary Education”, Synonym, http://classroom.synonym.com/difference-between-secondary-postsecondary-education-1288.html]</w:t>
      </w:r>
    </w:p>
    <w:p w:rsidR="00644A12" w:rsidRPr="00245CD6" w:rsidRDefault="00644A12" w:rsidP="00644A12">
      <w:r>
        <w:t xml:space="preserve">Together, </w:t>
      </w:r>
      <w:r w:rsidRPr="00D13240">
        <w:rPr>
          <w:rStyle w:val="Emphasis"/>
        </w:rPr>
        <w:t>secondary</w:t>
      </w:r>
      <w:r w:rsidRPr="00D13240">
        <w:rPr>
          <w:rStyle w:val="StyleUnderline"/>
        </w:rPr>
        <w:t xml:space="preserve"> and </w:t>
      </w:r>
      <w:r w:rsidRPr="00D13240">
        <w:rPr>
          <w:rStyle w:val="Emphasis"/>
        </w:rPr>
        <w:t>postsecondary</w:t>
      </w:r>
      <w:r w:rsidRPr="00D13240">
        <w:rPr>
          <w:rStyle w:val="StyleUnderline"/>
        </w:rPr>
        <w:t xml:space="preserve"> education comprise the education that a student receives after fifth grade. Before that point, students receive</w:t>
      </w:r>
      <w:r>
        <w:t xml:space="preserve"> primary or </w:t>
      </w:r>
      <w:r w:rsidRPr="0032685E">
        <w:rPr>
          <w:rStyle w:val="StyleUnderline"/>
        </w:rPr>
        <w:t>elementary</w:t>
      </w:r>
      <w:r w:rsidRPr="00D13240">
        <w:rPr>
          <w:rStyle w:val="StyleUnderline"/>
        </w:rPr>
        <w:t xml:space="preserve"> education from kindergarten through fifth grade</w:t>
      </w:r>
      <w:r>
        <w:t xml:space="preserve">. Secondary education, along with postsecondary education for some, propels students into adulthood and aims to give them necessary career skills. Secondary Education </w:t>
      </w:r>
      <w:r w:rsidRPr="0031026D">
        <w:rPr>
          <w:rStyle w:val="StyleUnderline"/>
        </w:rPr>
        <w:t>Secondary education</w:t>
      </w:r>
      <w:r w:rsidRPr="00D13240">
        <w:rPr>
          <w:rStyle w:val="StyleUnderline"/>
        </w:rPr>
        <w:t xml:space="preserve"> refers to schooling that takes place during the middle and high school years, </w:t>
      </w:r>
      <w:r w:rsidRPr="0031026D">
        <w:rPr>
          <w:rStyle w:val="StyleUnderline"/>
        </w:rPr>
        <w:t>between sixth and twelfth grade</w:t>
      </w:r>
      <w:r>
        <w:t xml:space="preserve">. </w:t>
      </w:r>
      <w:r w:rsidRPr="000720A1">
        <w:rPr>
          <w:rStyle w:val="StyleUnderline"/>
        </w:rPr>
        <w:t>It is divided into courses</w:t>
      </w:r>
      <w:r>
        <w:t xml:space="preserve"> in English, mathematics, social studies, science and foreign language. For some, secondary education includes electives such as music or drama. In the U.S., public secondary education is free and available to all. </w:t>
      </w:r>
      <w:r w:rsidRPr="000720A1">
        <w:rPr>
          <w:rStyle w:val="StyleUnderline"/>
        </w:rPr>
        <w:t>Secondary education is compulsory in the U.S. through the age of 16</w:t>
      </w:r>
      <w:r>
        <w:t xml:space="preserve">. Postsecondary </w:t>
      </w:r>
      <w:r w:rsidRPr="0032685E">
        <w:rPr>
          <w:rStyle w:val="StyleUnderline"/>
        </w:rPr>
        <w:t>Postsecondary</w:t>
      </w:r>
      <w:r w:rsidRPr="00D13240">
        <w:rPr>
          <w:rStyle w:val="StyleUnderline"/>
        </w:rPr>
        <w:t xml:space="preserve">, </w:t>
      </w:r>
      <w:r w:rsidRPr="000720A1">
        <w:rPr>
          <w:rStyle w:val="StyleUnderline"/>
        </w:rPr>
        <w:t>or tertiary</w:t>
      </w:r>
      <w:r w:rsidRPr="00D13240">
        <w:rPr>
          <w:rStyle w:val="StyleUnderline"/>
        </w:rPr>
        <w:t xml:space="preserve">, education includes </w:t>
      </w:r>
      <w:r w:rsidRPr="000720A1">
        <w:t>any educational program that takes place after you complete your secondary education. This includes</w:t>
      </w:r>
      <w:r w:rsidRPr="00D13240">
        <w:rPr>
          <w:rStyle w:val="StyleUnderline"/>
        </w:rPr>
        <w:t xml:space="preserve"> </w:t>
      </w:r>
      <w:r w:rsidRPr="00D13240">
        <w:rPr>
          <w:rStyle w:val="Emphasis"/>
        </w:rPr>
        <w:t>community college</w:t>
      </w:r>
      <w:r w:rsidRPr="00D13240">
        <w:rPr>
          <w:rStyle w:val="StyleUnderline"/>
        </w:rPr>
        <w:t xml:space="preserve">, </w:t>
      </w:r>
      <w:r w:rsidRPr="00D13240">
        <w:rPr>
          <w:rStyle w:val="Emphasis"/>
        </w:rPr>
        <w:t>professional certification</w:t>
      </w:r>
      <w:r w:rsidRPr="00D13240">
        <w:rPr>
          <w:rStyle w:val="StyleUnderline"/>
        </w:rPr>
        <w:t xml:space="preserve">, </w:t>
      </w:r>
      <w:r w:rsidRPr="00D13240">
        <w:rPr>
          <w:rStyle w:val="Emphasis"/>
        </w:rPr>
        <w:t>undergraduate education</w:t>
      </w:r>
      <w:r w:rsidRPr="00D13240">
        <w:rPr>
          <w:rStyle w:val="StyleUnderline"/>
        </w:rPr>
        <w:t xml:space="preserve"> and </w:t>
      </w:r>
      <w:r w:rsidRPr="00D13240">
        <w:rPr>
          <w:rStyle w:val="Emphasis"/>
        </w:rPr>
        <w:t>graduate school.</w:t>
      </w:r>
      <w:r w:rsidRPr="00D13240">
        <w:rPr>
          <w:rStyle w:val="StyleUnderline"/>
        </w:rPr>
        <w:t xml:space="preserve"> Postsecondary education is more advanced and specialized than secondary education. Postsecondary education is also </w:t>
      </w:r>
      <w:r w:rsidRPr="0031026D">
        <w:rPr>
          <w:rStyle w:val="StyleUnderline"/>
        </w:rPr>
        <w:t>broad</w:t>
      </w:r>
      <w:r w:rsidRPr="00D13240">
        <w:rPr>
          <w:rStyle w:val="StyleUnderline"/>
        </w:rPr>
        <w:t xml:space="preserve">, allowing students to pursue the subjects that most interest them. Students can receive a </w:t>
      </w:r>
      <w:r w:rsidRPr="0031026D">
        <w:rPr>
          <w:rStyle w:val="StyleUnderline"/>
        </w:rPr>
        <w:t>wide range</w:t>
      </w:r>
      <w:r w:rsidRPr="00D13240">
        <w:rPr>
          <w:rStyle w:val="StyleUnderline"/>
        </w:rPr>
        <w:t xml:space="preserve"> of degrees, from a broad liberal arts degree </w:t>
      </w:r>
      <w:r w:rsidRPr="000720A1">
        <w:t xml:space="preserve">that deepens critical-thinking skills, </w:t>
      </w:r>
      <w:r w:rsidRPr="00D13240">
        <w:rPr>
          <w:rStyle w:val="StyleUnderline"/>
        </w:rPr>
        <w:t xml:space="preserve">to a </w:t>
      </w:r>
      <w:r w:rsidRPr="000720A1">
        <w:t>more hands-on</w:t>
      </w:r>
      <w:r w:rsidRPr="00D13240">
        <w:rPr>
          <w:rStyle w:val="StyleUnderline"/>
        </w:rPr>
        <w:t xml:space="preserve"> business degree</w:t>
      </w:r>
      <w:r>
        <w:t>. Purposes of Secondary and Postsecondary Schooling The purpose of secondary education is to ready students to either pursue a postsecondary education or enter into a vocational career that does not require further formal study. Postsecondary education helps students develop skills and expertise they can apply in later professional careers. For example, a student who studies English may pursue a career as an editor. A medical student studies to become a doctor. A computer engineering student may become a computer scientist. The goals are twofold: to help students develop independent reasoning skills and to prepare them for the job market.</w:t>
      </w:r>
    </w:p>
    <w:p w:rsidR="00644A12" w:rsidRPr="000720A1" w:rsidRDefault="00644A12" w:rsidP="00644A12"/>
    <w:p w:rsidR="00644A12" w:rsidRDefault="00644A12" w:rsidP="00644A12">
      <w:pPr>
        <w:pStyle w:val="Heading4"/>
      </w:pPr>
      <w:r>
        <w:t>B. Violation – Title IV funds can be used for post-secondary courses and career certification credentials</w:t>
      </w:r>
    </w:p>
    <w:p w:rsidR="00644A12" w:rsidRPr="00FD6FBE" w:rsidRDefault="00644A12" w:rsidP="00644A12">
      <w:r w:rsidRPr="003D2C30">
        <w:rPr>
          <w:rStyle w:val="Style13ptBold"/>
        </w:rPr>
        <w:t>Dept. of Ed. ’16</w:t>
      </w:r>
      <w:r>
        <w:t xml:space="preserve"> [Elementary and Secondary Education Act of 1965, As Amended Through P.L. 114–95, Enacted December 10, 2015, February 5, 2016 , TITLE IV—21ST CENTURY SCHOOLS PART A—STUDENT SUPPORT AND ACADEMIC ENRICHMENT GRANTS Sec. 4103, </w:t>
      </w:r>
      <w:hyperlink r:id="rId8" w:history="1">
        <w:r w:rsidRPr="00DB6981">
          <w:rPr>
            <w:rStyle w:val="Hyperlink"/>
          </w:rPr>
          <w:t>https://www2.ed.gov/documents/essa-act-of-1965.pdf</w:t>
        </w:r>
      </w:hyperlink>
      <w:r>
        <w:t>, schauer]</w:t>
      </w:r>
    </w:p>
    <w:p w:rsidR="00644A12" w:rsidRDefault="00644A12" w:rsidP="00644A12">
      <w:r>
        <w:t>(b) STATE ACTIVITIES.—</w:t>
      </w:r>
      <w:r w:rsidRPr="00FD6FBE">
        <w:rPr>
          <w:rStyle w:val="StyleUnderline"/>
        </w:rPr>
        <w:t>Each State that receives an allotment</w:t>
      </w:r>
      <w:r>
        <w:rPr>
          <w:rStyle w:val="StyleUnderline"/>
        </w:rPr>
        <w:t xml:space="preserve"> </w:t>
      </w:r>
      <w:r w:rsidRPr="00FD6FBE">
        <w:rPr>
          <w:rStyle w:val="StyleUnderline"/>
        </w:rPr>
        <w:t xml:space="preserve">under section </w:t>
      </w:r>
      <w:r w:rsidRPr="00FD6FBE">
        <w:rPr>
          <w:rStyle w:val="Emphasis"/>
        </w:rPr>
        <w:t xml:space="preserve">4103 </w:t>
      </w:r>
      <w:r w:rsidRPr="00FD6FBE">
        <w:rPr>
          <w:rStyle w:val="StyleUnderline"/>
        </w:rPr>
        <w:t>shall use the funds</w:t>
      </w:r>
      <w:r>
        <w:t xml:space="preserve"> available under subsection (a)(3) </w:t>
      </w:r>
      <w:r w:rsidRPr="00FD6FBE">
        <w:rPr>
          <w:rStyle w:val="StyleUnderline"/>
        </w:rPr>
        <w:t>for activities</w:t>
      </w:r>
      <w:r>
        <w:t xml:space="preserve"> and programs designed to meet the purposes of this subpart, </w:t>
      </w:r>
      <w:r w:rsidRPr="00FD6FBE">
        <w:rPr>
          <w:rStyle w:val="StyleUnderline"/>
        </w:rPr>
        <w:t>which may include</w:t>
      </w:r>
      <w:r>
        <w:t xml:space="preserve">— (1) providing monitoring of, and training, technical assistance, and capacity building to, local educational agencies that receive an allotment under section 4105; (2) identifying and eliminating State barriers to the coordination and integration of programs, initiatives, and funding streams that meet the purposes of this subpart, so that local educational agencies can better coordinate with other agencies, schools, and community-based services and programs; or (3) supporting local educational agencies in providing programs and activities that— (A) offer well-rounded educational experiences to all students, as described in section 4107, including female students, minority students, English learners, children with disabilities, and low-income students who are often underrepresented in critical and enriching subjects, which may include— (i) increasing student access to and improving student engagement and achievement in— (I) high-quality courses in science, technology, engineering, and mathematics, including computer science; (II) activities and programs in music and the arts; (III) foreign languages; </w:t>
      </w:r>
      <w:r w:rsidRPr="00FD6FBE">
        <w:rPr>
          <w:rStyle w:val="StyleUnderline"/>
        </w:rPr>
        <w:t>(IV) accelerated learning programs that provide—</w:t>
      </w:r>
      <w:r>
        <w:rPr>
          <w:rStyle w:val="StyleUnderline"/>
        </w:rPr>
        <w:t xml:space="preserve"> </w:t>
      </w:r>
      <w:r w:rsidRPr="00FD6FBE">
        <w:rPr>
          <w:rStyle w:val="StyleUnderline"/>
        </w:rPr>
        <w:t>(a</w:t>
      </w:r>
      <w:r w:rsidRPr="000720A1">
        <w:rPr>
          <w:rStyle w:val="StyleUnderline"/>
        </w:rPr>
        <w:t>a)</w:t>
      </w:r>
      <w:r w:rsidRPr="00FD6FBE">
        <w:rPr>
          <w:rStyle w:val="Emphasis"/>
        </w:rPr>
        <w:t xml:space="preserve"> postsecondary level courses</w:t>
      </w:r>
      <w:r>
        <w:t xml:space="preserve"> </w:t>
      </w:r>
      <w:r w:rsidRPr="00FD6FBE">
        <w:rPr>
          <w:rStyle w:val="StyleUnderline"/>
        </w:rPr>
        <w:t>accepted</w:t>
      </w:r>
      <w:r>
        <w:rPr>
          <w:rStyle w:val="StyleUnderline"/>
        </w:rPr>
        <w:t xml:space="preserve"> </w:t>
      </w:r>
      <w:r w:rsidRPr="00FD6FBE">
        <w:rPr>
          <w:rStyle w:val="StyleUnderline"/>
        </w:rPr>
        <w:t>for credit at institutions of</w:t>
      </w:r>
      <w:r>
        <w:t xml:space="preserve"> </w:t>
      </w:r>
      <w:r w:rsidRPr="0031026D">
        <w:rPr>
          <w:rStyle w:val="StyleUnderline"/>
        </w:rPr>
        <w:t>higher education</w:t>
      </w:r>
      <w:r>
        <w:t xml:space="preserve">, </w:t>
      </w:r>
      <w:r w:rsidRPr="00FD6FBE">
        <w:rPr>
          <w:rStyle w:val="StyleUnderline"/>
        </w:rPr>
        <w:t>including dual or concurrent enrollment programs</w:t>
      </w:r>
      <w:r>
        <w:t xml:space="preserve">, and early college high schools; or (bb) </w:t>
      </w:r>
      <w:r w:rsidRPr="000720A1">
        <w:rPr>
          <w:rStyle w:val="Emphasis"/>
        </w:rPr>
        <w:t>postsecondary</w:t>
      </w:r>
      <w:r>
        <w:t xml:space="preserve"> </w:t>
      </w:r>
      <w:r w:rsidRPr="000720A1">
        <w:rPr>
          <w:rStyle w:val="StyleUnderline"/>
        </w:rPr>
        <w:t>level instruction</w:t>
      </w:r>
      <w:r>
        <w:t xml:space="preserve"> and examinations that are accepted for credit at institutions of higher education, including Advanced Placement and International Baccalaureate programs; (V) American history, civics, economics, geography, social studies, or government education; (VI) environmental education; or (VII) other courses, activities, and programs or other experiences that contribute to a wellrounded education; or (ii) reimbursing low-income students to cover part or all of the costs of accelerated learning examination fees, as described in clause (i)(IV); (B) foster safe, healthy, supportive, and drug-free environments that support student academic achievement, as described in section 4108, which may include— (i) coordinating with any local educational agencies or consortia of such agencies implementing a youth PROMISE plan to reduce exclusionary discipline, as described in section 4108(5)(F); </w:t>
      </w:r>
      <w:r w:rsidRPr="00FD6FBE">
        <w:rPr>
          <w:rStyle w:val="StyleUnderline"/>
        </w:rPr>
        <w:t>(ii) supporting local educational agencies to</w:t>
      </w:r>
      <w:r>
        <w:t xml:space="preserve">— (I) implement mental health awareness training programs that are evidence-based (to the extent the State determines that such evidence is reasonably available) to provide education to school personnel regarding resources available in the community for students with mental illnesses and other relevant resources relating to mental health or the safe de-escalation of crisis situations involving a student with a mental illness; or (II) </w:t>
      </w:r>
      <w:r w:rsidRPr="00FD6FBE">
        <w:rPr>
          <w:rStyle w:val="StyleUnderline"/>
        </w:rPr>
        <w:t>expand access to or coordinate resources</w:t>
      </w:r>
      <w:r>
        <w:rPr>
          <w:rStyle w:val="StyleUnderline"/>
        </w:rPr>
        <w:t xml:space="preserve"> </w:t>
      </w:r>
      <w:r w:rsidRPr="00FD6FBE">
        <w:rPr>
          <w:rStyle w:val="StyleUnderline"/>
        </w:rPr>
        <w:t>for school-based counseling and mental health</w:t>
      </w:r>
      <w:r>
        <w:rPr>
          <w:rStyle w:val="StyleUnderline"/>
        </w:rPr>
        <w:t xml:space="preserve"> </w:t>
      </w:r>
      <w:r w:rsidRPr="00FD6FBE">
        <w:rPr>
          <w:rStyle w:val="StyleUnderline"/>
        </w:rPr>
        <w:t>programs</w:t>
      </w:r>
      <w:r>
        <w:t xml:space="preserve">, such as through school-based mental health services partnership programs; (iii) providing local educational agencies with resources that are evidence-based (to the extent the State determines that such evidence is reasonably available) </w:t>
      </w:r>
      <w:r w:rsidRPr="00FD6FBE">
        <w:rPr>
          <w:rStyle w:val="StyleUnderline"/>
        </w:rPr>
        <w:t>addressing ways to integrate health and</w:t>
      </w:r>
      <w:r>
        <w:rPr>
          <w:rStyle w:val="StyleUnderline"/>
        </w:rPr>
        <w:t xml:space="preserve"> </w:t>
      </w:r>
      <w:r w:rsidRPr="00FD6FBE">
        <w:rPr>
          <w:rStyle w:val="StyleUnderline"/>
        </w:rPr>
        <w:t>safety practices into</w:t>
      </w:r>
      <w:r>
        <w:t xml:space="preserve"> </w:t>
      </w:r>
      <w:r w:rsidRPr="00FD6FBE">
        <w:rPr>
          <w:rStyle w:val="StyleUnderline"/>
        </w:rPr>
        <w:t>school or</w:t>
      </w:r>
      <w:r>
        <w:t xml:space="preserve"> </w:t>
      </w:r>
      <w:r w:rsidRPr="003D2C30">
        <w:rPr>
          <w:rStyle w:val="StyleUnderline"/>
        </w:rPr>
        <w:t>athletic programs</w:t>
      </w:r>
      <w:r>
        <w:t xml:space="preserve">; and (iv) disseminating best practices and evaluating program outcomes relating to any local educational agency activities to promote student safety and violence prevention through effective communication as described in section 4108(5)(C)(iv); and (C) increase access to personalized, rigorous learning experiences supported by technology by— (i) providing technical assistance to local educational agencies to improve the ability of local educational agencies to— (I) identify and address technology readiness needs, including the types of technology infrastructure and access available to the students served by the local educational agency, including computer devices, access to school libraries, Internet connectivity, operating systems, software, related network infrastructure, and data security; (II) use technology, consistent with the principles of universal design for learning, to support the learning needs of all students, including children with disabilities and English learners; and (III) build capacity for principals, other school leaders, and local educational agency administrators to support teachers in using data and technology to improve instruction and personalize learning; (ii) supporting schools in rural and remote areas to expand access to high-quality digital learning opportunities; </w:t>
      </w:r>
      <w:r w:rsidRPr="00FD6FBE">
        <w:rPr>
          <w:rStyle w:val="StyleUnderline"/>
        </w:rPr>
        <w:t>(iii) developing or using strategies that are innovative</w:t>
      </w:r>
      <w:r>
        <w:rPr>
          <w:rStyle w:val="StyleUnderline"/>
        </w:rPr>
        <w:t xml:space="preserve"> </w:t>
      </w:r>
      <w:r w:rsidRPr="00FD6FBE">
        <w:rPr>
          <w:rStyle w:val="StyleUnderline"/>
        </w:rPr>
        <w:t>or evidence-based</w:t>
      </w:r>
      <w:r>
        <w:t xml:space="preserve"> (to the extent the State determines that such evidence is reasonably available) for the delivery of specialized or rigorous academic courses and curricula through the use of technology, including digital learning technologies and assistive technology, </w:t>
      </w:r>
      <w:r w:rsidRPr="00FD6FBE">
        <w:rPr>
          <w:rStyle w:val="StyleUnderline"/>
        </w:rPr>
        <w:t>which may include</w:t>
      </w:r>
      <w:r>
        <w:t xml:space="preserve"> </w:t>
      </w:r>
      <w:r w:rsidRPr="00FD6FBE">
        <w:rPr>
          <w:rStyle w:val="StyleUnderline"/>
        </w:rPr>
        <w:t xml:space="preserve">increased access to online </w:t>
      </w:r>
      <w:r>
        <w:t xml:space="preserve">dual or concurrent enrollment opportunities, </w:t>
      </w:r>
      <w:r w:rsidRPr="0031026D">
        <w:rPr>
          <w:rStyle w:val="Emphasis"/>
        </w:rPr>
        <w:t>career</w:t>
      </w:r>
      <w:r w:rsidRPr="0031026D">
        <w:rPr>
          <w:rStyle w:val="StyleUnderline"/>
        </w:rPr>
        <w:t xml:space="preserve"> and technical courses</w:t>
      </w:r>
      <w:r>
        <w:t xml:space="preserve">, and </w:t>
      </w:r>
      <w:r w:rsidRPr="00FD6FBE">
        <w:rPr>
          <w:rStyle w:val="StyleUnderline"/>
        </w:rPr>
        <w:t>programs leading to a</w:t>
      </w:r>
      <w:r>
        <w:t xml:space="preserve"> </w:t>
      </w:r>
      <w:r w:rsidRPr="0031026D">
        <w:rPr>
          <w:rStyle w:val="StyleUnderline"/>
        </w:rPr>
        <w:t>recognized postsecondary credential</w:t>
      </w:r>
      <w:r>
        <w:t xml:space="preserve"> (</w:t>
      </w:r>
      <w:r w:rsidRPr="00FD6FBE">
        <w:rPr>
          <w:rStyle w:val="StyleUnderline"/>
        </w:rPr>
        <w:t>as defined in</w:t>
      </w:r>
      <w:r>
        <w:t xml:space="preserve"> section 3 of </w:t>
      </w:r>
      <w:r w:rsidRPr="0031026D">
        <w:rPr>
          <w:rStyle w:val="StyleUnderline"/>
        </w:rPr>
        <w:t>the Workforce Innovation and Opportunity Act</w:t>
      </w:r>
      <w:r>
        <w:t xml:space="preserve"> (29 U.S.C. 3102)); (iv) disseminating promising practices related to technology instruction, data security, and the acquisition and implementation of technology tools and applications, including through making such promising practices publicly available on the website of the State educational agency; (v) providing teachers, paraprofessionals, school librarians and media personnel, specialized instructional support personnel, and administrators with the knowledge and skills to use technology effectively, including effective integration of technology, to improve instruction and student achievement, which may include coordination with teacher, principal, and other school leader preparation programs; and (vi) making instructional content widely available through open educational resources, which may include providing tools and processes to support local educational agencies in making such resources widely available. (c) SPECIAL RULE.—A State that receives a grant under this subpart for fiscal year 2017 may use the amount made available to the State and not reserved under paragraphs (1) and (2) of subsection (a) for such fiscal year to cover part or all of the fees for accelerated learning examinations taken by low-income students during the 2016-2017 school year, in accordance with subsection (b)(3)(A)(ii). </w:t>
      </w:r>
    </w:p>
    <w:p w:rsidR="00644A12" w:rsidRDefault="009B1B50" w:rsidP="00644A12">
      <w:pPr>
        <w:pStyle w:val="Heading4"/>
      </w:pPr>
      <w:r>
        <w:t>C. Standards</w:t>
      </w:r>
      <w:bookmarkStart w:id="0" w:name="_GoBack"/>
      <w:bookmarkEnd w:id="0"/>
    </w:p>
    <w:p w:rsidR="00644A12" w:rsidRPr="00EF0A9D" w:rsidRDefault="00644A12" w:rsidP="00644A12">
      <w:pPr>
        <w:pStyle w:val="Heading4"/>
        <w:ind w:left="720"/>
      </w:pPr>
      <w:r>
        <w:t xml:space="preserve">1) Limits – They explode the topic, which is already large in scope AND mechanism, to include at least 4 more </w:t>
      </w:r>
      <w:r w:rsidRPr="00EF0A9D">
        <w:rPr>
          <w:u w:val="single"/>
        </w:rPr>
        <w:t>subsets</w:t>
      </w:r>
      <w:r>
        <w:t xml:space="preserve"> of education which explodes the negative </w:t>
      </w:r>
      <w:r w:rsidRPr="00EF0A9D">
        <w:rPr>
          <w:u w:val="single"/>
        </w:rPr>
        <w:t>research burden</w:t>
      </w:r>
      <w:r>
        <w:t xml:space="preserve"> and leads to an </w:t>
      </w:r>
      <w:r w:rsidRPr="00EF0A9D">
        <w:rPr>
          <w:u w:val="single"/>
        </w:rPr>
        <w:t>unpredictable</w:t>
      </w:r>
      <w:r>
        <w:t xml:space="preserve"> amount of tiny affirmatives which skirt the </w:t>
      </w:r>
      <w:r w:rsidRPr="00EF0A9D">
        <w:rPr>
          <w:u w:val="single"/>
        </w:rPr>
        <w:t xml:space="preserve">core </w:t>
      </w:r>
      <w:r>
        <w:rPr>
          <w:u w:val="single"/>
        </w:rPr>
        <w:t xml:space="preserve">controversies </w:t>
      </w:r>
      <w:r>
        <w:t>of the resolution</w:t>
      </w:r>
      <w:r w:rsidR="00D27CC7">
        <w:t>.</w:t>
      </w:r>
    </w:p>
    <w:p w:rsidR="00644A12" w:rsidRPr="00EF0A9D" w:rsidRDefault="00644A12" w:rsidP="00644A12">
      <w:pPr>
        <w:ind w:left="720"/>
      </w:pPr>
      <w:r>
        <w:rPr>
          <w:rFonts w:eastAsiaTheme="majorEastAsia" w:cstheme="majorBidi"/>
          <w:b/>
          <w:iCs/>
          <w:sz w:val="26"/>
        </w:rPr>
        <w:t>2) Precision – Prefer our interpretation because it comes from the text of the bill their plan text funds which ensures it is the most strict, comparative, and grounded in topic literature</w:t>
      </w:r>
      <w:r w:rsidR="00D27CC7">
        <w:rPr>
          <w:rFonts w:eastAsiaTheme="majorEastAsia" w:cstheme="majorBidi"/>
          <w:b/>
          <w:iCs/>
          <w:sz w:val="26"/>
        </w:rPr>
        <w:t>.</w:t>
      </w:r>
    </w:p>
    <w:p w:rsidR="00644A12" w:rsidRPr="00EF0A9D" w:rsidRDefault="00644A12" w:rsidP="00644A12">
      <w:pPr>
        <w:pStyle w:val="Heading4"/>
      </w:pPr>
      <w:r>
        <w:t>D. Voters – Vote negative to preserve education and fairness</w:t>
      </w:r>
    </w:p>
    <w:p w:rsidR="00644A12" w:rsidRPr="000720A1" w:rsidRDefault="00644A12" w:rsidP="00644A12"/>
    <w:p w:rsidR="00644A12" w:rsidRDefault="00644A12" w:rsidP="00644A12">
      <w:pPr>
        <w:pStyle w:val="Heading4"/>
      </w:pPr>
      <w:r>
        <w:t xml:space="preserve">E. Funding Title IV is </w:t>
      </w:r>
      <w:r w:rsidRPr="00EF0A9D">
        <w:rPr>
          <w:u w:val="single"/>
        </w:rPr>
        <w:t>extra topical</w:t>
      </w:r>
      <w:r>
        <w:t xml:space="preserve"> – the bulk of the funds will go to community-based university and non-profit partner programs which are outside the scope of the education system</w:t>
      </w:r>
    </w:p>
    <w:p w:rsidR="00644A12" w:rsidRPr="00854E9D" w:rsidRDefault="00644A12" w:rsidP="00644A12">
      <w:r w:rsidRPr="00854E9D">
        <w:rPr>
          <w:rStyle w:val="Style13ptBold"/>
        </w:rPr>
        <w:t>NCSL ’15</w:t>
      </w:r>
      <w:r>
        <w:t xml:space="preserve"> [National Conference of State Legislatures, “SUMMARY OF THE EVERY STUDENT SUCCEEDS ACT, LEGISLATION REAUTHORIZING THE ELEMENTARY AND SECONDARY EDUCATION ACT,” 2015 </w:t>
      </w:r>
      <w:hyperlink r:id="rId9" w:history="1">
        <w:r w:rsidRPr="00DB6981">
          <w:rPr>
            <w:rStyle w:val="Hyperlink"/>
          </w:rPr>
          <w:t>http://www.ncsl.org/documents/capitolforum/2015/onlineresources/summary_12_10.pdf</w:t>
        </w:r>
      </w:hyperlink>
      <w:r>
        <w:t>, schauer]</w:t>
      </w:r>
    </w:p>
    <w:p w:rsidR="00644A12" w:rsidRDefault="00644A12" w:rsidP="00644A12">
      <w:r w:rsidRPr="004A285F">
        <w:rPr>
          <w:rStyle w:val="Emphasis"/>
        </w:rPr>
        <w:t>Title IV</w:t>
      </w:r>
      <w:r>
        <w:t xml:space="preserve"> (21st Century Schools) </w:t>
      </w:r>
      <w:r w:rsidRPr="002B1FF1">
        <w:rPr>
          <w:rStyle w:val="StyleUnderline"/>
        </w:rPr>
        <w:t>This section of the bill is the place where</w:t>
      </w:r>
      <w:r>
        <w:t xml:space="preserve"> some </w:t>
      </w:r>
      <w:r w:rsidRPr="002B1FF1">
        <w:rPr>
          <w:rStyle w:val="StyleUnderline"/>
        </w:rPr>
        <w:t>programs are</w:t>
      </w:r>
      <w:r>
        <w:t xml:space="preserve"> eliminated or </w:t>
      </w:r>
      <w:r w:rsidRPr="002B1FF1">
        <w:rPr>
          <w:rStyle w:val="StyleUnderline"/>
        </w:rPr>
        <w:t xml:space="preserve">rolled into a </w:t>
      </w:r>
      <w:r w:rsidRPr="0031026D">
        <w:rPr>
          <w:rStyle w:val="StyleUnderline"/>
        </w:rPr>
        <w:t>single grant</w:t>
      </w:r>
      <w:r>
        <w:t xml:space="preserve">. Part A Student Support and Academic Enrichment Grants The purpose of these grants is to improve students’ academic achievement by increasing the capacity of states, LEAs, schools, and local communities to </w:t>
      </w:r>
      <w:r>
        <w:t xml:space="preserve"> Provide all students with access to a well-rounded education; </w:t>
      </w:r>
      <w:r>
        <w:t xml:space="preserve"> Improve school conditions for student learning; and </w:t>
      </w:r>
      <w:r>
        <w:t xml:space="preserve"> Improve the use of technology in order to improve the academic achievement and digital literacy of all students. Formula grants for states with a small state minimum: </w:t>
      </w:r>
      <w:r>
        <w:t xml:space="preserve"> ½ of one percent for allotments for payments to the outlying areas; </w:t>
      </w:r>
      <w:r>
        <w:t xml:space="preserve"> ½ of one percent for Bureau of Indian Education schools; and </w:t>
      </w:r>
      <w:r>
        <w:t xml:space="preserve"> Two percent for technical assistance and capacity building. States would submit a plan describing how the SEA will use funds for state level activities, award grants to LEAs ensure that the SEA will review existing resources and programs across the state to coordinate those resources and programs with existing resources and programs. States are directed to award 95 percent of the allotment to LEAs, reserve not more than 1 percent for administration, and use the rest for state activities. LEAs would undertake a comprehensive needs assessment every three years to determine needs in the areas of: </w:t>
      </w:r>
      <w:r>
        <w:t xml:space="preserve"> Access to, and opportunities for, a well-rounded education for all students; 9 </w:t>
      </w:r>
      <w:r>
        <w:t xml:space="preserve"> School conditions for student learning in order to create a healthy and safe school environment; and </w:t>
      </w:r>
      <w:r>
        <w:t xml:space="preserve"> Access to personalized learning experiences supported by technology and professional development for the effective use of data and technology. </w:t>
      </w:r>
      <w:r w:rsidRPr="004A285F">
        <w:rPr>
          <w:rStyle w:val="StyleUnderline"/>
        </w:rPr>
        <w:t>Activities and programs covered under this grant to support access to a well-rounded education</w:t>
      </w:r>
      <w:r>
        <w:t xml:space="preserve"> </w:t>
      </w:r>
      <w:r w:rsidRPr="0031026D">
        <w:rPr>
          <w:rStyle w:val="StyleUnderline"/>
        </w:rPr>
        <w:t xml:space="preserve">must be coordinated </w:t>
      </w:r>
      <w:r w:rsidRPr="004A285F">
        <w:rPr>
          <w:rStyle w:val="StyleUnderline"/>
        </w:rPr>
        <w:t xml:space="preserve">with </w:t>
      </w:r>
      <w:r>
        <w:t xml:space="preserve">other schools and with </w:t>
      </w:r>
      <w:r w:rsidRPr="004A285F">
        <w:rPr>
          <w:rStyle w:val="Emphasis"/>
        </w:rPr>
        <w:t>c</w:t>
      </w:r>
      <w:r w:rsidRPr="0031026D">
        <w:rPr>
          <w:rStyle w:val="StyleUnderline"/>
        </w:rPr>
        <w:t>ommunity-based services and programs</w:t>
      </w:r>
      <w:r>
        <w:t>,</w:t>
      </w:r>
      <w:r w:rsidRPr="00A30B2F">
        <w:rPr>
          <w:rStyle w:val="StyleUnderline"/>
        </w:rPr>
        <w:t xml:space="preserve"> and</w:t>
      </w:r>
      <w:r w:rsidRPr="004A285F">
        <w:rPr>
          <w:rStyle w:val="StyleUnderline"/>
        </w:rPr>
        <w:t xml:space="preserve"> can be</w:t>
      </w:r>
      <w:r>
        <w:rPr>
          <w:rStyle w:val="StyleUnderline"/>
        </w:rPr>
        <w:t xml:space="preserve"> </w:t>
      </w:r>
      <w:r w:rsidRPr="004A285F">
        <w:rPr>
          <w:rStyle w:val="StyleUnderline"/>
        </w:rPr>
        <w:t xml:space="preserve">partnerships with </w:t>
      </w:r>
      <w:r w:rsidRPr="004A285F">
        <w:rPr>
          <w:rStyle w:val="Emphasis"/>
        </w:rPr>
        <w:t>higher education institutions</w:t>
      </w:r>
      <w:r>
        <w:t xml:space="preserve">, </w:t>
      </w:r>
      <w:r w:rsidRPr="00A30B2F">
        <w:rPr>
          <w:rStyle w:val="Emphasis"/>
        </w:rPr>
        <w:t>business</w:t>
      </w:r>
      <w:r w:rsidRPr="004A285F">
        <w:rPr>
          <w:rStyle w:val="StyleUnderline"/>
        </w:rPr>
        <w:t xml:space="preserve">, </w:t>
      </w:r>
      <w:r w:rsidRPr="00A30B2F">
        <w:rPr>
          <w:rStyle w:val="Emphasis"/>
        </w:rPr>
        <w:t>nonprofits</w:t>
      </w:r>
      <w:r w:rsidRPr="004A285F">
        <w:rPr>
          <w:rStyle w:val="StyleUnderline"/>
        </w:rPr>
        <w:t>, community-based organizations,</w:t>
      </w:r>
      <w:r>
        <w:rPr>
          <w:rStyle w:val="StyleUnderline"/>
        </w:rPr>
        <w:t xml:space="preserve"> </w:t>
      </w:r>
      <w:r w:rsidRPr="004A285F">
        <w:rPr>
          <w:rStyle w:val="StyleUnderline"/>
        </w:rPr>
        <w:t xml:space="preserve">or other public or </w:t>
      </w:r>
      <w:r w:rsidRPr="00A30B2F">
        <w:rPr>
          <w:rStyle w:val="Emphasis"/>
        </w:rPr>
        <w:t>private entities</w:t>
      </w:r>
      <w:r w:rsidRPr="004A285F">
        <w:rPr>
          <w:rStyle w:val="StyleUnderline"/>
        </w:rPr>
        <w:t>.</w:t>
      </w:r>
      <w:r>
        <w:t xml:space="preserve"> Activities can include: </w:t>
      </w:r>
      <w:r>
        <w:t xml:space="preserve"> College and career guidance and counseling programs; </w:t>
      </w:r>
      <w:r>
        <w:t xml:space="preserve"> Programs and activities that use music and the arts as tools to support student success through the promotion of constructive student engagement, problem solving, and conflict resolution; </w:t>
      </w:r>
      <w:r>
        <w:t xml:space="preserve"> Programming and activities to improve instruction and student engagement in science; technology, engineering, and mathematics including computer science; and </w:t>
      </w:r>
      <w:r>
        <w:t xml:space="preserve"> Efforts to raise student academic achievement through accelerated learning programs. </w:t>
      </w:r>
      <w:r w:rsidRPr="004A285F">
        <w:rPr>
          <w:rStyle w:val="StyleUnderline"/>
        </w:rPr>
        <w:t xml:space="preserve">Each LEA will use a portion of its </w:t>
      </w:r>
      <w:r w:rsidRPr="0031026D">
        <w:rPr>
          <w:rStyle w:val="StyleUnderline"/>
        </w:rPr>
        <w:t>funds to</w:t>
      </w:r>
      <w:r w:rsidRPr="004A285F">
        <w:rPr>
          <w:rStyle w:val="StyleUnderline"/>
        </w:rPr>
        <w:t xml:space="preserve"> develop, implement, and evaluate comprehensive programs</w:t>
      </w:r>
      <w:r>
        <w:rPr>
          <w:rStyle w:val="StyleUnderline"/>
        </w:rPr>
        <w:t xml:space="preserve"> </w:t>
      </w:r>
      <w:r>
        <w:t xml:space="preserve">and activities </w:t>
      </w:r>
      <w:r w:rsidRPr="004A285F">
        <w:rPr>
          <w:rStyle w:val="StyleUnderline"/>
        </w:rPr>
        <w:t>coordinated with</w:t>
      </w:r>
      <w:r>
        <w:t xml:space="preserve"> other schools and with </w:t>
      </w:r>
      <w:r w:rsidRPr="0031026D">
        <w:rPr>
          <w:rStyle w:val="StyleUnderline"/>
        </w:rPr>
        <w:t>community-based services and programs</w:t>
      </w:r>
      <w:r>
        <w:t xml:space="preserve"> that foster safe, healthy, supportive and drug-free environments that support student academic achievement, </w:t>
      </w:r>
      <w:r w:rsidRPr="004A285F">
        <w:rPr>
          <w:rStyle w:val="StyleUnderline"/>
        </w:rPr>
        <w:t>include parental involvement</w:t>
      </w:r>
      <w:r>
        <w:t>, and</w:t>
      </w:r>
      <w:r w:rsidRPr="004A285F">
        <w:rPr>
          <w:rStyle w:val="StyleUnderline"/>
        </w:rPr>
        <w:t xml:space="preserve"> may be conducted in partnership with an institution of</w:t>
      </w:r>
      <w:r>
        <w:rPr>
          <w:rStyle w:val="StyleUnderline"/>
        </w:rPr>
        <w:t xml:space="preserve"> </w:t>
      </w:r>
      <w:r w:rsidRPr="004A285F">
        <w:rPr>
          <w:rStyle w:val="StyleUnderline"/>
        </w:rPr>
        <w:t>higher education, community-based organization, or other public or private entity.</w:t>
      </w:r>
      <w:r>
        <w:t xml:space="preserve"> These programs may include evidence-based drug and violence prevention programs; mental health services; programs or activities that integrate health and safety practices into school athletic programs; programs that support a healthy, active lifestyle, help prevent bullying and harassment, improve instructional practices for developing relationship-building skills (to prevent coercion, violence or abuse), provide mentoring and school counseling for children at risk of academic failure or dropping out of school or delinquency, establish or improve school dropout and re-entry programs; providing learning environment and teaching skills for school readiness and academic success. The grants can also provide high-quality training for school personnel to allow to respond to various issues and dollars for child sexual abuse awareness and prevention activities. Other uses: designing and implementing a locally-tailored plan to reduce exclusionary discipline practices, schoolwide positive behavioral interventions and supports; and site resource coordinators. </w:t>
      </w:r>
      <w:r w:rsidRPr="00854E9D">
        <w:rPr>
          <w:rStyle w:val="StyleUnderline"/>
        </w:rPr>
        <w:t>A portion of funds shall also be used for activities to support the effective use of technology</w:t>
      </w:r>
      <w:r>
        <w:t xml:space="preserve"> which may include: </w:t>
      </w:r>
      <w:r>
        <w:t xml:space="preserve"> Professional learning tools, devices, content and resources for educators, school leaders, and administrators </w:t>
      </w:r>
      <w:r>
        <w:t xml:space="preserve"> Building technological capacity and infrastructure </w:t>
      </w:r>
      <w:r>
        <w:t xml:space="preserve"> Developing or using strategies for delivery of specialized or rigorous academic courses and curricula through the use of technology </w:t>
      </w:r>
      <w:r>
        <w:t xml:space="preserve"> Carrying out blended learning projects </w:t>
      </w:r>
      <w:r>
        <w:t xml:space="preserve"> Professional development in the use of technology </w:t>
      </w:r>
      <w:r>
        <w:t xml:space="preserve"> Providing students in rural, remote and underserved areas resources to take advantage of highquality digital learning experiences, digital resources, and access to online courses 10 </w:t>
      </w:r>
      <w:r w:rsidRPr="00854E9D">
        <w:rPr>
          <w:rStyle w:val="StyleUnderline"/>
        </w:rPr>
        <w:t>There is a limitation that no more than 15 percent of funds may be used for purchasing technology</w:t>
      </w:r>
      <w:r>
        <w:rPr>
          <w:rStyle w:val="StyleUnderline"/>
        </w:rPr>
        <w:t xml:space="preserve"> </w:t>
      </w:r>
      <w:r w:rsidRPr="00854E9D">
        <w:rPr>
          <w:rStyle w:val="StyleUnderline"/>
        </w:rPr>
        <w:t>infrastructure.</w:t>
      </w:r>
      <w:r>
        <w:rPr>
          <w:rStyle w:val="StyleUnderline"/>
        </w:rPr>
        <w:t xml:space="preserve"> </w:t>
      </w:r>
      <w:r>
        <w:t xml:space="preserve">This subpart is authorized at $1,650,000,000 for FY 2016 and $1,600,000,000 for each of FYs 2018-2020. </w:t>
      </w:r>
    </w:p>
    <w:p w:rsidR="00644A12" w:rsidRDefault="00644A12" w:rsidP="00644A12">
      <w:pPr>
        <w:pStyle w:val="Heading4"/>
        <w:rPr>
          <w:u w:val="single"/>
        </w:rPr>
      </w:pPr>
      <w:r>
        <w:t xml:space="preserve">F. Extra topicality is an independent reason to reject the affirmative. It steals core negative </w:t>
      </w:r>
      <w:r w:rsidRPr="00644A12">
        <w:rPr>
          <w:u w:val="single"/>
        </w:rPr>
        <w:t>counterplans</w:t>
      </w:r>
      <w:r>
        <w:t xml:space="preserve"> based in post-secondary or private incentive innovation, which leads to </w:t>
      </w:r>
      <w:r w:rsidRPr="00644A12">
        <w:rPr>
          <w:u w:val="single"/>
        </w:rPr>
        <w:t>shallow</w:t>
      </w:r>
      <w:r>
        <w:t xml:space="preserve"> mechanism debates and destroys </w:t>
      </w:r>
      <w:r w:rsidRPr="00644A12">
        <w:rPr>
          <w:u w:val="single"/>
        </w:rPr>
        <w:t>competitive equity</w:t>
      </w:r>
    </w:p>
    <w:p w:rsidR="006938AC" w:rsidRDefault="006938AC" w:rsidP="006938AC">
      <w:pPr>
        <w:pStyle w:val="Heading3"/>
      </w:pPr>
      <w:r>
        <w:t xml:space="preserve">2NC – STEM – Definitions </w:t>
      </w:r>
    </w:p>
    <w:p w:rsidR="006938AC" w:rsidRDefault="006938AC" w:rsidP="006938AC">
      <w:pPr>
        <w:pStyle w:val="Heading4"/>
      </w:pPr>
      <w:r>
        <w:t xml:space="preserve">Any education beyond the scope of high school is postsecondary </w:t>
      </w:r>
    </w:p>
    <w:p w:rsidR="006938AC" w:rsidRDefault="006938AC" w:rsidP="006938AC">
      <w:r w:rsidRPr="00D72686">
        <w:rPr>
          <w:rStyle w:val="Style13ptBold"/>
        </w:rPr>
        <w:t>DHHS ‘9</w:t>
      </w:r>
      <w:r>
        <w:t xml:space="preserve"> [Department of Health and Human Services, July, http://www.dhhs.nh.gov/fam_htm/html/post_secondary_education_(fam).htm]</w:t>
      </w:r>
    </w:p>
    <w:p w:rsidR="006938AC" w:rsidRDefault="006938AC" w:rsidP="006938AC">
      <w:r w:rsidRPr="0031026D">
        <w:rPr>
          <w:rStyle w:val="StyleUnderline"/>
        </w:rPr>
        <w:t>Post Secondary Education</w:t>
      </w:r>
      <w:r w:rsidRPr="00D72686">
        <w:rPr>
          <w:rStyle w:val="StyleUnderline"/>
        </w:rPr>
        <w:t xml:space="preserve"> is defined as a program of study beyond high school or its equivalent leading to an associate’s degree or higher</w:t>
      </w:r>
      <w:r>
        <w:t>. The activity can only be counted as a core activity for a lifetime maximum of 12 months. An extension beyond the limits may be granted for a maximum of 3 months if deemed necessary in order to provide for successful transition to employment. Any extension beyond the 12 months is counted as a secondary activity.</w:t>
      </w:r>
    </w:p>
    <w:p w:rsidR="00D27CC7" w:rsidRDefault="00D27CC7" w:rsidP="006938AC"/>
    <w:p w:rsidR="009224D3" w:rsidRDefault="009224D3" w:rsidP="009224D3">
      <w:pPr>
        <w:pStyle w:val="Heading4"/>
      </w:pPr>
      <w:r>
        <w:t>Post-secondary education laundry list</w:t>
      </w:r>
    </w:p>
    <w:p w:rsidR="009224D3" w:rsidRPr="003D54CC" w:rsidRDefault="009224D3" w:rsidP="009224D3">
      <w:r w:rsidRPr="00297F07">
        <w:rPr>
          <w:rStyle w:val="Style13ptBold"/>
        </w:rPr>
        <w:t>US Dept. of Ed. ‘5</w:t>
      </w:r>
      <w:r>
        <w:t xml:space="preserve"> [U.S. Department of Education, International Affairs Staff, “Education in the United States: A Brief Overview”, Washington, D.C., 2005]</w:t>
      </w:r>
    </w:p>
    <w:p w:rsidR="006938AC" w:rsidRDefault="006938AC" w:rsidP="006938AC">
      <w:r>
        <w:t xml:space="preserve">POSTSECONDARY EDUCATION </w:t>
      </w:r>
      <w:r w:rsidRPr="0031026D">
        <w:rPr>
          <w:rStyle w:val="StyleUnderline"/>
        </w:rPr>
        <w:t>Postsecondary education</w:t>
      </w:r>
      <w:r>
        <w:t xml:space="preserve"> in the United States </w:t>
      </w:r>
      <w:r w:rsidRPr="006938AC">
        <w:rPr>
          <w:rStyle w:val="StyleUnderline"/>
        </w:rPr>
        <w:t>is</w:t>
      </w:r>
      <w:r>
        <w:t xml:space="preserve"> widespread and </w:t>
      </w:r>
      <w:r w:rsidRPr="006938AC">
        <w:rPr>
          <w:rStyle w:val="StyleUnderline"/>
        </w:rPr>
        <w:t>diverse.</w:t>
      </w:r>
      <w:r>
        <w:t xml:space="preserve"> </w:t>
      </w:r>
      <w:r w:rsidRPr="006938AC">
        <w:rPr>
          <w:rStyle w:val="StyleUnderline"/>
        </w:rPr>
        <w:t>There are approximately</w:t>
      </w:r>
      <w:r>
        <w:t xml:space="preserve"> </w:t>
      </w:r>
      <w:r w:rsidRPr="006938AC">
        <w:rPr>
          <w:rStyle w:val="Emphasis"/>
        </w:rPr>
        <w:t>9,000</w:t>
      </w:r>
      <w:r>
        <w:t xml:space="preserve"> </w:t>
      </w:r>
      <w:r w:rsidRPr="006938AC">
        <w:rPr>
          <w:rStyle w:val="StyleUnderline"/>
        </w:rPr>
        <w:t>postsecondary institutions in the United States</w:t>
      </w:r>
      <w:r>
        <w:t xml:space="preserve">. </w:t>
      </w:r>
      <w:r w:rsidRPr="006938AC">
        <w:rPr>
          <w:rStyle w:val="StyleUnderline"/>
        </w:rPr>
        <w:t>This</w:t>
      </w:r>
      <w:r>
        <w:t xml:space="preserve"> total </w:t>
      </w:r>
      <w:r w:rsidRPr="006938AC">
        <w:rPr>
          <w:rStyle w:val="StyleUnderline"/>
        </w:rPr>
        <w:t>includes</w:t>
      </w:r>
      <w:r>
        <w:t xml:space="preserve"> over 4,000 degree-granting institutions, </w:t>
      </w:r>
      <w:r w:rsidRPr="006938AC">
        <w:rPr>
          <w:rStyle w:val="StyleUnderline"/>
        </w:rPr>
        <w:t>such as colleges, universities and community colleges</w:t>
      </w:r>
      <w:r>
        <w:t xml:space="preserve">, </w:t>
      </w:r>
      <w:r w:rsidRPr="006938AC">
        <w:rPr>
          <w:rStyle w:val="StyleUnderline"/>
        </w:rPr>
        <w:t xml:space="preserve">and </w:t>
      </w:r>
      <w:r>
        <w:t xml:space="preserve">over 5,000 non-degree-granting institutions that provide </w:t>
      </w:r>
      <w:r w:rsidRPr="006938AC">
        <w:rPr>
          <w:rStyle w:val="StyleUnderline"/>
        </w:rPr>
        <w:t>specific vocational, technical and career training</w:t>
      </w:r>
      <w:r>
        <w:t xml:space="preserve">. </w:t>
      </w:r>
    </w:p>
    <w:p w:rsidR="00D27CC7" w:rsidRDefault="00D27CC7" w:rsidP="006938AC"/>
    <w:p w:rsidR="009224D3" w:rsidRDefault="009224D3" w:rsidP="009224D3">
      <w:pPr>
        <w:pStyle w:val="Heading4"/>
      </w:pPr>
      <w:r>
        <w:t>Elementary and Secondary education spans twelve academic grades – postsecondary education is a distinct educational level</w:t>
      </w:r>
    </w:p>
    <w:p w:rsidR="009224D3" w:rsidRPr="003D54CC" w:rsidRDefault="009224D3" w:rsidP="009224D3">
      <w:r w:rsidRPr="00297F07">
        <w:rPr>
          <w:rStyle w:val="Style13ptBold"/>
        </w:rPr>
        <w:t>US Dept. of Ed. ‘5</w:t>
      </w:r>
      <w:r>
        <w:t xml:space="preserve"> [U.S. Department of Education, International Affairs Staff, “Education in the United States: A Brief Overview”, Washington, D.C., 2005]</w:t>
      </w:r>
    </w:p>
    <w:p w:rsidR="009224D3" w:rsidRDefault="009224D3" w:rsidP="009224D3">
      <w:pPr>
        <w:tabs>
          <w:tab w:val="left" w:pos="7272"/>
        </w:tabs>
      </w:pPr>
      <w:r w:rsidRPr="009224D3">
        <w:rPr>
          <w:rStyle w:val="StyleUnderline"/>
        </w:rPr>
        <w:t>Elementary (primary) and</w:t>
      </w:r>
      <w:r>
        <w:t xml:space="preserve"> </w:t>
      </w:r>
      <w:r w:rsidRPr="0031026D">
        <w:rPr>
          <w:rStyle w:val="StyleUnderline"/>
        </w:rPr>
        <w:t>secondary</w:t>
      </w:r>
      <w:r>
        <w:t xml:space="preserve"> </w:t>
      </w:r>
      <w:r w:rsidRPr="00297F07">
        <w:rPr>
          <w:rStyle w:val="StyleUnderline"/>
        </w:rPr>
        <w:t xml:space="preserve">education spans twelve academic </w:t>
      </w:r>
      <w:r w:rsidRPr="009224D3">
        <w:t>years, or</w:t>
      </w:r>
      <w:r>
        <w:t xml:space="preserve"> </w:t>
      </w:r>
      <w:r w:rsidRPr="009224D3">
        <w:rPr>
          <w:rStyle w:val="StyleUnderline"/>
        </w:rPr>
        <w:t>grades.</w:t>
      </w:r>
      <w:r>
        <w:t xml:space="preserve">  However, the organization of elementary and secondary education varies among school districts and states.</w:t>
      </w:r>
      <w:r w:rsidRPr="009224D3">
        <w:t xml:space="preserve"> Generally students spend from six to eight years in elementary education.</w:t>
      </w:r>
      <w:r>
        <w:t xml:space="preserve">  </w:t>
      </w:r>
      <w:r w:rsidRPr="009224D3">
        <w:rPr>
          <w:rStyle w:val="StyleUnderline"/>
        </w:rPr>
        <w:t>Elementary education is followed by four to six years of secondary education</w:t>
      </w:r>
      <w:r w:rsidRPr="009224D3">
        <w:t>.</w:t>
      </w:r>
      <w:r>
        <w:t xml:space="preserve">  </w:t>
      </w:r>
      <w:r w:rsidRPr="009224D3">
        <w:rPr>
          <w:rStyle w:val="StyleUnderline"/>
        </w:rPr>
        <w:t>The last four years of</w:t>
      </w:r>
      <w:r>
        <w:t xml:space="preserve"> </w:t>
      </w:r>
      <w:r w:rsidRPr="0031026D">
        <w:rPr>
          <w:rStyle w:val="StyleUnderline"/>
        </w:rPr>
        <w:t>secondary school</w:t>
      </w:r>
      <w:r>
        <w:t xml:space="preserve"> </w:t>
      </w:r>
      <w:r w:rsidRPr="009224D3">
        <w:rPr>
          <w:rStyle w:val="StyleUnderline"/>
        </w:rPr>
        <w:t xml:space="preserve">are </w:t>
      </w:r>
      <w:r>
        <w:t xml:space="preserve">generally </w:t>
      </w:r>
      <w:r w:rsidRPr="009224D3">
        <w:rPr>
          <w:rStyle w:val="StyleUnderline"/>
        </w:rPr>
        <w:t>referred to as “high school.”</w:t>
      </w:r>
      <w:r>
        <w:t xml:space="preserve"> </w:t>
      </w:r>
      <w:r w:rsidRPr="009224D3">
        <w:t>Students normally complete high school by age 17 or 18.</w:t>
      </w:r>
      <w:r>
        <w:t xml:space="preserve"> </w:t>
      </w:r>
      <w:r w:rsidRPr="009224D3">
        <w:rPr>
          <w:rStyle w:val="Emphasis"/>
        </w:rPr>
        <w:t>High school graduates</w:t>
      </w:r>
      <w:r w:rsidRPr="009224D3">
        <w:rPr>
          <w:rStyle w:val="StyleUnderline"/>
        </w:rPr>
        <w:t xml:space="preserve"> who decide to continue</w:t>
      </w:r>
      <w:r>
        <w:t xml:space="preserve"> their education </w:t>
      </w:r>
      <w:r w:rsidRPr="009224D3">
        <w:rPr>
          <w:rStyle w:val="StyleUnderline"/>
        </w:rPr>
        <w:t>may enter a technical or vocational institution, a two-year community or junior college, or a four-year college or university.</w:t>
      </w:r>
      <w:r>
        <w:t xml:space="preserve">  </w:t>
      </w:r>
      <w:r w:rsidRPr="009224D3">
        <w:rPr>
          <w:rStyle w:val="StyleUnderline"/>
        </w:rPr>
        <w:t>Each of these</w:t>
      </w:r>
      <w:r>
        <w:t xml:space="preserve"> </w:t>
      </w:r>
      <w:r w:rsidRPr="009224D3">
        <w:rPr>
          <w:rStyle w:val="Emphasis"/>
        </w:rPr>
        <w:t>educational levels</w:t>
      </w:r>
      <w:r>
        <w:t xml:space="preserve"> </w:t>
      </w:r>
      <w:r w:rsidRPr="009224D3">
        <w:rPr>
          <w:rStyle w:val="StyleUnderline"/>
        </w:rPr>
        <w:t>is further described later</w:t>
      </w:r>
      <w:r>
        <w:t>.</w:t>
      </w:r>
    </w:p>
    <w:p w:rsidR="009224D3" w:rsidRDefault="009224D3" w:rsidP="006938AC"/>
    <w:p w:rsidR="006938AC" w:rsidRDefault="006938AC" w:rsidP="006938AC"/>
    <w:p w:rsidR="006938AC" w:rsidRPr="006938AC" w:rsidRDefault="006938AC" w:rsidP="006938AC"/>
    <w:p w:rsidR="006938AC" w:rsidRPr="006938AC" w:rsidRDefault="006938AC" w:rsidP="006938AC"/>
    <w:p w:rsidR="00644A12" w:rsidRDefault="00644A12" w:rsidP="00644A12">
      <w:pPr>
        <w:pStyle w:val="Heading3"/>
      </w:pPr>
      <w:r>
        <w:t>2NC – STEM – Extra T</w:t>
      </w:r>
    </w:p>
    <w:p w:rsidR="00644A12" w:rsidRDefault="00644A12" w:rsidP="00644A12">
      <w:pPr>
        <w:pStyle w:val="Heading4"/>
      </w:pPr>
      <w:r>
        <w:t xml:space="preserve">Funding Title IV is Extra-Topical – includes funding for Community Learning Centers which are </w:t>
      </w:r>
      <w:r w:rsidRPr="00EF0A9D">
        <w:rPr>
          <w:u w:val="single"/>
        </w:rPr>
        <w:t>distinct</w:t>
      </w:r>
      <w:r>
        <w:t xml:space="preserve"> from school</w:t>
      </w:r>
    </w:p>
    <w:p w:rsidR="00644A12" w:rsidRDefault="00644A12" w:rsidP="00644A12">
      <w:r w:rsidRPr="003D2C30">
        <w:rPr>
          <w:rStyle w:val="Style13ptBold"/>
        </w:rPr>
        <w:t>Dept. of Ed. ’16</w:t>
      </w:r>
      <w:r>
        <w:t xml:space="preserve"> [Elementary and Secondary Education Act of 1965, As Amended Through P.L. 114–95, Enacted December 10, 2015, February 5, 2016 , TITLE IV—21ST CENTURY SCHOOLS PART B—21ST CENTURY COMMUNITY</w:t>
      </w:r>
    </w:p>
    <w:p w:rsidR="00644A12" w:rsidRPr="00FD6FBE" w:rsidRDefault="00644A12" w:rsidP="00644A12">
      <w:r>
        <w:t xml:space="preserve">LEARNING CENTERS, Sec. 4201,  </w:t>
      </w:r>
      <w:hyperlink r:id="rId10" w:history="1">
        <w:r w:rsidRPr="00DB6981">
          <w:rPr>
            <w:rStyle w:val="Hyperlink"/>
          </w:rPr>
          <w:t>https://www2.ed.gov/documents/essa-act-of-1965.pdf</w:t>
        </w:r>
      </w:hyperlink>
      <w:r>
        <w:t>, schauer]</w:t>
      </w:r>
    </w:p>
    <w:p w:rsidR="00644A12" w:rsidRDefault="00644A12" w:rsidP="00644A12"/>
    <w:p w:rsidR="00644A12" w:rsidRDefault="00644A12" w:rsidP="00644A12">
      <w:r w:rsidRPr="004F4651">
        <w:rPr>
          <w:rStyle w:val="Emphasis"/>
        </w:rPr>
        <w:t>SEC. 4201</w:t>
      </w:r>
      <w:r>
        <w:t>. ø20 U.S.C. 7171¿ PURPOSE; DEFINITIONS. (a) PURPOSE.—</w:t>
      </w:r>
      <w:r w:rsidRPr="004F4651">
        <w:rPr>
          <w:rStyle w:val="StyleUnderline"/>
        </w:rPr>
        <w:t>The purpose of this part is to provide opportunities</w:t>
      </w:r>
      <w:r>
        <w:rPr>
          <w:rStyle w:val="StyleUnderline"/>
        </w:rPr>
        <w:t xml:space="preserve"> </w:t>
      </w:r>
      <w:r w:rsidRPr="004F4651">
        <w:rPr>
          <w:rStyle w:val="StyleUnderline"/>
        </w:rPr>
        <w:t>for communities to</w:t>
      </w:r>
      <w:r>
        <w:t xml:space="preserve"> establish or </w:t>
      </w:r>
      <w:r w:rsidRPr="004F4651">
        <w:rPr>
          <w:rStyle w:val="StyleUnderline"/>
        </w:rPr>
        <w:t>expand activities in</w:t>
      </w:r>
      <w:r>
        <w:t xml:space="preserve"> </w:t>
      </w:r>
      <w:r w:rsidRPr="004F4651">
        <w:rPr>
          <w:rStyle w:val="Emphasis"/>
        </w:rPr>
        <w:t>community</w:t>
      </w:r>
      <w:r>
        <w:rPr>
          <w:rStyle w:val="Emphasis"/>
        </w:rPr>
        <w:t xml:space="preserve"> </w:t>
      </w:r>
      <w:r w:rsidRPr="004F4651">
        <w:rPr>
          <w:rStyle w:val="Emphasis"/>
        </w:rPr>
        <w:t xml:space="preserve">learning centers </w:t>
      </w:r>
      <w:r w:rsidRPr="004F4651">
        <w:rPr>
          <w:rStyle w:val="StyleUnderline"/>
        </w:rPr>
        <w:t>that</w:t>
      </w:r>
      <w:r>
        <w:t xml:space="preserve">— (1) provide opportunities for academic enrichment, including providing tutorial services to help students, particularly students who attend low-performing schools, to meet the challenging State academic standards; (2) </w:t>
      </w:r>
      <w:r w:rsidRPr="004F4651">
        <w:rPr>
          <w:rStyle w:val="StyleUnderline"/>
        </w:rPr>
        <w:t>offer students a broad array of</w:t>
      </w:r>
      <w:r>
        <w:t xml:space="preserve"> </w:t>
      </w:r>
      <w:r w:rsidRPr="0031026D">
        <w:rPr>
          <w:rStyle w:val="StyleUnderline"/>
        </w:rPr>
        <w:t>additional services</w:t>
      </w:r>
      <w:r>
        <w:t xml:space="preserve">, programs, and activities, </w:t>
      </w:r>
      <w:r w:rsidRPr="004F4651">
        <w:rPr>
          <w:rStyle w:val="StyleUnderline"/>
        </w:rPr>
        <w:t>such as youth development activities</w:t>
      </w:r>
      <w:r>
        <w:t xml:space="preserve">, </w:t>
      </w:r>
      <w:r w:rsidRPr="004F4651">
        <w:rPr>
          <w:rStyle w:val="StyleUnderline"/>
        </w:rPr>
        <w:t>service learning</w:t>
      </w:r>
      <w:r>
        <w:t xml:space="preserve">, </w:t>
      </w:r>
      <w:r w:rsidRPr="004F4651">
        <w:rPr>
          <w:rStyle w:val="StyleUnderline"/>
        </w:rPr>
        <w:t>nutrition and health education</w:t>
      </w:r>
      <w:r>
        <w:t xml:space="preserve">, </w:t>
      </w:r>
      <w:r w:rsidRPr="004F4651">
        <w:t>drug and violence</w:t>
      </w:r>
      <w:r>
        <w:t xml:space="preserve"> </w:t>
      </w:r>
      <w:r w:rsidRPr="004F4651">
        <w:t>prevention programs</w:t>
      </w:r>
      <w:r>
        <w:t xml:space="preserve">, </w:t>
      </w:r>
      <w:r w:rsidRPr="004F4651">
        <w:rPr>
          <w:rStyle w:val="StyleUnderline"/>
        </w:rPr>
        <w:t>counseling programs</w:t>
      </w:r>
      <w:r>
        <w:t xml:space="preserve">, arts, music, physical fitness and wellness programs, technology education programs, </w:t>
      </w:r>
      <w:r w:rsidRPr="004F4651">
        <w:rPr>
          <w:rStyle w:val="StyleUnderline"/>
        </w:rPr>
        <w:t>financial literacy programs</w:t>
      </w:r>
      <w:r>
        <w:t xml:space="preserve">, environmental literacy programs, mathematics, science, career and technical programs, </w:t>
      </w:r>
      <w:r w:rsidRPr="0031026D">
        <w:rPr>
          <w:rStyle w:val="StyleUnderline"/>
        </w:rPr>
        <w:t>internship or apprenticeship programs, and other ties to an in-demand industry sector or occupation</w:t>
      </w:r>
      <w:r>
        <w:t xml:space="preserve"> for high school students </w:t>
      </w:r>
      <w:r w:rsidRPr="004F4651">
        <w:rPr>
          <w:rStyle w:val="StyleUnderline"/>
        </w:rPr>
        <w:t>that are designed to</w:t>
      </w:r>
      <w:r>
        <w:t xml:space="preserve"> reinforce and </w:t>
      </w:r>
      <w:r w:rsidRPr="004F4651">
        <w:rPr>
          <w:rStyle w:val="StyleUnderline"/>
        </w:rPr>
        <w:t>complement the</w:t>
      </w:r>
      <w:r>
        <w:t xml:space="preserve"> regular </w:t>
      </w:r>
      <w:r w:rsidRPr="004F4651">
        <w:rPr>
          <w:rStyle w:val="StyleUnderline"/>
        </w:rPr>
        <w:t>academic program</w:t>
      </w:r>
      <w:r>
        <w:t xml:space="preserve"> of participating students; and (3) </w:t>
      </w:r>
      <w:r w:rsidRPr="004F4651">
        <w:rPr>
          <w:rStyle w:val="StyleUnderline"/>
        </w:rPr>
        <w:t>offer</w:t>
      </w:r>
      <w:r>
        <w:t xml:space="preserve"> </w:t>
      </w:r>
      <w:r w:rsidRPr="0031026D">
        <w:rPr>
          <w:rStyle w:val="StyleUnderline"/>
        </w:rPr>
        <w:t>families</w:t>
      </w:r>
      <w:r>
        <w:t xml:space="preserve"> </w:t>
      </w:r>
      <w:r w:rsidRPr="004F4651">
        <w:rPr>
          <w:rStyle w:val="StyleUnderline"/>
        </w:rPr>
        <w:t>of students</w:t>
      </w:r>
      <w:r>
        <w:t xml:space="preserve"> served by community learning centers opportunities for active and meaningful engagement in their children’s education, including </w:t>
      </w:r>
      <w:r w:rsidRPr="004F4651">
        <w:rPr>
          <w:rStyle w:val="StyleUnderline"/>
        </w:rPr>
        <w:t>opportunities for literacy</w:t>
      </w:r>
      <w:r>
        <w:t xml:space="preserve"> and related educational development. (b) DEFINITIONS.—In this part: (1) COMMUNITY LEARNING CENTER.—</w:t>
      </w:r>
      <w:r w:rsidRPr="004F4651">
        <w:rPr>
          <w:rStyle w:val="StyleUnderline"/>
        </w:rPr>
        <w:t>The term</w:t>
      </w:r>
      <w:r>
        <w:t xml:space="preserve"> </w:t>
      </w:r>
      <w:r w:rsidRPr="0031026D">
        <w:rPr>
          <w:rStyle w:val="StyleUnderline"/>
        </w:rPr>
        <w:t>‘‘community learning center’’</w:t>
      </w:r>
      <w:r>
        <w:t xml:space="preserve"> </w:t>
      </w:r>
      <w:r w:rsidRPr="004F4651">
        <w:rPr>
          <w:rStyle w:val="StyleUnderline"/>
        </w:rPr>
        <w:t>means an entity that</w:t>
      </w:r>
      <w:r>
        <w:t xml:space="preserve">— (A) </w:t>
      </w:r>
      <w:r w:rsidRPr="004F4651">
        <w:rPr>
          <w:rStyle w:val="StyleUnderline"/>
        </w:rPr>
        <w:t>assists students</w:t>
      </w:r>
      <w:r>
        <w:t xml:space="preserve"> to meet the challenging State academic standards by providing the students with academic enrichment activities and a broad array of other activities (such as programs and activities described in subsection (a)(2)) </w:t>
      </w:r>
      <w:r w:rsidRPr="004F4651">
        <w:rPr>
          <w:rStyle w:val="StyleUnderline"/>
        </w:rPr>
        <w:t xml:space="preserve">during </w:t>
      </w:r>
      <w:r w:rsidRPr="004F4651">
        <w:rPr>
          <w:rStyle w:val="Emphasis"/>
        </w:rPr>
        <w:t>nonschool hours</w:t>
      </w:r>
      <w:r>
        <w:t xml:space="preserve"> </w:t>
      </w:r>
      <w:r w:rsidRPr="004F4651">
        <w:rPr>
          <w:rStyle w:val="StyleUnderline"/>
        </w:rPr>
        <w:t>or periods when school is</w:t>
      </w:r>
      <w:r>
        <w:t xml:space="preserve"> </w:t>
      </w:r>
      <w:r w:rsidRPr="0031026D">
        <w:rPr>
          <w:rStyle w:val="StyleUnderline"/>
        </w:rPr>
        <w:t>not in session</w:t>
      </w:r>
      <w:r>
        <w:t xml:space="preserve"> (such as before and after school or during summer recess) that— (i) reinforce and complement the regular academic programs of the schools attended by the students served; and (ii) are targeted to the students’ academic needs and aligned with the instruction students receive during the school day; and (B) offers families of students served by such center opportunities for active and meaningful engagement in their children’s education, including opportunities for literacy and related educational development. (2) COVERED PROGRAM.—The term ‘‘covered program’’ means a program for which— (A) the Secretary made a grant under this part (as this part was in effect on the day before the effective date of this part under the Every Student Succeeds Act); and (B) the grant period had not ended on that effective date. (3) ELIGIBLE ENTITY.—</w:t>
      </w:r>
      <w:r w:rsidRPr="004F4651">
        <w:rPr>
          <w:rStyle w:val="StyleUnderline"/>
        </w:rPr>
        <w:t>The term ‘‘eligible entity’’ means a</w:t>
      </w:r>
      <w:r>
        <w:rPr>
          <w:rStyle w:val="StyleUnderline"/>
        </w:rPr>
        <w:t xml:space="preserve"> </w:t>
      </w:r>
      <w:r w:rsidRPr="004F4651">
        <w:rPr>
          <w:rStyle w:val="StyleUnderline"/>
        </w:rPr>
        <w:t>local educational agency, community-based organization</w:t>
      </w:r>
      <w:r>
        <w:t xml:space="preserve">, Indian tribe </w:t>
      </w:r>
      <w:r w:rsidRPr="004F4651">
        <w:rPr>
          <w:rStyle w:val="StyleUnderline"/>
        </w:rPr>
        <w:t>or tribal organization</w:t>
      </w:r>
      <w:r>
        <w:t xml:space="preserve"> (as such terms are defined in section 4 of the Indian Self-Determination and Education Act (25 U.S.C. 450b)), </w:t>
      </w:r>
      <w:r w:rsidRPr="004F4651">
        <w:rPr>
          <w:rStyle w:val="StyleUnderline"/>
        </w:rPr>
        <w:t>another public or private entity</w:t>
      </w:r>
      <w:r>
        <w:t>, or a consortium of 2 or more such agencies, organizations, or entities. (4) EXTERNAL ORGANIZATION.—</w:t>
      </w:r>
      <w:r w:rsidRPr="004F4651">
        <w:rPr>
          <w:rStyle w:val="StyleUnderline"/>
        </w:rPr>
        <w:t>The term ‘‘external organization’’</w:t>
      </w:r>
      <w:r>
        <w:t xml:space="preserve"> </w:t>
      </w:r>
      <w:r w:rsidRPr="004F4651">
        <w:rPr>
          <w:rStyle w:val="StyleUnderline"/>
        </w:rPr>
        <w:t>means</w:t>
      </w:r>
      <w:r>
        <w:t xml:space="preserve">— (A) </w:t>
      </w:r>
      <w:r w:rsidRPr="004F4651">
        <w:rPr>
          <w:rStyle w:val="StyleUnderline"/>
        </w:rPr>
        <w:t>a nonprofit</w:t>
      </w:r>
      <w:r>
        <w:t xml:space="preserve"> organization with a record of success in running or working with before and after school (or summer recess) programs and activities; or (B) in the case of a community where there is no such organization, a nonprofit organization in the community that enters into a written agreement or partnership with an organization described in subparagraph (A) to receive mentoring and guidance in running or working with before and after school (or summer recess) programs and activities. (5) RIGOROUS PEER-REVIEW PROCESS.—The term ‘‘rigorous peer-review process’’ means a process by which— (A) employees of a State educational agency who are familiar with the programs and activities assisted under this part review all applications that the State receives for awards under this part for completeness and applicant eligibility; (B) the State educational agency selects peer reviewers for such applications, who shall— (i) be selected for their expertise in providing effective academic, enrichment, youth development, and related services to children; and (ii) not include any applicant, or representative of an applicant, that has submitted an application under this part for the current application period; and (C) the peer reviewers described in subparagraph (B) review and rate the applications to determine the extent to which the applications meet the requirements under sections 4204(b) and 4205. (6) STATE.—The term ‘‘State’’ means each of the 50 States, the District of Columbia, and the Commonwealth of Puerto Rico. </w:t>
      </w:r>
    </w:p>
    <w:p w:rsidR="009224D3" w:rsidRDefault="009224D3" w:rsidP="009224D3">
      <w:pPr>
        <w:pStyle w:val="Heading4"/>
      </w:pPr>
      <w:r>
        <w:t>2NC Interpretation – “Education” refers to schooling</w:t>
      </w:r>
    </w:p>
    <w:p w:rsidR="009224D3" w:rsidRDefault="009224D3" w:rsidP="009224D3">
      <w:r w:rsidRPr="004751AB">
        <w:rPr>
          <w:rStyle w:val="Style13ptBold"/>
        </w:rPr>
        <w:t xml:space="preserve">Webster’s </w:t>
      </w:r>
      <w:r w:rsidR="002E087B">
        <w:rPr>
          <w:rStyle w:val="Style13ptBold"/>
        </w:rPr>
        <w:t>‘</w:t>
      </w:r>
      <w:r w:rsidRPr="004751AB">
        <w:rPr>
          <w:rStyle w:val="Style13ptBold"/>
        </w:rPr>
        <w:t xml:space="preserve">17 </w:t>
      </w:r>
      <w:r w:rsidRPr="00376F27">
        <w:t>[</w:t>
      </w:r>
      <w:r>
        <w:t>Merriam-Webster’s Online Dictionary, “education”, https://www.merriam-webster.com/dictionary/education]</w:t>
      </w:r>
    </w:p>
    <w:p w:rsidR="009224D3" w:rsidRDefault="009224D3" w:rsidP="009224D3">
      <w:r>
        <w:t>Definition of</w:t>
      </w:r>
      <w:r w:rsidRPr="00376F27">
        <w:rPr>
          <w:rStyle w:val="Emphasis"/>
        </w:rPr>
        <w:t xml:space="preserve"> education</w:t>
      </w:r>
    </w:p>
    <w:p w:rsidR="009224D3" w:rsidRDefault="009224D3" w:rsidP="009224D3">
      <w:r>
        <w:t>1</w:t>
      </w:r>
    </w:p>
    <w:p w:rsidR="009224D3" w:rsidRDefault="009224D3" w:rsidP="009224D3">
      <w:r>
        <w:t>a :  the action or process of educating or of being educated; also :  a stage of such a process</w:t>
      </w:r>
    </w:p>
    <w:p w:rsidR="009224D3" w:rsidRDefault="009224D3" w:rsidP="009224D3">
      <w:r>
        <w:t>b :  the knowledge and development resulting from an educational process a person of little education</w:t>
      </w:r>
    </w:p>
    <w:p w:rsidR="009224D3" w:rsidRDefault="009224D3" w:rsidP="009224D3">
      <w:r>
        <w:t>2</w:t>
      </w:r>
    </w:p>
    <w:p w:rsidR="009224D3" w:rsidRPr="00376F27" w:rsidRDefault="009224D3" w:rsidP="009224D3">
      <w:r w:rsidRPr="00376F27">
        <w:t xml:space="preserve">:  </w:t>
      </w:r>
      <w:r w:rsidRPr="00376F27">
        <w:rPr>
          <w:rStyle w:val="StyleUnderline"/>
        </w:rPr>
        <w:t>the field of study that deals mainly with methods of teaching and learning</w:t>
      </w:r>
      <w:r w:rsidRPr="00376F27">
        <w:t xml:space="preserve"> </w:t>
      </w:r>
      <w:r w:rsidRPr="0031026D">
        <w:rPr>
          <w:rStyle w:val="StyleUnderline"/>
        </w:rPr>
        <w:t>in schools</w:t>
      </w:r>
    </w:p>
    <w:p w:rsidR="009224D3" w:rsidRDefault="009224D3" w:rsidP="009224D3">
      <w:r>
        <w:t>educationalplay \ˌe-jə-ˈkā-shnəl, -shə-nəl\ adjective</w:t>
      </w:r>
    </w:p>
    <w:p w:rsidR="009224D3" w:rsidRDefault="009224D3" w:rsidP="009224D3">
      <w:r>
        <w:t>educationallyplay \ˌe-jə-ˈkā-shnəl-ē, -shə-nəl-\ adverb</w:t>
      </w:r>
    </w:p>
    <w:p w:rsidR="00D27CC7" w:rsidRDefault="00D27CC7" w:rsidP="00D27CC7">
      <w:pPr>
        <w:pStyle w:val="Heading3"/>
      </w:pPr>
      <w:r>
        <w:t xml:space="preserve">2NC – STEM – Limits </w:t>
      </w:r>
    </w:p>
    <w:p w:rsidR="00D27CC7" w:rsidRDefault="00D27CC7" w:rsidP="00D27CC7">
      <w:pPr>
        <w:pStyle w:val="Heading4"/>
      </w:pPr>
      <w:r>
        <w:t>Depth is more educational than breadth --- studies prove</w:t>
      </w:r>
      <w:r>
        <w:t xml:space="preserve"> it’s key to solve the </w:t>
      </w:r>
      <w:r w:rsidRPr="00D27CC7">
        <w:rPr>
          <w:u w:val="single"/>
        </w:rPr>
        <w:t>science education</w:t>
      </w:r>
      <w:r>
        <w:t xml:space="preserve"> of the affirmative</w:t>
      </w:r>
    </w:p>
    <w:p w:rsidR="00D27CC7" w:rsidRDefault="00D27CC7" w:rsidP="00D27CC7">
      <w:r w:rsidRPr="00AB4DF6">
        <w:rPr>
          <w:rStyle w:val="Style13ptBold"/>
        </w:rPr>
        <w:t xml:space="preserve">WP </w:t>
      </w:r>
      <w:r>
        <w:rPr>
          <w:rStyle w:val="Style13ptBold"/>
        </w:rPr>
        <w:t>‘</w:t>
      </w:r>
      <w:r w:rsidRPr="00AB4DF6">
        <w:rPr>
          <w:rStyle w:val="Style13ptBold"/>
        </w:rPr>
        <w:t>9</w:t>
      </w:r>
      <w:r>
        <w:t xml:space="preserve"> [</w:t>
      </w:r>
      <w:r>
        <w:t>Washington Post, “Will Depth Replace Breadth in Schools?” http://voices.washingtonpost.com/class-struggle/2009/02/will</w:t>
      </w:r>
      <w:r>
        <w:t>_depth_replace_breadth_in.html]</w:t>
      </w:r>
    </w:p>
    <w:p w:rsidR="00D27CC7" w:rsidRPr="00A16892" w:rsidRDefault="00D27CC7" w:rsidP="00D27CC7">
      <w:pPr>
        <w:rPr>
          <w:sz w:val="16"/>
        </w:rPr>
      </w:pPr>
      <w:r w:rsidRPr="00D27CC7">
        <w:rPr>
          <w:sz w:val="16"/>
        </w:rPr>
        <w:t xml:space="preserve">The truth, of course, is that students need both. Teachers try to mix the two in ways that make sense to them and their students. But </w:t>
      </w:r>
      <w:r w:rsidRPr="00D27CC7">
        <w:rPr>
          <w:rStyle w:val="StyleUnderline"/>
        </w:rPr>
        <w:t>a surprising study</w:t>
      </w:r>
      <w:r w:rsidRPr="00D27CC7">
        <w:rPr>
          <w:sz w:val="16"/>
        </w:rPr>
        <w:t xml:space="preserve"> — certain to be a hot topic in teacher lounges and education schools — </w:t>
      </w:r>
      <w:r w:rsidRPr="00D27CC7">
        <w:rPr>
          <w:rStyle w:val="StyleUnderline"/>
        </w:rPr>
        <w:t xml:space="preserve">is providing new data that suggest educators should spend much more time on a </w:t>
      </w:r>
      <w:r w:rsidRPr="00D27CC7">
        <w:rPr>
          <w:rStyle w:val="Emphasis"/>
        </w:rPr>
        <w:t>few issues</w:t>
      </w:r>
      <w:r w:rsidRPr="00D27CC7">
        <w:rPr>
          <w:rStyle w:val="StyleUnderline"/>
        </w:rPr>
        <w:t xml:space="preserve"> and </w:t>
      </w:r>
      <w:r w:rsidRPr="00D27CC7">
        <w:rPr>
          <w:rStyle w:val="Emphasis"/>
        </w:rPr>
        <w:t>let some topics slide</w:t>
      </w:r>
      <w:r w:rsidRPr="00D27CC7">
        <w:rPr>
          <w:sz w:val="14"/>
        </w:rPr>
        <w:t xml:space="preserve">. Based on a sample of 8,310 undergraduates, the national study says that students who spend at least a month on just one topic in a high school science course get better grades in a freshman college course in that subject than students whose high school courses were more balanced. The study, appearing in the July issue of the journal Science Education, is “Depth Versus Breadth: How Content Coverage in High School Science Courses Relates to Later Success in College Science Coursework.” The authors are Marc S. Schwartz of the University of Texas at Arlington, Philip M. Sadler and Gerhard Sonnert of the Harvard-Smithsonian Center for Astrophysics and Robert H. Tai of the University of Virginia. This is more rich ore from a goldmine of a survey Sadler and Tai helped organize called “Factors Influencing College Science Success.” It involved 18,000 undergraduates, plus their professors, in 67 colleges in 31 states. The study weighs in on one side of a contentious issue that will be getting national attention this September when the College Board’s Advanced Placement program unveils its major overhaul of its college-level science exams for high school students. AP is following a direction taken by its smaller counterpart, the International Baccalaureate program. IB teachers already are allowed to focus on topics of their choice. Their students can deal with just a few topics on exams, because they have a wide choice of questions. AP’s exact approach is not clear yet, but College Board officials said they too will embrace depth. They have been getting much praise for this from the National Science Foundation, which funded the new study. Sadler and Tai have previously hinted at where this was going. In 2001 they reported that students who did not use a textbook in high school physics—an indication that their teachers disdained hitting every topic — achieved higher college grades than those who used a textbook. Some educators, pundits, parents and students will object, I suspect, to sidelining their favorite subjects and spending more time on what they consider trivial or dangerous topics. Some will fret over the possibility that teachers might abandon breadth altogether and wallow in their specialties. Even non-science courses could be affected. Imagine a U.S. history course that is nothing but lives of generals, or a required English course that assigns only Jane Austen. “Depth Versus Breadth” analyzes undergraduate answers to detailed questions about their high school study of physics, chemistry and biology, and the grades they received in freshman college science courses. </w:t>
      </w:r>
      <w:r w:rsidRPr="00D27CC7">
        <w:rPr>
          <w:rStyle w:val="StyleUnderline"/>
        </w:rPr>
        <w:t>The</w:t>
      </w:r>
      <w:r w:rsidRPr="00D27CC7">
        <w:rPr>
          <w:sz w:val="16"/>
        </w:rPr>
        <w:t xml:space="preserve"> college </w:t>
      </w:r>
      <w:r w:rsidRPr="00D27CC7">
        <w:rPr>
          <w:rStyle w:val="StyleUnderline"/>
        </w:rPr>
        <w:t>grades of students who had studied</w:t>
      </w:r>
      <w:r w:rsidRPr="00D27CC7">
        <w:rPr>
          <w:sz w:val="16"/>
        </w:rPr>
        <w:t xml:space="preserve"> at least </w:t>
      </w:r>
      <w:r w:rsidRPr="00D27CC7">
        <w:rPr>
          <w:rStyle w:val="StyleUnderline"/>
        </w:rPr>
        <w:t>one topic</w:t>
      </w:r>
      <w:r w:rsidRPr="00D27CC7">
        <w:rPr>
          <w:sz w:val="16"/>
        </w:rPr>
        <w:t xml:space="preserve"> for at least a month in a high school science course </w:t>
      </w:r>
      <w:r w:rsidRPr="00D27CC7">
        <w:rPr>
          <w:rStyle w:val="StyleUnderline"/>
        </w:rPr>
        <w:t>were compared to</w:t>
      </w:r>
      <w:r w:rsidRPr="00D27CC7">
        <w:rPr>
          <w:sz w:val="16"/>
        </w:rPr>
        <w:t xml:space="preserve"> those of </w:t>
      </w:r>
      <w:r w:rsidRPr="00D27CC7">
        <w:rPr>
          <w:rStyle w:val="StyleUnderline"/>
        </w:rPr>
        <w:t>students who did not experience</w:t>
      </w:r>
      <w:r w:rsidRPr="00D27CC7">
        <w:rPr>
          <w:sz w:val="16"/>
        </w:rPr>
        <w:t xml:space="preserve"> such </w:t>
      </w:r>
      <w:r w:rsidRPr="00D27CC7">
        <w:rPr>
          <w:rStyle w:val="StyleUnderline"/>
        </w:rPr>
        <w:t>depth</w:t>
      </w:r>
      <w:r w:rsidRPr="00D27CC7">
        <w:rPr>
          <w:sz w:val="16"/>
        </w:rPr>
        <w:t xml:space="preserve">. The study acknowledges that the </w:t>
      </w:r>
      <w:r w:rsidRPr="00D27CC7">
        <w:rPr>
          <w:rStyle w:val="StyleUnderline"/>
        </w:rPr>
        <w:t>pro-breadth forces have been in retreat. Several national commissions have called for more depth in</w:t>
      </w:r>
      <w:r w:rsidRPr="00D27CC7">
        <w:rPr>
          <w:sz w:val="16"/>
        </w:rPr>
        <w:t xml:space="preserve"> science </w:t>
      </w:r>
      <w:r w:rsidRPr="00D27CC7">
        <w:rPr>
          <w:rStyle w:val="StyleUnderline"/>
        </w:rPr>
        <w:t>teaching</w:t>
      </w:r>
      <w:r w:rsidRPr="00D27CC7">
        <w:rPr>
          <w:sz w:val="16"/>
        </w:rPr>
        <w:t xml:space="preserve"> and other subjects. </w:t>
      </w:r>
      <w:r w:rsidRPr="00D27CC7">
        <w:rPr>
          <w:rStyle w:val="StyleUnderline"/>
        </w:rPr>
        <w:t>A</w:t>
      </w:r>
      <w:r w:rsidRPr="00D27CC7">
        <w:rPr>
          <w:sz w:val="16"/>
        </w:rPr>
        <w:t xml:space="preserve"> 2005 </w:t>
      </w:r>
      <w:r w:rsidRPr="00D27CC7">
        <w:rPr>
          <w:rStyle w:val="StyleUnderline"/>
        </w:rPr>
        <w:t>study of 46 countries found that those whose schools had the best science test scores covered far fewer topics than U.S. schools</w:t>
      </w:r>
      <w:r w:rsidRPr="00D27CC7">
        <w:rPr>
          <w:sz w:val="16"/>
        </w:rPr>
        <w:t>.</w:t>
      </w:r>
      <w:r w:rsidRPr="00AB4DF6">
        <w:rPr>
          <w:sz w:val="16"/>
        </w:rPr>
        <w:t xml:space="preserve"> </w:t>
      </w:r>
    </w:p>
    <w:p w:rsidR="00D27CC7" w:rsidRPr="00D27CC7" w:rsidRDefault="00D27CC7" w:rsidP="00D27CC7"/>
    <w:p w:rsidR="009B1239" w:rsidRDefault="009B1239" w:rsidP="009B1239">
      <w:pPr>
        <w:pStyle w:val="Heading3"/>
      </w:pPr>
      <w:r>
        <w:t xml:space="preserve">2AC – STEM – W/M </w:t>
      </w:r>
    </w:p>
    <w:p w:rsidR="00357DA0" w:rsidRDefault="00357DA0" w:rsidP="00357DA0">
      <w:pPr>
        <w:pStyle w:val="Heading4"/>
      </w:pPr>
      <w:r>
        <w:t>Funding isn’t blanket –</w:t>
      </w:r>
      <w:r w:rsidR="00C00296">
        <w:t xml:space="preserve"> we specify our intent in the plan text and</w:t>
      </w:r>
      <w:r>
        <w:t xml:space="preserve"> there are choices involved to opt out of separate line items</w:t>
      </w:r>
    </w:p>
    <w:p w:rsidR="00357DA0" w:rsidRPr="00357DA0" w:rsidRDefault="00C00296" w:rsidP="00357DA0">
      <w:r w:rsidRPr="00C00296">
        <w:rPr>
          <w:rStyle w:val="Style13ptBold"/>
        </w:rPr>
        <w:t>Ed</w:t>
      </w:r>
      <w:r>
        <w:rPr>
          <w:rStyle w:val="Style13ptBold"/>
        </w:rPr>
        <w:t>ucation</w:t>
      </w:r>
      <w:r w:rsidRPr="00C00296">
        <w:rPr>
          <w:rStyle w:val="Style13ptBold"/>
        </w:rPr>
        <w:t xml:space="preserve"> Week ’16</w:t>
      </w:r>
      <w:r>
        <w:t xml:space="preserve"> [</w:t>
      </w:r>
      <w:r w:rsidR="00357DA0">
        <w:t xml:space="preserve">Published in Print: December 9, 2015, as “The Every Student Succeeds Act: Explained”, Vol. 35, Issue 14, Page 17, Updated: January 4, 2016, </w:t>
      </w:r>
      <w:r>
        <w:t xml:space="preserve">Education Week, </w:t>
      </w:r>
      <w:r w:rsidR="00357DA0">
        <w:t xml:space="preserve"> </w:t>
      </w:r>
      <w:hyperlink r:id="rId11" w:history="1">
        <w:r w:rsidR="00357DA0" w:rsidRPr="00DB6981">
          <w:rPr>
            <w:rStyle w:val="Hyperlink"/>
          </w:rPr>
          <w:t>http://www.edweek.org/ew/articles/2015/12/07/the-every-student-succeeds-act-explained.html</w:t>
        </w:r>
      </w:hyperlink>
      <w:r w:rsidR="00357DA0">
        <w:t>, schauer]</w:t>
      </w:r>
    </w:p>
    <w:p w:rsidR="00357DA0" w:rsidRDefault="00357DA0" w:rsidP="00357DA0">
      <w:r>
        <w:t>Block Grant</w:t>
      </w:r>
    </w:p>
    <w:p w:rsidR="00357DA0" w:rsidRDefault="00357DA0" w:rsidP="00357DA0">
      <w:r w:rsidRPr="00357DA0">
        <w:rPr>
          <w:rStyle w:val="StyleUnderline"/>
        </w:rPr>
        <w:t>A new $1.6 billion block grant consolidates dozens of programs</w:t>
      </w:r>
      <w:r>
        <w:t>, including some involving physical education, Advanced Placement, school counseling, and education technology.</w:t>
      </w:r>
    </w:p>
    <w:p w:rsidR="00357DA0" w:rsidRDefault="00357DA0" w:rsidP="00357DA0">
      <w:r w:rsidRPr="00357DA0">
        <w:rPr>
          <w:rStyle w:val="StyleUnderline"/>
        </w:rPr>
        <w:t>Districts that get more than $30,000 have to spend at least 20 percent of their funding on</w:t>
      </w:r>
      <w:r>
        <w:t xml:space="preserve"> </w:t>
      </w:r>
      <w:r w:rsidRPr="0031026D">
        <w:rPr>
          <w:rStyle w:val="StyleUnderline"/>
        </w:rPr>
        <w:t>at least one</w:t>
      </w:r>
      <w:r>
        <w:t xml:space="preserve"> </w:t>
      </w:r>
      <w:r w:rsidRPr="00357DA0">
        <w:rPr>
          <w:rStyle w:val="StyleUnderline"/>
        </w:rPr>
        <w:t>activity that helps students become well-rounded</w:t>
      </w:r>
      <w:r>
        <w:t xml:space="preserve">, </w:t>
      </w:r>
      <w:r w:rsidRPr="00C00296">
        <w:rPr>
          <w:rStyle w:val="StyleUnderline"/>
        </w:rPr>
        <w:t>and another 20 percent</w:t>
      </w:r>
      <w:r>
        <w:t xml:space="preserve"> </w:t>
      </w:r>
      <w:r w:rsidRPr="00C00296">
        <w:rPr>
          <w:rStyle w:val="StyleUnderline"/>
        </w:rPr>
        <w:t>on</w:t>
      </w:r>
      <w:r>
        <w:t xml:space="preserve"> </w:t>
      </w:r>
      <w:r w:rsidRPr="00C00296">
        <w:rPr>
          <w:rStyle w:val="Emphasis"/>
        </w:rPr>
        <w:t>a</w:t>
      </w:r>
      <w:r w:rsidRPr="0031026D">
        <w:rPr>
          <w:rStyle w:val="StyleUnderline"/>
        </w:rPr>
        <w:t>t least one activity</w:t>
      </w:r>
      <w:r>
        <w:t xml:space="preserve"> </w:t>
      </w:r>
      <w:r w:rsidRPr="00C00296">
        <w:rPr>
          <w:rStyle w:val="StyleUnderline"/>
        </w:rPr>
        <w:t>that helps students be safe</w:t>
      </w:r>
      <w:r>
        <w:t xml:space="preserve"> and healthy. And </w:t>
      </w:r>
      <w:r w:rsidRPr="00C00296">
        <w:rPr>
          <w:rStyle w:val="StyleUnderline"/>
        </w:rPr>
        <w:t>part of the money can be spent on technology</w:t>
      </w:r>
      <w:r>
        <w:t>.</w:t>
      </w:r>
    </w:p>
    <w:p w:rsidR="00357DA0" w:rsidRPr="0031026D" w:rsidRDefault="00357DA0" w:rsidP="00357DA0">
      <w:pPr>
        <w:rPr>
          <w:rStyle w:val="StyleUnderline"/>
        </w:rPr>
      </w:pPr>
      <w:r w:rsidRPr="00357DA0">
        <w:rPr>
          <w:rStyle w:val="StyleUnderline"/>
        </w:rPr>
        <w:t>Some programs live on as separate line items</w:t>
      </w:r>
      <w:r>
        <w:t xml:space="preserve">, </w:t>
      </w:r>
      <w:r w:rsidRPr="00357DA0">
        <w:rPr>
          <w:rStyle w:val="StyleUnderline"/>
        </w:rPr>
        <w:t>including the</w:t>
      </w:r>
      <w:r>
        <w:t xml:space="preserve"> </w:t>
      </w:r>
      <w:r w:rsidRPr="0031026D">
        <w:rPr>
          <w:rStyle w:val="StyleUnderline"/>
        </w:rPr>
        <w:t>21st Century Community Learning Centers.</w:t>
      </w:r>
    </w:p>
    <w:p w:rsidR="000C2A38" w:rsidRPr="000C2A38" w:rsidRDefault="000C2A38" w:rsidP="000C2A38"/>
    <w:p w:rsidR="009B1239" w:rsidRDefault="009B1239" w:rsidP="009B1239">
      <w:pPr>
        <w:pStyle w:val="Heading3"/>
      </w:pPr>
      <w:r>
        <w:t>2AC – STEM – C/I</w:t>
      </w:r>
    </w:p>
    <w:p w:rsidR="009B1239" w:rsidRPr="009B1239" w:rsidRDefault="009B1239" w:rsidP="009B1239"/>
    <w:p w:rsidR="009B1239" w:rsidRDefault="009B1239" w:rsidP="009B1239">
      <w:pPr>
        <w:pStyle w:val="Heading4"/>
      </w:pPr>
      <w:r>
        <w:t xml:space="preserve">“Secondary </w:t>
      </w:r>
      <w:r>
        <w:t>Education</w:t>
      </w:r>
      <w:r>
        <w:t>” is</w:t>
      </w:r>
      <w:r>
        <w:t xml:space="preserve"> for 11-18 year olds</w:t>
      </w:r>
    </w:p>
    <w:p w:rsidR="009B1239" w:rsidRDefault="009B1239" w:rsidP="009B1239">
      <w:r w:rsidRPr="00351F0C">
        <w:rPr>
          <w:rStyle w:val="Style13ptBold"/>
        </w:rPr>
        <w:t xml:space="preserve">Collins </w:t>
      </w:r>
      <w:r w:rsidR="002E087B">
        <w:rPr>
          <w:rStyle w:val="Style13ptBold"/>
        </w:rPr>
        <w:t>‘</w:t>
      </w:r>
      <w:r w:rsidRPr="00351F0C">
        <w:rPr>
          <w:rStyle w:val="Style13ptBold"/>
        </w:rPr>
        <w:t xml:space="preserve">17 </w:t>
      </w:r>
      <w:r w:rsidR="002E087B" w:rsidRPr="002E087B">
        <w:t>[</w:t>
      </w:r>
      <w:r>
        <w:t>Collins Online Dictionary, “secondary education”, https://www.collinsdictionary.com/dictionary/english/secondary-education</w:t>
      </w:r>
      <w:r w:rsidR="002E087B">
        <w:t>]</w:t>
      </w:r>
    </w:p>
    <w:p w:rsidR="009B1239" w:rsidRDefault="009B1239" w:rsidP="009B1239">
      <w:r>
        <w:t>noun</w:t>
      </w:r>
    </w:p>
    <w:p w:rsidR="009B1239" w:rsidRDefault="009B1239" w:rsidP="009B1239">
      <w:r>
        <w:t>education</w:t>
      </w:r>
    </w:p>
    <w:p w:rsidR="009B1239" w:rsidRPr="00351F0C" w:rsidRDefault="009B1239" w:rsidP="009B1239">
      <w:pPr>
        <w:rPr>
          <w:rStyle w:val="StyleUnderline"/>
        </w:rPr>
      </w:pPr>
      <w:r w:rsidRPr="009B1239">
        <w:rPr>
          <w:rStyle w:val="Emphasis"/>
        </w:rPr>
        <w:t>education</w:t>
      </w:r>
      <w:r w:rsidRPr="00351F0C">
        <w:rPr>
          <w:rStyle w:val="StyleUnderline"/>
        </w:rPr>
        <w:t xml:space="preserve"> for pupils between the ages of 11 and 18</w:t>
      </w:r>
    </w:p>
    <w:p w:rsidR="009B1239" w:rsidRDefault="009B1239" w:rsidP="009B1239">
      <w:r>
        <w:t>These examinations are taken after five years of secondary education.</w:t>
      </w:r>
    </w:p>
    <w:p w:rsidR="009224D3" w:rsidRDefault="000C2A38" w:rsidP="000C2A38">
      <w:pPr>
        <w:pStyle w:val="Heading3"/>
      </w:pPr>
      <w:r>
        <w:t>2AC – STEM – Extra T</w:t>
      </w:r>
    </w:p>
    <w:p w:rsidR="000C2A38" w:rsidRPr="00191D17" w:rsidRDefault="000C2A38" w:rsidP="000C2A38">
      <w:pPr>
        <w:pStyle w:val="Heading4"/>
      </w:pPr>
      <w:r>
        <w:t>“Education” refers to moral, intellectual, and physical training – not limited to formal schooling</w:t>
      </w:r>
    </w:p>
    <w:p w:rsidR="000C2A38" w:rsidRDefault="000C2A38" w:rsidP="000C2A38">
      <w:r w:rsidRPr="00191D17">
        <w:rPr>
          <w:rStyle w:val="Style13ptBold"/>
        </w:rPr>
        <w:t xml:space="preserve">Davenport </w:t>
      </w:r>
      <w:r w:rsidR="002E087B">
        <w:rPr>
          <w:rStyle w:val="Style13ptBold"/>
        </w:rPr>
        <w:t>‘</w:t>
      </w:r>
      <w:r w:rsidRPr="00191D17">
        <w:rPr>
          <w:rStyle w:val="Style13ptBold"/>
        </w:rPr>
        <w:t xml:space="preserve">88 </w:t>
      </w:r>
      <w:r w:rsidRPr="00B26EE8">
        <w:t>[</w:t>
      </w:r>
      <w:r>
        <w:t>J. Davenport, Judge on the Common Pleas Court of Montgomery County, Pennsylvania, “Prana Yoga Centre v. Lower Pottsgrove Township Zoning Hearing Board”, 1988 Pa. Dist. &amp; Cnty. Dec. LEXIS 253; 48 Pa. D. &amp; C.3d 650, 4-20, Lexis]</w:t>
      </w:r>
    </w:p>
    <w:p w:rsidR="000C2A38" w:rsidRDefault="000C2A38" w:rsidP="000C2A38">
      <w:r>
        <w:t>DISCUSSION</w:t>
      </w:r>
    </w:p>
    <w:p w:rsidR="000C2A38" w:rsidRDefault="000C2A38" w:rsidP="000C2A38">
      <w:r w:rsidRPr="00B26EE8">
        <w:t>Whether the study and training of yoga should be considered "educational" raises a novel question for</w:t>
      </w:r>
      <w:r>
        <w:t xml:space="preserve"> </w:t>
      </w:r>
      <w:r w:rsidRPr="00B26EE8">
        <w:t>[**652]</w:t>
      </w:r>
      <w:r>
        <w:t xml:space="preserve"> </w:t>
      </w:r>
      <w:r w:rsidRPr="00B26EE8">
        <w:t xml:space="preserve">this commonwealth. Section 601.5(a) of the Lower Pottsgrove Township Zoning Ordinance does not define the term "educational" for purposes of granting a special exception. In the seminal case of Gilden Appeal, 406 Pa. 484, 178 A.2d 562 (1962), the Pennsylvania Supreme Court held that </w:t>
      </w:r>
      <w:r w:rsidRPr="00B26EE8">
        <w:rPr>
          <w:rStyle w:val="StyleUnderline"/>
        </w:rPr>
        <w:t>in the absence of a stated definition</w:t>
      </w:r>
      <w:r w:rsidRPr="00B26EE8">
        <w:t xml:space="preserve">, the word </w:t>
      </w:r>
      <w:r w:rsidRPr="00B26EE8">
        <w:rPr>
          <w:rStyle w:val="Emphasis"/>
        </w:rPr>
        <w:t>"education"</w:t>
      </w:r>
      <w:r w:rsidRPr="00B26EE8">
        <w:t xml:space="preserve"> </w:t>
      </w:r>
      <w:r w:rsidRPr="00B26EE8">
        <w:rPr>
          <w:rStyle w:val="StyleUnderline"/>
        </w:rPr>
        <w:t>is to be taken in its</w:t>
      </w:r>
      <w:r w:rsidRPr="00B26EE8">
        <w:t xml:space="preserve"> </w:t>
      </w:r>
      <w:r w:rsidRPr="00B26EE8">
        <w:rPr>
          <w:rStyle w:val="Emphasis"/>
        </w:rPr>
        <w:t xml:space="preserve">broadest </w:t>
      </w:r>
      <w:r w:rsidRPr="00B26EE8">
        <w:rPr>
          <w:rStyle w:val="StyleUnderline"/>
        </w:rPr>
        <w:t>sense</w:t>
      </w:r>
      <w:r w:rsidRPr="00B26EE8">
        <w:t>:HN3Go to this Headnote in the case.</w:t>
      </w:r>
      <w:r>
        <w:t xml:space="preserve"> </w:t>
      </w:r>
      <w:r w:rsidRPr="00B26EE8">
        <w:t xml:space="preserve">"The word </w:t>
      </w:r>
      <w:r w:rsidRPr="0031026D">
        <w:rPr>
          <w:rStyle w:val="StyleUnderline"/>
        </w:rPr>
        <w:t>[education]</w:t>
      </w:r>
      <w:r w:rsidRPr="00B26EE8">
        <w:t xml:space="preserve"> </w:t>
      </w:r>
      <w:r w:rsidRPr="00B26EE8">
        <w:rPr>
          <w:rStyle w:val="StyleUnderline"/>
        </w:rPr>
        <w:t>taken in its full sense, is a</w:t>
      </w:r>
      <w:r w:rsidRPr="00B26EE8">
        <w:t xml:space="preserve"> broad, </w:t>
      </w:r>
      <w:r w:rsidRPr="005C30F3">
        <w:rPr>
          <w:rStyle w:val="StyleUnderline"/>
        </w:rPr>
        <w:t>co</w:t>
      </w:r>
      <w:r w:rsidRPr="00B26EE8">
        <w:rPr>
          <w:rStyle w:val="StyleUnderline"/>
        </w:rPr>
        <w:t>mprehensive term and</w:t>
      </w:r>
      <w:r w:rsidRPr="00B26EE8">
        <w:t xml:space="preserve"> may be particularly directed to either mental, moral or physical faculties, but </w:t>
      </w:r>
      <w:r w:rsidRPr="00B26EE8">
        <w:rPr>
          <w:rStyle w:val="StyleUnderline"/>
        </w:rPr>
        <w:t xml:space="preserve">in its broadest sense it </w:t>
      </w:r>
      <w:r w:rsidRPr="00B26EE8">
        <w:t xml:space="preserve">embraces them all, and </w:t>
      </w:r>
      <w:r w:rsidRPr="00B26EE8">
        <w:rPr>
          <w:rStyle w:val="StyleUnderline"/>
        </w:rPr>
        <w:t>includes</w:t>
      </w:r>
      <w:r w:rsidRPr="00B26EE8">
        <w:t xml:space="preserve"> [*3]</w:t>
      </w:r>
      <w:r>
        <w:t xml:space="preserve"> </w:t>
      </w:r>
      <w:r w:rsidRPr="00B26EE8">
        <w:rPr>
          <w:rStyle w:val="Emphasis"/>
        </w:rPr>
        <w:t>not merely</w:t>
      </w:r>
      <w:r w:rsidRPr="00B26EE8">
        <w:rPr>
          <w:rStyle w:val="StyleUnderline"/>
        </w:rPr>
        <w:t xml:space="preserve"> the instruction received at the school</w:t>
      </w:r>
      <w:r w:rsidRPr="00B26EE8">
        <w:t xml:space="preserve">, </w:t>
      </w:r>
      <w:r w:rsidRPr="006B1CC7">
        <w:rPr>
          <w:rStyle w:val="StyleUnderline"/>
        </w:rPr>
        <w:t>college or university</w:t>
      </w:r>
      <w:r w:rsidRPr="00B26EE8">
        <w:t xml:space="preserve">, </w:t>
      </w:r>
      <w:r w:rsidRPr="00B26EE8">
        <w:rPr>
          <w:rStyle w:val="StyleUnderline"/>
        </w:rPr>
        <w:t>but the whole course of training</w:t>
      </w:r>
      <w:r w:rsidRPr="00B26EE8">
        <w:t xml:space="preserve"> -- </w:t>
      </w:r>
      <w:r w:rsidRPr="00B26EE8">
        <w:rPr>
          <w:rStyle w:val="StyleUnderline"/>
        </w:rPr>
        <w:t>moral, intellectual and physical</w:t>
      </w:r>
      <w:r w:rsidRPr="00B26EE8">
        <w:t>." Gilden Appeal, 406 Pa. 484, 492, 178 A.2d 562, 566 (1962).</w:t>
      </w:r>
      <w:r>
        <w:t xml:space="preserve"> </w:t>
      </w:r>
      <w:r w:rsidRPr="00B26EE8">
        <w:t>Applying this broad definition, Pennsylvania courts have held the following constitute educational uses: college dormitories, Dale v. Zoning Hearing Board of Tredyffrin Township, 91 Pa. Commw. 220, 496 A.2d 1321 (1985); a center for instruction in the culture, history, traditions and customs of the Ukranian Catholic Church, St. Sophia Religious Association of Ukranian Catholics Inc. v. Cheltenham Township, 27 Pa. Commw. 237, 365 A.2d 1389 (1976); an equestrian training center, Burgoon v. Zoning Hearing Board of Charlestown Township, 2 Pa. Commw. 238, 277 A.2d 837 (1971); and, a Little League baseball field, Kirk Zoning Appeal, 12 Chester L. Rep. 229 (1964).</w:t>
      </w:r>
      <w:r>
        <w:t xml:space="preserve"> </w:t>
      </w:r>
      <w:r w:rsidRPr="00B26EE8">
        <w:rPr>
          <w:rStyle w:val="StyleUnderline"/>
        </w:rPr>
        <w:t>The</w:t>
      </w:r>
      <w:r w:rsidRPr="00B26EE8">
        <w:t xml:space="preserve"> obvious </w:t>
      </w:r>
      <w:r w:rsidRPr="00B26EE8">
        <w:rPr>
          <w:rStyle w:val="StyleUnderline"/>
        </w:rPr>
        <w:t>import of these aforementioned cases is that</w:t>
      </w:r>
      <w:r w:rsidRPr="00B26EE8">
        <w:t xml:space="preserve"> the term </w:t>
      </w:r>
      <w:r w:rsidRPr="0031026D">
        <w:rPr>
          <w:rStyle w:val="StyleUnderline"/>
        </w:rPr>
        <w:t>"educational"</w:t>
      </w:r>
      <w:r w:rsidRPr="00B26EE8">
        <w:t xml:space="preserve"> </w:t>
      </w:r>
      <w:r w:rsidRPr="00B26EE8">
        <w:rPr>
          <w:rStyle w:val="StyleUnderline"/>
        </w:rPr>
        <w:t>may encompass more than reading, writing and arithmetic classes taught in traditional schools</w:t>
      </w:r>
      <w:r w:rsidRPr="00B26EE8">
        <w:t xml:space="preserve">, colleges or universities. Indeed, </w:t>
      </w:r>
      <w:r w:rsidRPr="00B26EE8">
        <w:rPr>
          <w:rStyle w:val="StyleUnderline"/>
        </w:rPr>
        <w:t>the word "educational" has been associated with</w:t>
      </w:r>
      <w:r w:rsidRPr="00B26EE8">
        <w:t xml:space="preserve"> [*4]</w:t>
      </w:r>
      <w:r>
        <w:t xml:space="preserve"> </w:t>
      </w:r>
      <w:r w:rsidRPr="00B26EE8">
        <w:rPr>
          <w:rStyle w:val="StyleUnderline"/>
        </w:rPr>
        <w:t>any type of training which promotes</w:t>
      </w:r>
      <w:r>
        <w:t xml:space="preserve"> </w:t>
      </w:r>
      <w:r w:rsidRPr="00B26EE8">
        <w:t>[**653]</w:t>
      </w:r>
      <w:r>
        <w:t xml:space="preserve"> </w:t>
      </w:r>
      <w:r w:rsidRPr="00B26EE8">
        <w:rPr>
          <w:rStyle w:val="StyleUnderline"/>
        </w:rPr>
        <w:t>moral, intellectual or physical well-being</w:t>
      </w:r>
      <w:r w:rsidRPr="00B26EE8">
        <w:t>. Burgoon v. Zoning Hearing Board of Charlestown Township, supra; Kirk Zoning Appeal, supra.</w:t>
      </w:r>
      <w:r>
        <w:t xml:space="preserve"> </w:t>
      </w:r>
      <w:r w:rsidRPr="00B26EE8">
        <w:t>The record here reveals uncontradicted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Prana Yoga, that he paid a tuition, and that books were available for use in the yoga class. Finally, Richard McKinney,</w:t>
      </w:r>
      <w:r>
        <w:t xml:space="preserve"> </w:t>
      </w:r>
      <w:r w:rsidRPr="00B26EE8">
        <w:t>[*5]</w:t>
      </w:r>
      <w:r>
        <w:t xml:space="preserve"> </w:t>
      </w:r>
      <w:r w:rsidRPr="00B26EE8">
        <w:t>formerly the director of Lion's Technical Institute in Upper Darby, testified that he has practiced yoga for many years and that yoga "relaxes him and provides a level of stress reduction." He testified that in his belief, yoga has educational benefits.</w:t>
      </w:r>
      <w:r>
        <w:t xml:space="preserve"> </w:t>
      </w:r>
      <w:r w:rsidRPr="00B26EE8">
        <w:t>This court has reviewed the testimony presented at the public hearings and finds that yoga may have some educational value. It is undisputed that yoga is taught in institutions of higher education. Additionally, the Prana Yoga Centre conducts yoga classes at a neighborhood YMCA, and for an adult night school program. Appellants' proposed use will allow persons in the community to receive supervised instruction in the methods and techniques of yoga.</w:t>
      </w:r>
      <w:r>
        <w:t xml:space="preserve"> </w:t>
      </w:r>
      <w:r w:rsidRPr="00B26EE8">
        <w:t>[**654]</w:t>
      </w:r>
      <w:r>
        <w:t xml:space="preserve"> </w:t>
      </w:r>
      <w:r w:rsidRPr="00B26EE8">
        <w:t>Students will be taught by yoga instructors who are not only familiar with the practice of yoga, but also with general literature and the philosophy behind yoga. Yoga techniques that will be taught include learning how to stretch, loosen and relax your body.</w:t>
      </w:r>
      <w:r>
        <w:t xml:space="preserve"> </w:t>
      </w:r>
      <w:r w:rsidRPr="00B26EE8">
        <w:t xml:space="preserve">In defining "educational," Pennsylvania case law has gone beyond traditional academics. In a broad, positive sense, "education" operates to develop the individual, enabling that person to better </w:t>
      </w:r>
      <w:r w:rsidRPr="00B26EE8">
        <w:rPr>
          <w:strike/>
        </w:rPr>
        <w:t>him</w:t>
      </w:r>
      <w:r w:rsidRPr="00B26EE8">
        <w:t>self,</w:t>
      </w:r>
      <w:r w:rsidRPr="00B26EE8">
        <w:rPr>
          <w:strike/>
        </w:rPr>
        <w:t xml:space="preserve"> his</w:t>
      </w:r>
      <w:r w:rsidRPr="00B26EE8">
        <w:t xml:space="preserve"> family and the [*6]</w:t>
      </w:r>
      <w:r>
        <w:t xml:space="preserve"> </w:t>
      </w:r>
      <w:r w:rsidRPr="00B26EE8">
        <w:t xml:space="preserve">society in which </w:t>
      </w:r>
      <w:r w:rsidRPr="00B26EE8">
        <w:rPr>
          <w:strike/>
        </w:rPr>
        <w:t>he</w:t>
      </w:r>
      <w:r w:rsidRPr="00B26EE8">
        <w:t xml:space="preserve"> lives. Surely yoga benefits individuals by developing the mind, teaching people how to concentrate, how to relieve stress and how to function more effectively. </w:t>
      </w:r>
      <w:r w:rsidRPr="00B26EE8">
        <w:rPr>
          <w:rStyle w:val="StyleUnderline"/>
        </w:rPr>
        <w:t>To imply</w:t>
      </w:r>
      <w:r w:rsidRPr="00B26EE8">
        <w:t xml:space="preserve">, as the board stated in its written opinion, </w:t>
      </w:r>
      <w:r w:rsidRPr="00B26EE8">
        <w:rPr>
          <w:rStyle w:val="StyleUnderline"/>
        </w:rPr>
        <w:t>that yoga fails to be "educational" because the training is "not part of the</w:t>
      </w:r>
      <w:r w:rsidRPr="00B26EE8">
        <w:t xml:space="preserve"> university </w:t>
      </w:r>
      <w:r w:rsidRPr="00B26EE8">
        <w:rPr>
          <w:rStyle w:val="StyleUnderline"/>
        </w:rPr>
        <w:t>curriculum"</w:t>
      </w:r>
      <w:r w:rsidRPr="00B26EE8">
        <w:t xml:space="preserve"> or that the training is "more in the physical education of the student rather than the intellectual education of the student," </w:t>
      </w:r>
      <w:r w:rsidRPr="00B26EE8">
        <w:rPr>
          <w:rStyle w:val="StyleUnderline"/>
        </w:rPr>
        <w:t>is</w:t>
      </w:r>
      <w:r w:rsidRPr="00B26EE8">
        <w:t xml:space="preserve"> nothing short of </w:t>
      </w:r>
      <w:r w:rsidRPr="00B26EE8">
        <w:rPr>
          <w:rStyle w:val="StyleUnderline"/>
        </w:rPr>
        <w:t>absurd</w:t>
      </w:r>
      <w:r w:rsidRPr="00B26EE8">
        <w:t>.HN4</w:t>
      </w:r>
    </w:p>
    <w:p w:rsidR="00357DA0" w:rsidRDefault="00357DA0" w:rsidP="00357DA0">
      <w:pPr>
        <w:pStyle w:val="Heading4"/>
      </w:pPr>
      <w:r>
        <w:t>Any Extra-T Title IV funds would be transferred into Title II</w:t>
      </w:r>
      <w:r w:rsidR="006B1CC7">
        <w:t xml:space="preserve"> for teachers</w:t>
      </w:r>
      <w:r>
        <w:t xml:space="preserve"> per plan mandate</w:t>
      </w:r>
    </w:p>
    <w:p w:rsidR="00357DA0" w:rsidRPr="00357DA0" w:rsidRDefault="00357DA0" w:rsidP="00357DA0">
      <w:r w:rsidRPr="00357DA0">
        <w:rPr>
          <w:rStyle w:val="Style13ptBold"/>
        </w:rPr>
        <w:t>Klein ’17</w:t>
      </w:r>
      <w:r>
        <w:t xml:space="preserve"> [Alyson Klein, 5/2/17, “How Would Changes to ESSA's Block Grant Work?” Education Week, </w:t>
      </w:r>
      <w:hyperlink r:id="rId12" w:history="1">
        <w:r w:rsidRPr="00DB6981">
          <w:rPr>
            <w:rStyle w:val="Hyperlink"/>
          </w:rPr>
          <w:t>http://blogs.edweek.org/edweek/campaign-k-12/2017/05/essa_block_grant_changes_budget_deal.html</w:t>
        </w:r>
      </w:hyperlink>
      <w:r>
        <w:t>, schauer]</w:t>
      </w:r>
    </w:p>
    <w:p w:rsidR="00357DA0" w:rsidRPr="000C2A38" w:rsidRDefault="00357DA0" w:rsidP="00357DA0">
      <w:r>
        <w:t xml:space="preserve">States might have the option of making the program competitive, but </w:t>
      </w:r>
      <w:r w:rsidRPr="00357DA0">
        <w:rPr>
          <w:rStyle w:val="StyleUnderline"/>
        </w:rPr>
        <w:t xml:space="preserve">districts can still </w:t>
      </w:r>
      <w:r w:rsidRPr="00357DA0">
        <w:rPr>
          <w:rStyle w:val="Emphasis"/>
        </w:rPr>
        <w:t>shift</w:t>
      </w:r>
      <w:r>
        <w:t xml:space="preserve"> </w:t>
      </w:r>
      <w:r w:rsidRPr="00357DA0">
        <w:rPr>
          <w:rStyle w:val="StyleUnderline"/>
        </w:rPr>
        <w:t>Title IV funds</w:t>
      </w:r>
      <w:r>
        <w:t xml:space="preserve"> to other programs. </w:t>
      </w:r>
      <w:r w:rsidRPr="00357DA0">
        <w:rPr>
          <w:rStyle w:val="StyleUnderline"/>
        </w:rPr>
        <w:t>ESSA allows districts to take</w:t>
      </w:r>
      <w:r>
        <w:t xml:space="preserve"> </w:t>
      </w:r>
      <w:r w:rsidRPr="0031026D">
        <w:rPr>
          <w:rStyle w:val="StyleUnderline"/>
        </w:rPr>
        <w:t>any funds</w:t>
      </w:r>
      <w:r>
        <w:t xml:space="preserve"> </w:t>
      </w:r>
      <w:r w:rsidRPr="00357DA0">
        <w:rPr>
          <w:rStyle w:val="StyleUnderline"/>
        </w:rPr>
        <w:t>they get from Title IV and move the money into</w:t>
      </w:r>
      <w:r>
        <w:t xml:space="preserve"> Title I, or into </w:t>
      </w:r>
      <w:r w:rsidRPr="00357DA0">
        <w:rPr>
          <w:rStyle w:val="Emphasis"/>
        </w:rPr>
        <w:t>Title II,</w:t>
      </w:r>
      <w:r>
        <w:t xml:space="preserve"> </w:t>
      </w:r>
      <w:r w:rsidRPr="00357DA0">
        <w:rPr>
          <w:rStyle w:val="StyleUnderline"/>
        </w:rPr>
        <w:t xml:space="preserve">which pays for </w:t>
      </w:r>
      <w:r w:rsidRPr="00357DA0">
        <w:rPr>
          <w:rStyle w:val="Emphasis"/>
        </w:rPr>
        <w:t>teacher</w:t>
      </w:r>
      <w:r w:rsidRPr="00357DA0">
        <w:rPr>
          <w:rStyle w:val="StyleUnderline"/>
        </w:rPr>
        <w:t xml:space="preserve"> professional development</w:t>
      </w:r>
      <w:r>
        <w:t xml:space="preserve"> and class size reduction. And districts would likely still be allowed to do that, despite the change. (Transferring the money seems much more likely in states that decide to allocate it by formula, not competitively.)</w:t>
      </w:r>
    </w:p>
    <w:p w:rsidR="00357DA0" w:rsidRPr="00B26EE8" w:rsidRDefault="00357DA0" w:rsidP="000C2A38"/>
    <w:p w:rsidR="000C2A38" w:rsidRPr="000C2A38" w:rsidRDefault="000C2A38" w:rsidP="000C2A38"/>
    <w:p w:rsidR="00847E16" w:rsidRDefault="00847E16" w:rsidP="00847E16"/>
    <w:p w:rsidR="0068199C" w:rsidRPr="0068199C" w:rsidRDefault="0068199C" w:rsidP="0068199C"/>
    <w:p w:rsidR="00683D74" w:rsidRDefault="009F1B58" w:rsidP="00683D74">
      <w:pPr>
        <w:pStyle w:val="Heading2"/>
      </w:pPr>
      <w:r>
        <w:t>“REGULATION”</w:t>
      </w:r>
    </w:p>
    <w:p w:rsidR="00683D74" w:rsidRPr="00FE5260" w:rsidRDefault="009F1B58" w:rsidP="00683D74">
      <w:pPr>
        <w:pStyle w:val="Heading3"/>
      </w:pPr>
      <w:r>
        <w:t>1NC –</w:t>
      </w:r>
      <w:r w:rsidR="002612FE">
        <w:t xml:space="preserve"> Legal Mandate</w:t>
      </w:r>
    </w:p>
    <w:p w:rsidR="00683D74" w:rsidRDefault="00A76D15" w:rsidP="00683D74">
      <w:pPr>
        <w:pStyle w:val="Heading4"/>
      </w:pPr>
      <w:r>
        <w:t>A. Interpretation – “R</w:t>
      </w:r>
      <w:r w:rsidR="00683D74">
        <w:t>egulation” is direct intervention requiring a legal mandate and the threat of sanctions</w:t>
      </w:r>
    </w:p>
    <w:p w:rsidR="00683D74" w:rsidRDefault="00683D74" w:rsidP="00683D74">
      <w:r w:rsidRPr="00832B41">
        <w:rPr>
          <w:rStyle w:val="Style13ptBold"/>
        </w:rPr>
        <w:t>Koop &amp; Lodge ‘17</w:t>
      </w:r>
      <w:r>
        <w:t xml:space="preserve"> [Christel Koop, , Lecturer in Political Economy, King’s College London, and Martin Lodge, Professor of Political Science and Public Policy in the Department of Government &amp; Centre for Analysis of Risk and Regulation at London School of Economics and Political Science, “What is Regulation? An Interdisciplinary Concept Analysis”, Regulation &amp; Governance, Volume 11, Issue 1, March 2017, Wiley Online Library, http://onlinelibrary.wiley.com/doi/10.1111/rego.12094/full]</w:t>
      </w:r>
    </w:p>
    <w:p w:rsidR="00683D74" w:rsidRDefault="00683D74" w:rsidP="00683D74">
      <w:r>
        <w:t>2.2 Scope and distinctiveness of the intervention</w:t>
      </w:r>
      <w:r>
        <w:br/>
        <w:t xml:space="preserve"> While regulation is viewed as a type of intervention, there is disagreement over what the scope of regulation is, with a particular focus on direct and indirect intervention. </w:t>
      </w:r>
      <w:r w:rsidRPr="00832B41">
        <w:rPr>
          <w:rStyle w:val="StyleUnderline"/>
        </w:rPr>
        <w:t>Authors often agree that regulation is about</w:t>
      </w:r>
      <w:r>
        <w:t xml:space="preserve"> </w:t>
      </w:r>
      <w:r w:rsidRPr="00832B41">
        <w:rPr>
          <w:rStyle w:val="Emphasis"/>
        </w:rPr>
        <w:t>direct intervention</w:t>
      </w:r>
      <w:r>
        <w:t xml:space="preserve">, which can be </w:t>
      </w:r>
      <w:r w:rsidRPr="00832B41">
        <w:rPr>
          <w:rStyle w:val="StyleUnderline"/>
        </w:rPr>
        <w:t>defined as the introduction and/or implementation of standards that directly apply to the target behavior or characteristics of a specified population</w:t>
      </w:r>
      <w:r>
        <w:t xml:space="preserve">. </w:t>
      </w:r>
      <w:r w:rsidRPr="00832B41">
        <w:rPr>
          <w:rStyle w:val="StyleUnderline"/>
        </w:rPr>
        <w:t>There is less agreement on whether regulation</w:t>
      </w:r>
      <w:r>
        <w:t xml:space="preserve"> also </w:t>
      </w:r>
      <w:r w:rsidRPr="00832B41">
        <w:rPr>
          <w:rStyle w:val="StyleUnderline"/>
        </w:rPr>
        <w:t>includes indirect intervention</w:t>
      </w:r>
      <w:r>
        <w:t xml:space="preserve"> – that is, the introduction and/or implementation of standards that apply to the context in which the target behavior or characteristics of a specified population are generated. This may include incentive-based tools, such as taxation, subsidization, and the imposition of disclosure requirements. It may also include the whole range of measures that are aimed at stabilizing capitalism – the focus of the French régulation literature (Boyer 2002).8 These narrow and broad conceptions are reflected in the distinction between regulation as “the promulgation of an authoritative set of rules” and as “all the efforts of state agencies to steer the economy” (Baldwin et al. 1998, p. 3). Whereas the former only includes direct intervention, the latter incorporates both direct and indirect forms of intervention. The authors indicate that </w:t>
      </w:r>
      <w:r w:rsidRPr="00832B41">
        <w:rPr>
          <w:rStyle w:val="StyleUnderline"/>
        </w:rPr>
        <w:t>if we use a broad conception</w:t>
      </w:r>
      <w:r>
        <w:t xml:space="preserve">, </w:t>
      </w:r>
      <w:r w:rsidRPr="00832B41">
        <w:rPr>
          <w:rStyle w:val="StyleUnderline"/>
        </w:rPr>
        <w:t xml:space="preserve">we can no longer view regulation as a distinctive form of governance </w:t>
      </w:r>
      <w:r>
        <w:t xml:space="preserve">(Baldwin et al. 1998, p. 4). The advantage is that “a variety of tools are considered as possible alternatives to traditional ‘command and control’ type regulation […] so that where rulemaking seems to be inappropriate as a means for achieving policy objectives, other tools may be used” (Baldwin et al. 1998, p. 3). A broad conception can, for instance, be found in the work of Breyer, who distinguishes between “classical regulation” – which is of a command-and-control nature – and “alternatives to classical regulation,” which include less restrictive interventions, such as taxation and the use of disclosure requirements (Breyer 1982, Ch. 8). For Breyer, distinguishing between “ ‘regulatory’ action” and “the entire realm of governmental activity” is both difficult and subject to controversy (1982, p. 7). Stigler (1971) and Mitnick (1980) also advance broad conceptions. Stigler uses the term regulation to refer to a range of policy instruments that can be used to affect business behavior, including market entry control, price setting, taxes, and tariffs (1971, pp. 3–6). Mitnick is primarily concerned with regulation as “the public administrative policing of a private activity with respect to a rule prescribed in the public interest” (1980, p. 7), but emphasizes that “it is possible to distinguish both directive and incentive means, e.g. administrative standards vs. effluent charges or subsidies as means or regulation” (1980, p. 6). According to Noll, however, such </w:t>
      </w:r>
      <w:r w:rsidRPr="00832B41">
        <w:rPr>
          <w:rStyle w:val="StyleUnderline"/>
        </w:rPr>
        <w:t>a broad conception makes scholars, government officials, and business people uncomfortable</w:t>
      </w:r>
      <w:r>
        <w:t xml:space="preserve"> (Noll 1980, p. 14). Emphasizing the importance of conceptual familiarity, Noll conceives regulation as only one of the methods that governments use to control private-sector economic activities (1985, p. 9). </w:t>
      </w:r>
      <w:r w:rsidRPr="00832B41">
        <w:rPr>
          <w:rStyle w:val="StyleUnderline"/>
        </w:rPr>
        <w:t>As “regulation is not just what regulators do, it is also how they do it,”</w:t>
      </w:r>
      <w:r>
        <w:t xml:space="preserve"> </w:t>
      </w:r>
      <w:r w:rsidRPr="00832B41">
        <w:rPr>
          <w:rStyle w:val="StyleUnderline"/>
        </w:rPr>
        <w:t xml:space="preserve">regulation is characterized by the role of administrative law and </w:t>
      </w:r>
      <w:r w:rsidRPr="00832B41">
        <w:rPr>
          <w:rStyle w:val="Emphasis"/>
        </w:rPr>
        <w:t>procedural rules</w:t>
      </w:r>
      <w:r>
        <w:t xml:space="preserve"> (Noll 1980, pp. 16–17). Hence, </w:t>
      </w:r>
      <w:r w:rsidRPr="00832B41">
        <w:rPr>
          <w:rStyle w:val="StyleUnderline"/>
        </w:rPr>
        <w:t>regulation is a method of control where a government agency is assigned the task of “writing rules constraining certain</w:t>
      </w:r>
      <w:r>
        <w:t xml:space="preserve"> kinds of private economic </w:t>
      </w:r>
      <w:r w:rsidRPr="00832B41">
        <w:rPr>
          <w:rStyle w:val="StyleUnderline"/>
        </w:rPr>
        <w:t>decisions, using a quasi-judicial administrative process</w:t>
      </w:r>
      <w:r>
        <w:t xml:space="preserve"> to develop these rules” (Noll 1985, p. 9). This view of regulation as a distinct mode of governance can also be found in other influential contributions. For example, Lowi argues that regulation – or regulatory policy – refers to a specific type of policy intervention that differs from other types. Policies vary on two main dimensions: (i) the form of the intended impact – that is, whether policies work through individual conduct or the environment of conduct – and (ii) the form of expressed intention – whether policies impose obligations or positions (primary rules) or confer powers or privileges (secondary rules) (1985, pp. 73–75).9 </w:t>
      </w:r>
      <w:r w:rsidRPr="00832B41">
        <w:rPr>
          <w:rStyle w:val="StyleUnderline"/>
        </w:rPr>
        <w:t>Regulatory policy involves primary rules which work through individual conduct, “where identities and questions of compliance and noncompliance must be involved”</w:t>
      </w:r>
      <w:r>
        <w:t xml:space="preserve"> (Lowi 1985, p. 73). Although the implementation of such policy may lead to an environment which is conducive of certain conduct, this is “a behavioral hypothesis about the political or societal impact and has nothing to do with the definition of the legal rule itself” (Lowi 1985, p. 73). While rejecting Lowi's suggestion that policy types can easily be separated, </w:t>
      </w:r>
      <w:r w:rsidRPr="00832B41">
        <w:rPr>
          <w:rStyle w:val="StyleUnderline"/>
        </w:rPr>
        <w:t xml:space="preserve">the more recent literature </w:t>
      </w:r>
      <w:r w:rsidRPr="00832B41">
        <w:t>on “regulatory governance”</w:t>
      </w:r>
      <w:r w:rsidRPr="00832B41">
        <w:rPr>
          <w:rStyle w:val="StyleUnderline"/>
        </w:rPr>
        <w:t xml:space="preserve"> emphasizes the difference between regulation and other modes of governance</w:t>
      </w:r>
      <w:r>
        <w:t xml:space="preserve"> (Braithwaite 2000; Levi-Faur 2005), where </w:t>
      </w:r>
      <w:r w:rsidRPr="00832B41">
        <w:rPr>
          <w:rStyle w:val="StyleUnderline"/>
        </w:rPr>
        <w:t>regulation is about “steering the flow of events and behavior, as opposed to providing and distributing”</w:t>
      </w:r>
      <w:r>
        <w:t xml:space="preserve"> (Braithwaite et al. 2007, p. 3; cf. Braithwaite 2008). At the same time, for Levi-Faur (2013, p. 30), the regulatory state, “the application of informal and formal rule making, rule monitoring, rule enforcement,” has to be understood as one “morph” that interacts with other “morphs” characterizing statehood, such as the redistributional welfare state (cf. Levi-Faur 2014). On the basis of this distinction, we may expect to find differences in terms of the political behavior of regulatory agencies and other types of government agencies (see Dunleavy 1991, Ch. 7). </w:t>
      </w:r>
      <w:r w:rsidRPr="00832B41">
        <w:rPr>
          <w:rStyle w:val="Emphasis"/>
        </w:rPr>
        <w:t>Narrow conceptions</w:t>
      </w:r>
      <w:r>
        <w:t xml:space="preserve"> often </w:t>
      </w:r>
      <w:r w:rsidRPr="00832B41">
        <w:rPr>
          <w:rStyle w:val="StyleUnderline"/>
        </w:rPr>
        <w:t>characterize regulation as constituting a</w:t>
      </w:r>
      <w:r>
        <w:t xml:space="preserve"> </w:t>
      </w:r>
      <w:r w:rsidRPr="00832B41">
        <w:rPr>
          <w:rStyle w:val="Emphasis"/>
        </w:rPr>
        <w:t>legal mandate</w:t>
      </w:r>
      <w:r>
        <w:t xml:space="preserve"> </w:t>
      </w:r>
      <w:r w:rsidRPr="00832B41">
        <w:rPr>
          <w:rStyle w:val="StyleUnderline"/>
        </w:rPr>
        <w:t>backed by the possibility of</w:t>
      </w:r>
      <w:r w:rsidRPr="00832B41">
        <w:rPr>
          <w:rStyle w:val="Emphasis"/>
        </w:rPr>
        <w:t xml:space="preserve"> sanctions</w:t>
      </w:r>
      <w:r>
        <w:t xml:space="preserve">. </w:t>
      </w:r>
      <w:r w:rsidRPr="00832B41">
        <w:rPr>
          <w:rStyle w:val="StyleUnderline"/>
        </w:rPr>
        <w:t>Some authors have further specified</w:t>
      </w:r>
      <w:r>
        <w:t xml:space="preserve"> the nature of this legal or official mandate. For Hood et al. (Hood et al. 1999, p. 8; Hood et al. 2004), </w:t>
      </w:r>
      <w:r w:rsidRPr="00832B41">
        <w:rPr>
          <w:rStyle w:val="StyleUnderline"/>
        </w:rPr>
        <w:t>regulation</w:t>
      </w:r>
      <w:r>
        <w:t xml:space="preserve"> involves a “control system” that </w:t>
      </w:r>
      <w:r w:rsidRPr="00832B41">
        <w:rPr>
          <w:rStyle w:val="StyleUnderline"/>
        </w:rPr>
        <w:t>requires</w:t>
      </w:r>
      <w:r>
        <w:t xml:space="preserve"> the existence (and functioning) of </w:t>
      </w:r>
      <w:r w:rsidRPr="00832B41">
        <w:rPr>
          <w:rStyle w:val="StyleUnderline"/>
        </w:rPr>
        <w:t>three components</w:t>
      </w:r>
      <w:r>
        <w:t xml:space="preserve">, namely </w:t>
      </w:r>
      <w:r w:rsidRPr="00832B41">
        <w:rPr>
          <w:rStyle w:val="Emphasis"/>
        </w:rPr>
        <w:t>standard-setting</w:t>
      </w:r>
      <w:r>
        <w:t xml:space="preserve"> (the statement of the desired state of the world), </w:t>
      </w:r>
      <w:r w:rsidRPr="00832B41">
        <w:rPr>
          <w:rStyle w:val="Emphasis"/>
        </w:rPr>
        <w:t>information-gathering</w:t>
      </w:r>
      <w:r>
        <w:t xml:space="preserve"> (the tools used to detect how the actual state of the world differs from the desired one), </w:t>
      </w:r>
      <w:r w:rsidRPr="00832B41">
        <w:rPr>
          <w:rStyle w:val="StyleUnderline"/>
        </w:rPr>
        <w:t xml:space="preserve">and </w:t>
      </w:r>
      <w:r w:rsidRPr="00832B41">
        <w:rPr>
          <w:rStyle w:val="Emphasis"/>
        </w:rPr>
        <w:t>behavior-modification</w:t>
      </w:r>
      <w:r>
        <w:t xml:space="preserve"> (the tools used to align actual with desired states of the world).10 These three components are also explicitly included in Black's aforementioned definition (2002, p. 26), and in texts that build on that definition, including Parker and Braithwaite (2005, p. 120), Morgan and Yeung (2007, p. 3), and Lodge and Wegrich (2012, pp. 12–16). Similarly, Levi-Faur defines regulation as “ex-ante bureaucratic legalisation of prescriptive rules and the monitoring and enforcement of these rules by social, business, and political actors on other social, business, and political actors (2011, p. 6).</w:t>
      </w:r>
    </w:p>
    <w:p w:rsidR="00683D74" w:rsidRDefault="00A76D15" w:rsidP="00A76D15">
      <w:pPr>
        <w:pStyle w:val="Heading4"/>
      </w:pPr>
      <w:r>
        <w:t>B. Violation – The affirmative does not include a legal mandate with binding standards or controls</w:t>
      </w:r>
    </w:p>
    <w:p w:rsidR="00A76D15" w:rsidRDefault="00A76D15" w:rsidP="00A76D15">
      <w:pPr>
        <w:pStyle w:val="Heading4"/>
      </w:pPr>
      <w:r>
        <w:t>C. Standards</w:t>
      </w:r>
    </w:p>
    <w:p w:rsidR="00A76D15" w:rsidRDefault="00A76D15" w:rsidP="006B37CF">
      <w:pPr>
        <w:pStyle w:val="Heading4"/>
        <w:ind w:left="720"/>
      </w:pPr>
      <w:r>
        <w:t xml:space="preserve">1) Limits </w:t>
      </w:r>
      <w:r w:rsidR="006B37CF">
        <w:t>–</w:t>
      </w:r>
      <w:r>
        <w:t xml:space="preserve"> </w:t>
      </w:r>
      <w:r w:rsidR="006B37CF">
        <w:t xml:space="preserve">They make any informal, minor change in guidance that alters education topical which explodes the research burden. The judge should err towards limiting the topic mechanisms since the range of education is so large. </w:t>
      </w:r>
    </w:p>
    <w:p w:rsidR="006B37CF" w:rsidRDefault="006B37CF" w:rsidP="006B37CF">
      <w:pPr>
        <w:pStyle w:val="Heading4"/>
      </w:pPr>
      <w:r>
        <w:tab/>
        <w:t xml:space="preserve">2) Ground – They avoid links to core negative strategies like the Federalism DA which makes debates favor the affirmative. </w:t>
      </w:r>
    </w:p>
    <w:p w:rsidR="006B37CF" w:rsidRDefault="006B37CF" w:rsidP="006B37CF">
      <w:pPr>
        <w:pStyle w:val="Heading4"/>
      </w:pPr>
      <w:r>
        <w:t>D. Voters – Vote negative to preserve education and fairness.</w:t>
      </w:r>
    </w:p>
    <w:p w:rsidR="0035593E" w:rsidRDefault="0035593E" w:rsidP="0035593E">
      <w:pPr>
        <w:pStyle w:val="Heading3"/>
      </w:pPr>
      <w:r>
        <w:t xml:space="preserve">2NC – </w:t>
      </w:r>
      <w:r w:rsidR="009F1B58">
        <w:t xml:space="preserve">Legal Mandate – Definitions </w:t>
      </w:r>
    </w:p>
    <w:p w:rsidR="0035593E" w:rsidRPr="0035593E" w:rsidRDefault="0035593E" w:rsidP="0035593E"/>
    <w:p w:rsidR="00A76D15" w:rsidRDefault="00A76D15" w:rsidP="00A76D15">
      <w:pPr>
        <w:pStyle w:val="Heading4"/>
      </w:pPr>
      <w:r>
        <w:t>The bright line is punishment for non-compliance</w:t>
      </w:r>
    </w:p>
    <w:p w:rsidR="00A76D15" w:rsidRDefault="00A76D15" w:rsidP="00A76D15">
      <w:r w:rsidRPr="00564180">
        <w:rPr>
          <w:rStyle w:val="Style13ptBold"/>
        </w:rPr>
        <w:t>Poutziouris ‘3</w:t>
      </w:r>
      <w:r>
        <w:t xml:space="preserve"> [Panikkos Poutziouris, Professor of Entrepreneurship and Family Business at the University of Central Lancashire, Cyprus, “Impact of Regulation on SMEs”, Environment and Planning C: Government and Policy, Volume 21, p. 475]</w:t>
      </w:r>
    </w:p>
    <w:p w:rsidR="00A76D15" w:rsidRDefault="00A76D15" w:rsidP="00655D38">
      <w:pPr>
        <w:rPr>
          <w:rStyle w:val="StyleUnderline"/>
        </w:rPr>
      </w:pPr>
      <w:r>
        <w:t>Defining regulation</w:t>
      </w:r>
      <w:r>
        <w:br/>
        <w:t xml:space="preserve"> Regulations relate to fiscal and tax issues, employment legislation, environmental policy, etc. The </w:t>
      </w:r>
      <w:r w:rsidRPr="00564180">
        <w:rPr>
          <w:rStyle w:val="StyleUnderline"/>
        </w:rPr>
        <w:t>OECD</w:t>
      </w:r>
      <w:r>
        <w:t xml:space="preserve"> (1994) </w:t>
      </w:r>
      <w:r w:rsidRPr="00564180">
        <w:rPr>
          <w:rStyle w:val="StyleUnderline"/>
        </w:rPr>
        <w:t>defines `regulation' as:</w:t>
      </w:r>
      <w:r>
        <w:t xml:space="preserve"> ``...</w:t>
      </w:r>
      <w:r w:rsidRPr="00564180">
        <w:rPr>
          <w:rStyle w:val="StyleUnderline"/>
        </w:rPr>
        <w:t>A set of `incentives' established</w:t>
      </w:r>
      <w:r>
        <w:t xml:space="preserve"> either </w:t>
      </w:r>
      <w:r w:rsidRPr="00564180">
        <w:rPr>
          <w:rStyle w:val="StyleUnderline"/>
        </w:rPr>
        <w:t>by the legislature, Government, or public administration that</w:t>
      </w:r>
      <w:r>
        <w:t xml:space="preserve"> mandates </w:t>
      </w:r>
      <w:r w:rsidRPr="0031026D">
        <w:rPr>
          <w:rStyle w:val="StyleUnderline"/>
        </w:rPr>
        <w:t>or prohibits actions</w:t>
      </w:r>
      <w:r>
        <w:t xml:space="preserve"> of citizens and enter- prises ... .</w:t>
      </w:r>
      <w:r w:rsidRPr="00564180">
        <w:rPr>
          <w:rStyle w:val="StyleUnderline"/>
        </w:rPr>
        <w:t xml:space="preserve">Regulations are supported by the </w:t>
      </w:r>
      <w:r w:rsidRPr="00564180">
        <w:rPr>
          <w:rStyle w:val="Emphasis"/>
        </w:rPr>
        <w:t>explicit threat</w:t>
      </w:r>
      <w:r>
        <w:t xml:space="preserve"> </w:t>
      </w:r>
      <w:r w:rsidRPr="00564180">
        <w:rPr>
          <w:rStyle w:val="StyleUnderline"/>
        </w:rPr>
        <w:t>of punishment for non-compliance.''</w:t>
      </w:r>
    </w:p>
    <w:p w:rsidR="00655D38" w:rsidRDefault="00655D38" w:rsidP="00655D38">
      <w:pPr>
        <w:pStyle w:val="Heading3"/>
      </w:pPr>
      <w:r w:rsidRPr="00655D38">
        <w:t>2NC – L</w:t>
      </w:r>
      <w:r w:rsidR="009F1B58">
        <w:t xml:space="preserve">egal Mandate – Limits </w:t>
      </w:r>
    </w:p>
    <w:p w:rsidR="00655D38" w:rsidRPr="00655D38" w:rsidRDefault="00655D38" w:rsidP="00655D38"/>
    <w:p w:rsidR="00655D38" w:rsidRDefault="00655D38" w:rsidP="00655D38">
      <w:pPr>
        <w:pStyle w:val="Heading4"/>
      </w:pPr>
      <w:r>
        <w:t>Broad definitions of “regulation” explodes the topic</w:t>
      </w:r>
    </w:p>
    <w:p w:rsidR="00655D38" w:rsidRPr="00B20083" w:rsidRDefault="00655D38" w:rsidP="00655D38">
      <w:r w:rsidRPr="00B20083">
        <w:rPr>
          <w:rStyle w:val="Style13ptBold"/>
        </w:rPr>
        <w:t xml:space="preserve">Luff </w:t>
      </w:r>
      <w:r>
        <w:rPr>
          <w:rStyle w:val="Style13ptBold"/>
        </w:rPr>
        <w:t>‘</w:t>
      </w:r>
      <w:r w:rsidRPr="00B20083">
        <w:rPr>
          <w:rStyle w:val="Style13ptBold"/>
        </w:rPr>
        <w:t xml:space="preserve">11 </w:t>
      </w:r>
      <w:r w:rsidRPr="00655D38">
        <w:t>[</w:t>
      </w:r>
      <w:r>
        <w:t>Patrick Luff, Visiting Professor of Law, Washington and Lee University School of Law; Candidate for D. Phil., University of Oxford, Faculty of Law; J.D., University of Michigan Law School, “Risk Regulation and Regulatory Litigation”, Rutgers Law Review, Fall, 64 Rutgers L. Rev. 73, Lexis]</w:t>
      </w:r>
    </w:p>
    <w:p w:rsidR="00655D38" w:rsidRDefault="00655D38" w:rsidP="00655D38">
      <w:r>
        <w:t>A. Difficulties in Defining Regulation</w:t>
      </w:r>
    </w:p>
    <w:p w:rsidR="00655D38" w:rsidRDefault="00655D38" w:rsidP="00655D38">
      <w:r w:rsidRPr="00655D38">
        <w:t xml:space="preserve">The label of </w:t>
      </w:r>
      <w:r w:rsidRPr="00655D38">
        <w:rPr>
          <w:rStyle w:val="Emphasis"/>
        </w:rPr>
        <w:t>"regulation"</w:t>
      </w:r>
      <w:r w:rsidRPr="00655D38">
        <w:t xml:space="preserve"> </w:t>
      </w:r>
      <w:r w:rsidRPr="00655D38">
        <w:rPr>
          <w:rStyle w:val="StyleUnderline"/>
        </w:rPr>
        <w:t>can be applied to a wide spectrum of</w:t>
      </w:r>
      <w:r w:rsidRPr="00655D38">
        <w:t xml:space="preserve"> governmental and private </w:t>
      </w:r>
      <w:r w:rsidRPr="00655D38">
        <w:rPr>
          <w:rStyle w:val="StyleUnderline"/>
        </w:rPr>
        <w:t>activity</w:t>
      </w:r>
      <w:r w:rsidRPr="00655D38">
        <w:t xml:space="preserve">. </w:t>
      </w:r>
      <w:r w:rsidRPr="00655D38">
        <w:rPr>
          <w:rStyle w:val="StyleUnderline"/>
        </w:rPr>
        <w:t>Definitions of regulation in the wider field</w:t>
      </w:r>
      <w:r w:rsidRPr="00655D38">
        <w:t xml:space="preserve"> of regulatory theory </w:t>
      </w:r>
      <w:r w:rsidRPr="00655D38">
        <w:rPr>
          <w:rStyle w:val="StyleUnderline"/>
        </w:rPr>
        <w:t xml:space="preserve">have spanned the gamut </w:t>
      </w:r>
      <w:r w:rsidRPr="00655D38">
        <w:t xml:space="preserve">from state-sponsored efforts to command and control individual behavior through the use of targeted rules n63 to any form of social control, regardless of the actors involved. n64 A narrow definition of regulation might be some formulation along the lines of "any governmental effort to control behavior by other entities, including business firms, subordinate levels of government, or individuals." n65 </w:t>
      </w:r>
      <w:r w:rsidRPr="00655D38">
        <w:rPr>
          <w:rStyle w:val="StyleUnderline"/>
        </w:rPr>
        <w:t>We might therefore take as our starting-point definition of regulation some variation of the following:</w:t>
      </w:r>
      <w:r w:rsidRPr="00655D38">
        <w:t xml:space="preserve"> </w:t>
      </w:r>
      <w:r w:rsidRPr="00655D38">
        <w:rPr>
          <w:rStyle w:val="StyleUnderline"/>
        </w:rPr>
        <w:t xml:space="preserve">"the promulgation of an authoritative set of rules, accompanied by some mechanism, typically a public agency, for monitoring and promoting </w:t>
      </w:r>
      <w:r w:rsidRPr="00655D38">
        <w:rPr>
          <w:rStyle w:val="Emphasis"/>
        </w:rPr>
        <w:t>compliance</w:t>
      </w:r>
      <w:r w:rsidRPr="00655D38">
        <w:rPr>
          <w:rStyle w:val="StyleUnderline"/>
        </w:rPr>
        <w:t xml:space="preserve"> with these rules."</w:t>
      </w:r>
      <w:r w:rsidRPr="00655D38">
        <w:t xml:space="preserve"> n66 </w:t>
      </w:r>
      <w:r w:rsidRPr="00655D38">
        <w:rPr>
          <w:rStyle w:val="StyleUnderline"/>
        </w:rPr>
        <w:t xml:space="preserve">This </w:t>
      </w:r>
      <w:r w:rsidRPr="00655D38">
        <w:t xml:space="preserve">basic definition </w:t>
      </w:r>
      <w:r w:rsidRPr="00655D38">
        <w:rPr>
          <w:rStyle w:val="StyleUnderline"/>
        </w:rPr>
        <w:t>places the locus of behavioral changes squarely within the state</w:t>
      </w:r>
      <w:r w:rsidRPr="00655D38">
        <w:t xml:space="preserve"> </w:t>
      </w:r>
      <w:r w:rsidRPr="00655D38">
        <w:rPr>
          <w:rStyle w:val="StyleUnderline"/>
        </w:rPr>
        <w:t>by presenting the set of rules as</w:t>
      </w:r>
      <w:r w:rsidRPr="00655D38">
        <w:t xml:space="preserve"> </w:t>
      </w:r>
      <w:r w:rsidRPr="00655D38">
        <w:rPr>
          <w:rStyle w:val="Emphasis"/>
        </w:rPr>
        <w:t>authoritative.</w:t>
      </w:r>
      <w:r w:rsidRPr="00655D38">
        <w:t xml:space="preserve"> n67 We </w:t>
      </w:r>
      <w:r w:rsidRPr="00655D38">
        <w:rPr>
          <w:rStyle w:val="StyleUnderline"/>
        </w:rPr>
        <w:t>might modify this basic formulation</w:t>
      </w:r>
      <w:r w:rsidRPr="00655D38">
        <w:t xml:space="preserve"> by adding the phrase "by federal administrative agencies that govern interstate economic behavior" </w:t>
      </w:r>
      <w:r w:rsidRPr="00655D38">
        <w:rPr>
          <w:rStyle w:val="StyleUnderline"/>
        </w:rPr>
        <w:t>to restrict our definition</w:t>
      </w:r>
      <w:r w:rsidRPr="00655D38">
        <w:t xml:space="preserve"> to those governmental activities relating to agency regulation of interstate commerce, n68 based on the observation that "[governmental] capacity is not exhausted by the actions of state</w:t>
      </w:r>
      <w:r>
        <w:t xml:space="preserve"> </w:t>
      </w:r>
      <w:r w:rsidRPr="00655D38">
        <w:t>[*90]</w:t>
      </w:r>
      <w:r>
        <w:t xml:space="preserve"> </w:t>
      </w:r>
      <w:r w:rsidRPr="00655D38">
        <w:t xml:space="preserve">personnel or the expenditure of state resources" n69 and </w:t>
      </w:r>
      <w:r w:rsidRPr="00655D38">
        <w:rPr>
          <w:rStyle w:val="StyleUnderline"/>
        </w:rPr>
        <w:t>a desire to limit the scope of what we consider to be regulation</w:t>
      </w:r>
      <w:r w:rsidRPr="00655D38">
        <w:t>. Under either formulation, however, the definition seems deficient because the words "monitoring" and "compliance" limit the world of regulation to restriction n70 and "an important aspect of regulation may be enablement - the creation not merely of incentives but those conditions that allow activities to take place," such as radio-frequency allocation. n71 Moreover, these definitions ignore governmental attempts to influence behavior by encouraging desired behavior, such as tax credits for first-time home buyers, n72 rather than deterring undesired behavior.</w:t>
      </w:r>
      <w:r>
        <w:t xml:space="preserve"> </w:t>
      </w:r>
      <w:r w:rsidRPr="00655D38">
        <w:t xml:space="preserve">However, "it has become widely accepted that regulation can be carried out by numerous mechanisms other than those commonly typified as "command and control.' Thus, scholars of regulation will see emissions trading mechanisms or "name and shame' devices as being well within the province of their concerns." n73 These latter conceptions of regulation draw into its definition attempts at social control coming from nonstate actors. n74 In light of this realization, we might therefore want to broaden our definition of regulation. </w:t>
      </w:r>
      <w:r w:rsidRPr="00655D38">
        <w:rPr>
          <w:rStyle w:val="StyleUnderline"/>
        </w:rPr>
        <w:t>It is tempting say that regulation is simply "the promulgation of some set of norms, with the purpose of influencing behavior."</w:t>
      </w:r>
      <w:r w:rsidRPr="00655D38">
        <w:t xml:space="preserve"> </w:t>
      </w:r>
      <w:r w:rsidRPr="00655D38">
        <w:rPr>
          <w:rStyle w:val="StyleUnderline"/>
        </w:rPr>
        <w:t>This revision captures a wide range of circumstances</w:t>
      </w:r>
      <w:r w:rsidRPr="00655D38">
        <w:t xml:space="preserve"> that can be thought of as regulation. </w:t>
      </w:r>
      <w:r w:rsidRPr="00655D38">
        <w:rPr>
          <w:rStyle w:val="StyleUnderline"/>
        </w:rPr>
        <w:t>It captures not just rules</w:t>
      </w:r>
      <w:r w:rsidRPr="00655D38">
        <w:t xml:space="preserve"> (governmental expressions of norms with legal consequences) </w:t>
      </w:r>
      <w:r w:rsidRPr="00655D38">
        <w:rPr>
          <w:rStyle w:val="StyleUnderline"/>
        </w:rPr>
        <w:t xml:space="preserve">but also </w:t>
      </w:r>
      <w:r w:rsidRPr="00655D38">
        <w:t xml:space="preserve">trade </w:t>
      </w:r>
      <w:r w:rsidRPr="0031026D">
        <w:rPr>
          <w:rStyle w:val="StyleUnderline"/>
        </w:rPr>
        <w:t>union actions, parenting, peer pressure</w:t>
      </w:r>
      <w:r w:rsidRPr="00655D38">
        <w:t xml:space="preserve">, </w:t>
      </w:r>
      <w:r w:rsidRPr="00655D38">
        <w:rPr>
          <w:rStyle w:val="StyleUnderline"/>
        </w:rPr>
        <w:t>and a</w:t>
      </w:r>
      <w:r w:rsidRPr="00655D38">
        <w:t xml:space="preserve"> seemingly </w:t>
      </w:r>
      <w:r w:rsidRPr="00655D38">
        <w:rPr>
          <w:rStyle w:val="Emphasis"/>
        </w:rPr>
        <w:t>endless list</w:t>
      </w:r>
      <w:r w:rsidRPr="00655D38">
        <w:t xml:space="preserve"> </w:t>
      </w:r>
      <w:r w:rsidRPr="00655D38">
        <w:rPr>
          <w:rStyle w:val="StyleUnderline"/>
        </w:rPr>
        <w:t>of other activities.</w:t>
      </w:r>
      <w:r w:rsidRPr="00655D38">
        <w:t xml:space="preserve"> </w:t>
      </w:r>
      <w:r w:rsidRPr="00655D38">
        <w:rPr>
          <w:rStyle w:val="StyleUnderline"/>
        </w:rPr>
        <w:t>Note that "authoritative set of rules" is omitted, which allows us to conceive of regulation that occurs through the acts of nonstate actors</w:t>
      </w:r>
      <w:r w:rsidRPr="00655D38">
        <w:t>. But note also that this definition of regulation ignores both facilitative regulation and regulation that is meant to encourage activity. n75</w:t>
      </w:r>
    </w:p>
    <w:p w:rsidR="00655D38" w:rsidRDefault="00655D38" w:rsidP="00655D38">
      <w:pPr>
        <w:pStyle w:val="Heading3"/>
      </w:pPr>
      <w:r>
        <w:t xml:space="preserve">2NC – </w:t>
      </w:r>
      <w:r w:rsidR="009F1B58">
        <w:t xml:space="preserve">Legal Mandate – Precision </w:t>
      </w:r>
    </w:p>
    <w:p w:rsidR="00655D38" w:rsidRPr="00655D38" w:rsidRDefault="00655D38" w:rsidP="00655D38"/>
    <w:p w:rsidR="00655D38" w:rsidRDefault="00655D38" w:rsidP="00655D38">
      <w:pPr>
        <w:pStyle w:val="Heading4"/>
      </w:pPr>
      <w:r>
        <w:t>They conflate “regulation” with governance which undermines precision</w:t>
      </w:r>
    </w:p>
    <w:p w:rsidR="00655D38" w:rsidRDefault="00655D38" w:rsidP="00655D38">
      <w:r w:rsidRPr="00832B41">
        <w:rPr>
          <w:rStyle w:val="Style13ptBold"/>
        </w:rPr>
        <w:t>Koop &amp; Lodge ‘17</w:t>
      </w:r>
      <w:r>
        <w:t xml:space="preserve"> [Christel Koop, , Lecturer in Political Economy, King’s College London, and Martin Lodge, Professor of Political Science and Public Policy in the Department of Government &amp; Centre for Analysis of Risk and Regulation at London School of Economics and Political Science, “What is Regulation? An Interdisciplinary Concept Analysis”, Regulation &amp; Governance, Volume 11, Issue 1, March 2017, Wiley Online Library, http://onlinelibrary.wiley.com/doi/10.1111/rego.12094/full]</w:t>
      </w:r>
    </w:p>
    <w:p w:rsidR="00655D38" w:rsidRDefault="00655D38" w:rsidP="006B39C6">
      <w:pPr>
        <w:rPr>
          <w:rStyle w:val="StyleUnderline"/>
        </w:rPr>
      </w:pPr>
      <w:r>
        <w:t>5 Discussion</w:t>
      </w:r>
      <w:r w:rsidR="006B39C6">
        <w:t xml:space="preserve"> </w:t>
      </w:r>
      <w:r w:rsidRPr="006B39C6">
        <w:t xml:space="preserve">What can we now say about the concept? As noted, most articles in our sample did not explicitly define regulation. </w:t>
      </w:r>
      <w:r w:rsidRPr="006B39C6">
        <w:rPr>
          <w:rStyle w:val="StyleUnderline"/>
        </w:rPr>
        <w:t>Our study has</w:t>
      </w:r>
      <w:r w:rsidRPr="006B39C6">
        <w:t xml:space="preserve">, therefore, </w:t>
      </w:r>
      <w:r w:rsidRPr="006B39C6">
        <w:rPr>
          <w:rStyle w:val="StyleUnderline"/>
        </w:rPr>
        <w:t xml:space="preserve">relied on a process of careful reading, coding, and </w:t>
      </w:r>
      <w:r w:rsidRPr="006B39C6">
        <w:rPr>
          <w:rStyle w:val="Emphasis"/>
        </w:rPr>
        <w:t>comparing</w:t>
      </w:r>
      <w:r w:rsidRPr="006B39C6">
        <w:t>. Although there are many “maybe” answers, some features stand out. First, regulation is seen as an intentional form of intervention by public-sector actors in economic activities. Private-sector regulators and non-economic activities feature less prominently but still attract attention. Far less attention is paid to public regulatees; hardly any attention is attributed to whether regulation requires organizational separation of regulator and regulatee. Finally, no major disciplinary differences are observed in the way regulation is conceptualized.</w:t>
      </w:r>
      <w:r w:rsidR="006B39C6">
        <w:t xml:space="preserve"> </w:t>
      </w:r>
      <w:r w:rsidRPr="006B39C6">
        <w:t xml:space="preserve">Depending on how much importance we wish to attribute to the main concerns of the articles we assessed, </w:t>
      </w:r>
      <w:r w:rsidRPr="006B39C6">
        <w:rPr>
          <w:rStyle w:val="StyleUnderline"/>
        </w:rPr>
        <w:t>we can distinguish two types of definitions that cut across disciplines</w:t>
      </w:r>
      <w:r w:rsidRPr="006B39C6">
        <w:t xml:space="preserve"> – an </w:t>
      </w:r>
      <w:r w:rsidRPr="006B39C6">
        <w:rPr>
          <w:rStyle w:val="Emphasis"/>
        </w:rPr>
        <w:t>essence-based</w:t>
      </w:r>
      <w:r w:rsidRPr="006B39C6">
        <w:t xml:space="preserve"> </w:t>
      </w:r>
      <w:r w:rsidRPr="006B39C6">
        <w:rPr>
          <w:rStyle w:val="StyleUnderline"/>
        </w:rPr>
        <w:t xml:space="preserve">and </w:t>
      </w:r>
      <w:r w:rsidRPr="006B39C6">
        <w:t xml:space="preserve">a </w:t>
      </w:r>
      <w:r w:rsidRPr="006B39C6">
        <w:rPr>
          <w:rStyle w:val="Emphasis"/>
        </w:rPr>
        <w:t>pattern-based</w:t>
      </w:r>
      <w:r w:rsidRPr="006B39C6">
        <w:t xml:space="preserve"> definition of regulation. These definitions are not meant to resolve debates once and for all, but they give insight into the conceptualization of regulation in the literature. First, an essence-based definition aims to capture the minimal essence of the concept. It is a classical definition in the sense that it includes – and solely includes – those elements without which regulation loses its identity; that is, those elements that need to be present for a phenomenon to qualify as regulation (Collier &amp; Mahon Jr. 1993). In our study, it excludes those elements that scholars have explicitly excluded from regulation, while incorporating those where the balance is toward inclusion. Accordingly, regulation can be defined as the intentional intervention in the activities of a target population. The intervention, which this definition refers to, can be direct and/or indirect, the activities can be economic and/or non-economic, the regulator may be a public-sector or private-sector actor, and the regulatee may equally be a public-sector or private-sector actor.</w:t>
      </w:r>
      <w:r w:rsidR="006B39C6">
        <w:t xml:space="preserve"> </w:t>
      </w:r>
      <w:r w:rsidRPr="006B39C6">
        <w:t xml:space="preserve">This definition allows us to distinguish between instances of regulation and instances that do not fall into that category – primarily, instances of non-intentional intervention and instances where no intervention is involved. However, </w:t>
      </w:r>
      <w:r w:rsidRPr="006B39C6">
        <w:rPr>
          <w:rStyle w:val="StyleUnderline"/>
        </w:rPr>
        <w:t>the minimal definition leads to a</w:t>
      </w:r>
      <w:r w:rsidRPr="006B39C6">
        <w:t xml:space="preserve"> rather </w:t>
      </w:r>
      <w:r w:rsidRPr="006B39C6">
        <w:rPr>
          <w:rStyle w:val="Emphasis"/>
        </w:rPr>
        <w:t>broad</w:t>
      </w:r>
      <w:r w:rsidRPr="006B39C6">
        <w:t xml:space="preserve"> </w:t>
      </w:r>
      <w:r w:rsidRPr="006B39C6">
        <w:rPr>
          <w:rStyle w:val="StyleUnderline"/>
        </w:rPr>
        <w:t>conception of regulation</w:t>
      </w:r>
      <w:r w:rsidRPr="006B39C6">
        <w:t xml:space="preserve">, </w:t>
      </w:r>
      <w:r w:rsidRPr="006B39C6">
        <w:rPr>
          <w:rStyle w:val="StyleUnderline"/>
        </w:rPr>
        <w:t>which makes it hard to distinguish it from the concept of policy</w:t>
      </w:r>
      <w:r w:rsidRPr="006B39C6">
        <w:t>. The latter has, for instance, been defined as “intentional action by actors who are most interested in achieving policy outcomes” (Scharpf 1997, p. 36).</w:t>
      </w:r>
      <w:r w:rsidRPr="006B39C6">
        <w:rPr>
          <w:rStyle w:val="StyleUnderline"/>
        </w:rPr>
        <w:t xml:space="preserve"> Defined broadly</w:t>
      </w:r>
      <w:r w:rsidRPr="006B39C6">
        <w:t xml:space="preserve">, </w:t>
      </w:r>
      <w:r w:rsidRPr="006B39C6">
        <w:rPr>
          <w:rStyle w:val="StyleUnderline"/>
        </w:rPr>
        <w:t>regulation may seem to be little more than a substitute for policy</w:t>
      </w:r>
      <w:r w:rsidRPr="006B39C6">
        <w:t xml:space="preserve">. </w:t>
      </w:r>
      <w:r w:rsidRPr="006B39C6">
        <w:rPr>
          <w:rStyle w:val="StyleUnderline"/>
        </w:rPr>
        <w:t>Similarly, regulation may resemble the concept of governance</w:t>
      </w:r>
      <w:r w:rsidRPr="006B39C6">
        <w:t xml:space="preserve">: the essence-based definition does not allow us to regard regulation – and regulatory governance – as a subcategory of governance (see Braithwaite et al. 2007). We should perhaps not be surprised to find that </w:t>
      </w:r>
      <w:r w:rsidRPr="006B39C6">
        <w:rPr>
          <w:rStyle w:val="StyleUnderline"/>
        </w:rPr>
        <w:t xml:space="preserve">a classical definition is characterized by a high level of </w:t>
      </w:r>
      <w:r w:rsidRPr="006B39C6">
        <w:rPr>
          <w:rStyle w:val="Emphasis"/>
        </w:rPr>
        <w:t>abstraction</w:t>
      </w:r>
      <w:r w:rsidRPr="006B39C6">
        <w:t>: if the literature has an interest in a wide range of manifestations of a phenomenon called regulation, there can only be agreement on a limited set of constitutive conceptual elements. As Sartori (1970) emphasizes, increases in the number of referents and decreases in the number of elements go hand in hand.</w:t>
      </w:r>
      <w:r w:rsidR="006B39C6">
        <w:t xml:space="preserve"> </w:t>
      </w:r>
      <w:r w:rsidRPr="006B39C6">
        <w:rPr>
          <w:rStyle w:val="StyleUnderline"/>
        </w:rPr>
        <w:t>Accepting that regulation has a wide range of referents is not to say that all referents are equally prominent</w:t>
      </w:r>
      <w:r w:rsidRPr="006B39C6">
        <w:t xml:space="preserve">. </w:t>
      </w:r>
      <w:r w:rsidRPr="006B39C6">
        <w:rPr>
          <w:rStyle w:val="StyleUnderline"/>
        </w:rPr>
        <w:t xml:space="preserve">Our </w:t>
      </w:r>
      <w:r w:rsidRPr="006B39C6">
        <w:rPr>
          <w:rStyle w:val="Emphasis"/>
        </w:rPr>
        <w:t>pattern-based definition</w:t>
      </w:r>
      <w:r w:rsidRPr="006B39C6">
        <w:t xml:space="preserve"> </w:t>
      </w:r>
      <w:r w:rsidRPr="006B39C6">
        <w:rPr>
          <w:rStyle w:val="StyleUnderline"/>
        </w:rPr>
        <w:t>is not less inclusive than the essence-based one, but it gives insight into the manifestations which regulation scholars are mainly concerned with, and which we consider more central</w:t>
      </w:r>
      <w:r w:rsidRPr="006B39C6">
        <w:t xml:space="preserve"> to the concept. Attributing more importance to the variation in emphasis of studies, </w:t>
      </w:r>
      <w:r w:rsidRPr="006B39C6">
        <w:rPr>
          <w:rStyle w:val="StyleUnderline"/>
        </w:rPr>
        <w:t>regulation can be defined as intentional intervention in the activities of a target population, where the intervention is</w:t>
      </w:r>
      <w:r w:rsidRPr="006B39C6">
        <w:t xml:space="preserve"> typically </w:t>
      </w:r>
      <w:r w:rsidRPr="006B39C6">
        <w:rPr>
          <w:rStyle w:val="StyleUnderline"/>
        </w:rPr>
        <w:t>direct – involving binding standard-setting, monitoring, and sanctioning – and exercised by public-sector actors</w:t>
      </w:r>
      <w:r w:rsidRPr="006B39C6">
        <w:t xml:space="preserve"> </w:t>
      </w:r>
      <w:r w:rsidRPr="006B39C6">
        <w:rPr>
          <w:rStyle w:val="StyleUnderline"/>
        </w:rPr>
        <w:t>on the economic activities of private-sector actors.</w:t>
      </w:r>
    </w:p>
    <w:p w:rsidR="00AB02CF" w:rsidRPr="006B39C6" w:rsidRDefault="00AB02CF" w:rsidP="00AB02CF">
      <w:pPr>
        <w:pStyle w:val="Heading3"/>
      </w:pPr>
      <w:r>
        <w:t xml:space="preserve">2AC – Legal Mandate – C/I </w:t>
      </w:r>
    </w:p>
    <w:p w:rsidR="00A76D15" w:rsidRPr="00564180" w:rsidRDefault="00A76D15" w:rsidP="00A76D15"/>
    <w:p w:rsidR="00AB02CF" w:rsidRDefault="00AB02CF" w:rsidP="00AB02CF">
      <w:pPr>
        <w:pStyle w:val="Heading4"/>
      </w:pPr>
      <w:r>
        <w:t xml:space="preserve"> “Regulations” are standards that influence</w:t>
      </w:r>
      <w:r w:rsidRPr="00E04D36">
        <w:t xml:space="preserve"> conduct</w:t>
      </w:r>
    </w:p>
    <w:p w:rsidR="00AB02CF" w:rsidRDefault="00AB02CF" w:rsidP="00AB02CF">
      <w:r w:rsidRPr="0038480B">
        <w:rPr>
          <w:rStyle w:val="Style13ptBold"/>
        </w:rPr>
        <w:t xml:space="preserve">Orbach 12 </w:t>
      </w:r>
      <w:r w:rsidRPr="00E04D36">
        <w:t>[</w:t>
      </w:r>
      <w:r>
        <w:t>Barak Orbach, Professor of Law at the University of Arizona College of Law, “What Is Regulation?”, Yale Journal on Regulation, http://yalejreg.com/what-is-regulation/]</w:t>
      </w:r>
    </w:p>
    <w:p w:rsidR="00AB02CF" w:rsidRPr="00E04D36" w:rsidRDefault="00AB02CF" w:rsidP="00AB02CF">
      <w:r w:rsidRPr="00E04D36">
        <w:rPr>
          <w:rStyle w:val="StyleUnderline"/>
        </w:rPr>
        <w:t>The legal concept of</w:t>
      </w:r>
      <w:r w:rsidRPr="00E04D36">
        <w:t xml:space="preserve"> </w:t>
      </w:r>
      <w:r w:rsidRPr="0031026D">
        <w:rPr>
          <w:rStyle w:val="StyleUnderline"/>
        </w:rPr>
        <w:t>“regulation”</w:t>
      </w:r>
      <w:r w:rsidRPr="00E04D36">
        <w:t xml:space="preserve"> </w:t>
      </w:r>
      <w:r w:rsidRPr="00E04D36">
        <w:rPr>
          <w:rStyle w:val="StyleUnderline"/>
        </w:rPr>
        <w:t xml:space="preserve">is </w:t>
      </w:r>
      <w:r w:rsidRPr="00E04D36">
        <w:t xml:space="preserve">often </w:t>
      </w:r>
      <w:r w:rsidRPr="00E04D36">
        <w:rPr>
          <w:rStyle w:val="StyleUnderline"/>
        </w:rPr>
        <w:t>perceived as control or constraint</w:t>
      </w:r>
      <w:r w:rsidRPr="00E04D36">
        <w:t xml:space="preserve">. For example, the definitive legal dictionary, </w:t>
      </w:r>
      <w:r w:rsidRPr="00E04D36">
        <w:rPr>
          <w:rStyle w:val="StyleUnderline"/>
        </w:rPr>
        <w:t>Black’s Law Dictionary</w:t>
      </w:r>
      <w:r w:rsidRPr="00E04D36">
        <w:t xml:space="preserve">, </w:t>
      </w:r>
      <w:r w:rsidRPr="00E04D36">
        <w:rPr>
          <w:rStyle w:val="StyleUnderline"/>
        </w:rPr>
        <w:t>defines “regulation” as “the act or process of controlling by rule or restriction.”</w:t>
      </w:r>
      <w:r w:rsidRPr="00E04D36">
        <w:t>11 Similarly, The Oxford English Dictionary defines “regulation” as “the action or fact of regulating,” and “to regulate” as “to control, govern, or direct.”12 To many people, “control” connotes “restrictions,” although control may have other meanings.</w:t>
      </w:r>
    </w:p>
    <w:p w:rsidR="00AB02CF" w:rsidRPr="00E04D36" w:rsidRDefault="00AB02CF" w:rsidP="00AB02CF">
      <w:r w:rsidRPr="00E04D36">
        <w:rPr>
          <w:rStyle w:val="StyleUnderline"/>
        </w:rPr>
        <w:t>Regulation often imposes no restrictions</w:t>
      </w:r>
      <w:r w:rsidRPr="00E04D36">
        <w:t xml:space="preserve">, </w:t>
      </w:r>
      <w:r w:rsidRPr="00E04D36">
        <w:rPr>
          <w:rStyle w:val="StyleUnderline"/>
        </w:rPr>
        <w:t>but enables, facilitates, or</w:t>
      </w:r>
      <w:r w:rsidRPr="00E04D36">
        <w:t xml:space="preserve"> </w:t>
      </w:r>
      <w:r w:rsidRPr="00E04D36">
        <w:rPr>
          <w:rStyle w:val="Emphasis"/>
        </w:rPr>
        <w:t>adjusts</w:t>
      </w:r>
      <w:r w:rsidRPr="00E04D36">
        <w:t xml:space="preserve"> </w:t>
      </w:r>
      <w:r w:rsidRPr="00E04D36">
        <w:rPr>
          <w:rStyle w:val="StyleUnderline"/>
        </w:rPr>
        <w:t>activities</w:t>
      </w:r>
      <w:r w:rsidRPr="00E04D36">
        <w:t xml:space="preserve">, </w:t>
      </w:r>
      <w:r w:rsidRPr="00E04D36">
        <w:rPr>
          <w:rStyle w:val="Emphasis"/>
        </w:rPr>
        <w:t>with no restrictions</w:t>
      </w:r>
      <w:r w:rsidRPr="00E04D36">
        <w:rPr>
          <w:rStyle w:val="StyleUnderline"/>
        </w:rPr>
        <w:t>. Examples of such regulations include</w:t>
      </w:r>
      <w:r w:rsidRPr="00E04D36">
        <w:t xml:space="preserve"> the supply of roads, health and emergency services, </w:t>
      </w:r>
      <w:r w:rsidRPr="00E04D36">
        <w:rPr>
          <w:rStyle w:val="Emphasis"/>
        </w:rPr>
        <w:t xml:space="preserve">public education </w:t>
      </w:r>
      <w:r w:rsidRPr="00E04D36">
        <w:t xml:space="preserve">and public libraries, welfare benefits, reliefs to victims of natural disasters and bailouts to failed institutions. </w:t>
      </w:r>
      <w:r w:rsidRPr="00E04D36">
        <w:rPr>
          <w:rStyle w:val="StyleUnderline"/>
        </w:rPr>
        <w:t>Such services directly influence</w:t>
      </w:r>
      <w:r w:rsidRPr="00E04D36">
        <w:t xml:space="preserve"> (or “adjust”) </w:t>
      </w:r>
      <w:r w:rsidRPr="00E04D36">
        <w:rPr>
          <w:rStyle w:val="StyleUnderline"/>
        </w:rPr>
        <w:t>conduct of individuals and firms</w:t>
      </w:r>
      <w:r w:rsidRPr="00E04D36">
        <w:t>. In the abstract, all government actions supposedly influence conduct of individuals and firms, but not necessarily directly. For example, activities related to national defense and foreign policy tend to have only indirect influence on conduct of individuals and firms.13</w:t>
      </w:r>
    </w:p>
    <w:p w:rsidR="00AB02CF" w:rsidRPr="00E04D36" w:rsidRDefault="00AB02CF" w:rsidP="00AB02CF"/>
    <w:p w:rsidR="00AB02CF" w:rsidRDefault="00AB02CF" w:rsidP="00AB02CF">
      <w:pPr>
        <w:pStyle w:val="Heading4"/>
      </w:pPr>
      <w:r>
        <w:t xml:space="preserve"> “Regulation” includes influence and guidance</w:t>
      </w:r>
    </w:p>
    <w:p w:rsidR="00AB02CF" w:rsidRPr="00FB1CE6" w:rsidRDefault="00AB02CF" w:rsidP="00AB02CF">
      <w:r w:rsidRPr="00FB1CE6">
        <w:rPr>
          <w:rStyle w:val="Style13ptBold"/>
        </w:rPr>
        <w:t xml:space="preserve">Krajewski </w:t>
      </w:r>
      <w:r>
        <w:rPr>
          <w:rStyle w:val="Style13ptBold"/>
        </w:rPr>
        <w:t>‘</w:t>
      </w:r>
      <w:r w:rsidRPr="00FB1CE6">
        <w:rPr>
          <w:rStyle w:val="Style13ptBold"/>
        </w:rPr>
        <w:t xml:space="preserve">3 </w:t>
      </w:r>
      <w:r w:rsidRPr="002848A9">
        <w:t>[</w:t>
      </w:r>
      <w:r>
        <w:t>Markus Krajewski, Associate Professor of Media History of Science at the Faculty of Media at Bauhaus University Weimar, National Regulation and Trade Liberalization In Services : The Legal Impact of the General Agreement on Trade in Services (GATS) on National Regulatory Autonomy, p. 4]</w:t>
      </w:r>
    </w:p>
    <w:p w:rsidR="00AB02CF" w:rsidRPr="002848A9" w:rsidRDefault="00AB02CF" w:rsidP="00AB02CF">
      <w:r w:rsidRPr="002848A9">
        <w:t xml:space="preserve">More fundamentally, in some situations regulation enhances all choices or even enables choice in the lira place, for example, a market economy cannot function without the provision of a legal or monetary system or without basic infrastructure. Unless the law defines and allocates property rights, exchange activities are not possible. As JtinJit points out. an understanding of regulation can be based on the notion that "regulation could be designed to enable and assure the existence of a market rather than to impede its natural operation".12 </w:t>
      </w:r>
      <w:r w:rsidRPr="002848A9">
        <w:rPr>
          <w:rStyle w:val="StyleUnderline"/>
        </w:rPr>
        <w:t>A definition of</w:t>
      </w:r>
      <w:r w:rsidRPr="002848A9">
        <w:t xml:space="preserve"> </w:t>
      </w:r>
      <w:r w:rsidRPr="0031026D">
        <w:rPr>
          <w:rStyle w:val="StyleUnderline"/>
        </w:rPr>
        <w:t>regulation</w:t>
      </w:r>
      <w:r w:rsidRPr="002848A9">
        <w:t xml:space="preserve"> </w:t>
      </w:r>
      <w:r w:rsidRPr="002848A9">
        <w:rPr>
          <w:rStyle w:val="StyleUnderline"/>
        </w:rPr>
        <w:t>should</w:t>
      </w:r>
      <w:r w:rsidRPr="002848A9">
        <w:t xml:space="preserve"> therefore </w:t>
      </w:r>
      <w:r w:rsidRPr="002848A9">
        <w:rPr>
          <w:rStyle w:val="StyleUnderline"/>
        </w:rPr>
        <w:t>not focus solely on the concept of restricting private choices for a collective good</w:t>
      </w:r>
      <w:r w:rsidRPr="002848A9">
        <w:t xml:space="preserve">. </w:t>
      </w:r>
      <w:r w:rsidRPr="002848A9">
        <w:rPr>
          <w:rStyle w:val="StyleUnderline"/>
        </w:rPr>
        <w:t xml:space="preserve">Regulation is more adequately understood as a </w:t>
      </w:r>
      <w:r w:rsidRPr="0031026D">
        <w:rPr>
          <w:rStyle w:val="StyleUnderline"/>
        </w:rPr>
        <w:t>process of guiding and influencing economic</w:t>
      </w:r>
      <w:r w:rsidRPr="002848A9">
        <w:rPr>
          <w:rStyle w:val="StyleUnderline"/>
        </w:rPr>
        <w:t xml:space="preserve"> actors</w:t>
      </w:r>
      <w:r w:rsidRPr="002848A9">
        <w:t xml:space="preserve">. </w:t>
      </w:r>
      <w:r w:rsidRPr="002848A9">
        <w:rPr>
          <w:rStyle w:val="StyleUnderline"/>
        </w:rPr>
        <w:t>Regan defines regulation as</w:t>
      </w:r>
      <w:r w:rsidRPr="002848A9">
        <w:t xml:space="preserve"> </w:t>
      </w:r>
      <w:r w:rsidRPr="002848A9">
        <w:rPr>
          <w:rStyle w:val="StyleUnderline"/>
        </w:rPr>
        <w:t>"a process or activity in which government requires or proscribes certain activities or behaviour on the parit of individuals and institutions, mostly private, but sometimes public"</w:t>
      </w:r>
      <w:r w:rsidRPr="002848A9">
        <w:t xml:space="preserve">." </w:t>
      </w:r>
      <w:r w:rsidRPr="002848A9">
        <w:rPr>
          <w:rStyle w:val="StyleUnderline"/>
        </w:rPr>
        <w:t>This definition is a useful approach to the concept of regulation, which is</w:t>
      </w:r>
      <w:r w:rsidRPr="002848A9">
        <w:t xml:space="preserve"> </w:t>
      </w:r>
      <w:r w:rsidRPr="002848A9">
        <w:rPr>
          <w:rStyle w:val="Emphasis"/>
        </w:rPr>
        <w:t>broad enough</w:t>
      </w:r>
      <w:r w:rsidRPr="002848A9">
        <w:t xml:space="preserve"> </w:t>
      </w:r>
      <w:r w:rsidRPr="00E04D36">
        <w:t>to include regulation in most systems.</w:t>
      </w:r>
      <w:r w:rsidRPr="002848A9">
        <w:t xml:space="preserve"> Regulation in its broadest sense should be understood as the process of influencing, controlling and guiding economic or other private activities with impacts on others through various governmental policies and measures. This raises the question, why and how governments regulate, i.e. which regulatory goals are pursued and which instruments are used. Both questions will be analyzed in chapter 2.</w:t>
      </w:r>
    </w:p>
    <w:p w:rsidR="00AB02CF" w:rsidRPr="002848A9" w:rsidRDefault="00AB02CF" w:rsidP="00AB02CF"/>
    <w:p w:rsidR="00FE5260" w:rsidRDefault="00AB02CF" w:rsidP="00AB02CF">
      <w:pPr>
        <w:pStyle w:val="Heading2"/>
      </w:pPr>
      <w:r>
        <w:t xml:space="preserve"> </w:t>
      </w:r>
      <w:r w:rsidR="009F1B58">
        <w:t>“FUNDING”</w:t>
      </w:r>
    </w:p>
    <w:p w:rsidR="00FE5260" w:rsidRDefault="00FE5260" w:rsidP="00FE5260">
      <w:pPr>
        <w:pStyle w:val="Heading3"/>
      </w:pPr>
      <w:r>
        <w:t xml:space="preserve">1NC – </w:t>
      </w:r>
      <w:r w:rsidR="009F1B58">
        <w:t>Money</w:t>
      </w:r>
    </w:p>
    <w:p w:rsidR="00FE5260" w:rsidRDefault="00C329DA" w:rsidP="00C329DA">
      <w:pPr>
        <w:pStyle w:val="Heading4"/>
      </w:pPr>
      <w:r>
        <w:t xml:space="preserve">A. </w:t>
      </w:r>
      <w:r w:rsidR="001102AE">
        <w:t xml:space="preserve">Interpretation – </w:t>
      </w:r>
      <w:r w:rsidR="00070A96">
        <w:t>“</w:t>
      </w:r>
      <w:r w:rsidR="00FE5260">
        <w:t>Funding</w:t>
      </w:r>
      <w:r w:rsidR="00070A96">
        <w:t>”</w:t>
      </w:r>
      <w:r w:rsidR="00FE5260">
        <w:t xml:space="preserve"> is </w:t>
      </w:r>
      <w:r w:rsidR="001102AE">
        <w:t>comprised solely of money</w:t>
      </w:r>
    </w:p>
    <w:p w:rsidR="00FE5260" w:rsidRPr="000C66A7" w:rsidRDefault="00FE5260" w:rsidP="00FE5260">
      <w:r w:rsidRPr="000C66A7">
        <w:rPr>
          <w:rStyle w:val="Style13ptBold"/>
        </w:rPr>
        <w:t>Butler ‘5</w:t>
      </w:r>
      <w:r>
        <w:t xml:space="preserve"> [LOUIS B. BUTLER, JR., J (Justice),  </w:t>
      </w:r>
      <w:r w:rsidRPr="000C66A7">
        <w:rPr>
          <w:i/>
        </w:rPr>
        <w:t>Joan Solie and Ann Baxter, Plaintiffs-Respondents, v. Employee Trust Funds Board and The Department of Employee Trust Funds, Defendants-Appellants</w:t>
      </w:r>
      <w:r>
        <w:t>, Supreme Court of Wisconsin, OPINION FILED: April 19, 2005, CASE NO.: 2003AP1850, https://www.wicourts.gov/sc/opinion/DisplayDocument.html?content=html&amp;seqNo=17806]</w:t>
      </w:r>
    </w:p>
    <w:p w:rsidR="00FE5260" w:rsidRDefault="00FE5260" w:rsidP="00FE5260">
      <w:pPr>
        <w:rPr>
          <w:sz w:val="16"/>
        </w:rPr>
      </w:pPr>
      <w:r w:rsidRPr="000C66A7">
        <w:rPr>
          <w:sz w:val="12"/>
        </w:rPr>
        <w:t>¶</w:t>
      </w:r>
      <w:r w:rsidRPr="000C66A7">
        <w:rPr>
          <w:sz w:val="16"/>
        </w:rPr>
        <w:t>59 The pertinent statutes do not define the terms "fund" or "credit." However</w:t>
      </w:r>
      <w:r w:rsidRPr="00B63D77">
        <w:rPr>
          <w:rStyle w:val="StyleUnderline"/>
        </w:rPr>
        <w:t>, if these terms are accorded their common</w:t>
      </w:r>
      <w:r w:rsidRPr="000C66A7">
        <w:rPr>
          <w:sz w:val="16"/>
        </w:rPr>
        <w:t xml:space="preserve">, ordinary </w:t>
      </w:r>
      <w:r w:rsidRPr="00B63D77">
        <w:rPr>
          <w:rStyle w:val="StyleUnderline"/>
        </w:rPr>
        <w:t>meaning</w:t>
      </w:r>
      <w:r w:rsidRPr="000C66A7">
        <w:rPr>
          <w:sz w:val="16"/>
        </w:rPr>
        <w:t xml:space="preserve"> when read in the context in which they appear in chapter 42, </w:t>
      </w:r>
      <w:r w:rsidRPr="00B63D77">
        <w:rPr>
          <w:rStyle w:val="StyleUnderline"/>
        </w:rPr>
        <w:t>it is clear</w:t>
      </w:r>
      <w:r w:rsidRPr="000C66A7">
        <w:rPr>
          <w:sz w:val="16"/>
        </w:rPr>
        <w:t xml:space="preserve"> that the retirement deposit </w:t>
      </w:r>
      <w:r w:rsidRPr="00B63D77">
        <w:rPr>
          <w:rStyle w:val="Emphasis"/>
        </w:rPr>
        <w:t>"fund"</w:t>
      </w:r>
      <w:r w:rsidRPr="000C66A7">
        <w:rPr>
          <w:sz w:val="16"/>
        </w:rPr>
        <w:t xml:space="preserve"> </w:t>
      </w:r>
      <w:r w:rsidRPr="00B63D77">
        <w:rPr>
          <w:rStyle w:val="StyleUnderline"/>
        </w:rPr>
        <w:t>is comprised</w:t>
      </w:r>
      <w:r w:rsidRPr="000C66A7">
        <w:rPr>
          <w:sz w:val="16"/>
        </w:rPr>
        <w:t xml:space="preserve"> </w:t>
      </w:r>
      <w:r w:rsidRPr="00B63D77">
        <w:rPr>
          <w:rStyle w:val="Emphasis"/>
        </w:rPr>
        <w:t>solely of money</w:t>
      </w:r>
      <w:r w:rsidRPr="000C66A7">
        <w:rPr>
          <w:sz w:val="16"/>
        </w:rPr>
        <w:t xml:space="preserve"> and that a "credit" refers to a positive balance in a teacher's retirement deposit fund account. See Wis. Citizens Concerned for Cranes and Doves, 270 Wis. 2d 318, </w:t>
      </w:r>
      <w:r w:rsidRPr="000C66A7">
        <w:rPr>
          <w:sz w:val="12"/>
        </w:rPr>
        <w:t>¶</w:t>
      </w:r>
      <w:r w:rsidRPr="000C66A7">
        <w:rPr>
          <w:sz w:val="16"/>
        </w:rPr>
        <w:t xml:space="preserve">6 (unless specifically defined, nontechnical words in a statute are accorded their common everyday meaning and are read in the context of the statute in which they appear)(citing Wis. Stat. § 990.01(1)(1999-2000)). </w:t>
      </w:r>
      <w:r w:rsidRPr="000C66A7">
        <w:rPr>
          <w:sz w:val="12"/>
        </w:rPr>
        <w:t>¶</w:t>
      </w:r>
      <w:r w:rsidRPr="000C66A7">
        <w:rPr>
          <w:sz w:val="16"/>
        </w:rPr>
        <w:t xml:space="preserve">60 </w:t>
      </w:r>
      <w:r w:rsidRPr="00B63D77">
        <w:rPr>
          <w:rStyle w:val="StyleUnderline"/>
        </w:rPr>
        <w:t>The ordinary definition of "fund" is "[a] sum of money or other resources set aside for a specific purpose</w:t>
      </w:r>
      <w:r w:rsidRPr="000C66A7">
        <w:rPr>
          <w:sz w:val="16"/>
        </w:rPr>
        <w:t xml:space="preserve">: a pension fund." The American Heritage Dictionary of the English Language 735 (3d. ed. 1992)(emphasis in original). See also Black's Law Dictionary 682 (7th ed. 1999)(defining "fund" as "[a] sum of money or other liquid assets established for a specific purpose"). This definition of "fund" comports with the context in which the term is utilized in chapter 42. The retirement deposit fund is a sum of money set aside for teachers' retirement. </w:t>
      </w:r>
      <w:r w:rsidRPr="000C66A7">
        <w:rPr>
          <w:sz w:val="12"/>
        </w:rPr>
        <w:t>¶</w:t>
      </w:r>
      <w:r w:rsidRPr="000C66A7">
        <w:rPr>
          <w:sz w:val="16"/>
        </w:rPr>
        <w:t xml:space="preserve">61 Chapter 42 indicates that </w:t>
      </w:r>
      <w:r w:rsidRPr="000C66A7">
        <w:rPr>
          <w:rStyle w:val="StyleUnderline"/>
        </w:rPr>
        <w:t xml:space="preserve">the term "fund" is utilized in a </w:t>
      </w:r>
      <w:r w:rsidRPr="000C66A7">
        <w:rPr>
          <w:rStyle w:val="Emphasis"/>
        </w:rPr>
        <w:t>financial context.</w:t>
      </w:r>
      <w:r w:rsidRPr="000C66A7">
        <w:rPr>
          <w:sz w:val="16"/>
        </w:rPr>
        <w:t xml:space="preserve"> Wisconsin Stat. § 42.33(1) provides, in pertinent part: "The state teachers retirement board shall at all times maintain assets: . . . (b) In the 'Retirement Deposit Fund' equal to the liabilities for member deposits and for state deposits for members of the separate group and the combined group and interest accretions[.]" See also Wis. Stat. § 42.243(5)(c); Wis. Stat. § 42.243(6)(c); Wis. Stat. § 42.45(1)(d); Wis. Stat. § 42.46(1); Wis. Stat. § 42.475 (all describing a member's account in the state retirement fund being credited with member contributions, state deposits, and interest and discussing the withdrawal, payment, and maintenance of such monies). </w:t>
      </w:r>
      <w:r w:rsidRPr="000C66A7">
        <w:rPr>
          <w:sz w:val="12"/>
        </w:rPr>
        <w:t>¶</w:t>
      </w:r>
      <w:r w:rsidRPr="000C66A7">
        <w:rPr>
          <w:sz w:val="16"/>
        </w:rPr>
        <w:t xml:space="preserve">62 In addition, Schmidt, 153 Wis. 2d at 46, explicitly stated that a teacher who signed a combined group waiver "only waived his right to money which accumulated in his retirement fund through state deposits." (Emphasis added.) Likewise, Wis. Admin. Code § TR 4.01 (Sept., 1964) specifically distinguishes between "years of teaching experience" being "counted as within the system" and "required deposits" being "paid into the fund," by stating that years of teaching experience are not to be counted within the system until any required deposits plus interest are paid into the fund. </w:t>
      </w:r>
      <w:r w:rsidRPr="000C66A7">
        <w:rPr>
          <w:sz w:val="12"/>
        </w:rPr>
        <w:t>¶</w:t>
      </w:r>
      <w:r w:rsidRPr="000C66A7">
        <w:rPr>
          <w:sz w:val="16"/>
        </w:rPr>
        <w:t xml:space="preserve">63 In short, the "retirement deposit fund" is a fund comprised of monetary deposits established for the purpose of teacher retirement. </w:t>
      </w:r>
      <w:r w:rsidRPr="000C66A7">
        <w:rPr>
          <w:sz w:val="12"/>
        </w:rPr>
        <w:t>¶</w:t>
      </w:r>
      <w:r w:rsidRPr="000C66A7">
        <w:rPr>
          <w:sz w:val="16"/>
        </w:rPr>
        <w:t xml:space="preserve">64 Given that § 42.33(1) specifically states that the retirement deposit fund's assets are teacher deposits, state deposits, and accrued interest, the majority's conclusion that "it is reasonable to construe the retirement deposit fund as encompassing more than simply a lockbox for money[]" is entirely unfounded and anything but reasonable. Majority op., </w:t>
      </w:r>
      <w:r w:rsidRPr="000C66A7">
        <w:rPr>
          <w:sz w:val="12"/>
        </w:rPr>
        <w:t>¶</w:t>
      </w:r>
      <w:r w:rsidRPr="000C66A7">
        <w:rPr>
          <w:sz w:val="16"/>
        </w:rPr>
        <w:t xml:space="preserve">36. </w:t>
      </w:r>
      <w:r w:rsidRPr="000C66A7">
        <w:rPr>
          <w:rStyle w:val="StyleUnderline"/>
        </w:rPr>
        <w:t>The majority's conclusion that</w:t>
      </w:r>
      <w:r w:rsidRPr="000C66A7">
        <w:rPr>
          <w:sz w:val="16"/>
        </w:rPr>
        <w:t xml:space="preserve"> a repository of money earmarked for a particular purpose </w:t>
      </w:r>
      <w:r w:rsidRPr="000C66A7">
        <w:rPr>
          <w:rStyle w:val="StyleUnderline"/>
        </w:rPr>
        <w:t>(a fund)</w:t>
      </w:r>
      <w:r w:rsidRPr="000C66A7">
        <w:rPr>
          <w:sz w:val="16"/>
        </w:rPr>
        <w:t xml:space="preserve"> </w:t>
      </w:r>
      <w:r w:rsidRPr="000C66A7">
        <w:rPr>
          <w:rStyle w:val="StyleUnderline"/>
        </w:rPr>
        <w:t>can be comprised of something other than money is inexplicable in light of the statutory language</w:t>
      </w:r>
      <w:r w:rsidRPr="000C66A7">
        <w:rPr>
          <w:sz w:val="16"/>
        </w:rPr>
        <w:t xml:space="preserve">. </w:t>
      </w:r>
      <w:r w:rsidRPr="000C66A7">
        <w:rPr>
          <w:rStyle w:val="StyleUnderline"/>
        </w:rPr>
        <w:t>Notably, the majority cites</w:t>
      </w:r>
      <w:r w:rsidRPr="000C66A7">
        <w:rPr>
          <w:sz w:val="16"/>
        </w:rPr>
        <w:t xml:space="preserve"> to </w:t>
      </w:r>
      <w:r w:rsidRPr="000C66A7">
        <w:rPr>
          <w:rStyle w:val="StyleUnderline"/>
        </w:rPr>
        <w:t>no statute, administrative rule, or case for the proposition that the</w:t>
      </w:r>
      <w:r w:rsidRPr="000C66A7">
        <w:rPr>
          <w:sz w:val="16"/>
        </w:rPr>
        <w:t xml:space="preserve"> "retirement deposit </w:t>
      </w:r>
      <w:r w:rsidRPr="000C66A7">
        <w:rPr>
          <w:rStyle w:val="StyleUnderline"/>
        </w:rPr>
        <w:t>fund" may contain something other than money</w:t>
      </w:r>
      <w:r w:rsidRPr="000C66A7">
        <w:rPr>
          <w:sz w:val="16"/>
        </w:rPr>
        <w:t xml:space="preserve">. It simply declares it to be so. Simply put, nowhere does chapter 42 speak of the retirement deposit fund being credited with, consisting of, or containing anything other than money. </w:t>
      </w:r>
    </w:p>
    <w:p w:rsidR="001102AE" w:rsidRDefault="00C329DA" w:rsidP="00C329DA">
      <w:pPr>
        <w:pStyle w:val="Heading4"/>
      </w:pPr>
      <w:r>
        <w:t xml:space="preserve">B. </w:t>
      </w:r>
      <w:r w:rsidR="001102AE">
        <w:t xml:space="preserve">Violation – The plan includes transfer of non-monetary resources  </w:t>
      </w:r>
    </w:p>
    <w:p w:rsidR="001102AE" w:rsidRDefault="00C329DA" w:rsidP="00C329DA">
      <w:pPr>
        <w:pStyle w:val="Heading4"/>
      </w:pPr>
      <w:r>
        <w:t xml:space="preserve">C. </w:t>
      </w:r>
      <w:r w:rsidR="001102AE">
        <w:t xml:space="preserve">Standards </w:t>
      </w:r>
    </w:p>
    <w:p w:rsidR="001102AE" w:rsidRPr="00C329DA" w:rsidRDefault="001102AE" w:rsidP="001102AE">
      <w:pPr>
        <w:pStyle w:val="Heading4"/>
        <w:ind w:left="720"/>
      </w:pPr>
      <w:r>
        <w:t xml:space="preserve">1) Limits – </w:t>
      </w:r>
      <w:r w:rsidR="00C329DA">
        <w:t>T</w:t>
      </w:r>
      <w:r>
        <w:t xml:space="preserve">hey massively </w:t>
      </w:r>
      <w:r w:rsidRPr="001102AE">
        <w:rPr>
          <w:u w:val="single"/>
        </w:rPr>
        <w:t>underlimit</w:t>
      </w:r>
      <w:r>
        <w:t xml:space="preserve"> the topic which explodes the negative’s </w:t>
      </w:r>
      <w:r w:rsidRPr="001102AE">
        <w:rPr>
          <w:u w:val="single"/>
        </w:rPr>
        <w:t>research burden</w:t>
      </w:r>
      <w:r>
        <w:t xml:space="preserve"> and kills </w:t>
      </w:r>
      <w:r w:rsidRPr="001102AE">
        <w:rPr>
          <w:u w:val="single"/>
        </w:rPr>
        <w:t>clash</w:t>
      </w:r>
      <w:r w:rsidR="00C329DA">
        <w:rPr>
          <w:u w:val="single"/>
        </w:rPr>
        <w:t xml:space="preserve">. </w:t>
      </w:r>
    </w:p>
    <w:p w:rsidR="00C329DA" w:rsidRDefault="001102AE" w:rsidP="00C329DA">
      <w:pPr>
        <w:pStyle w:val="Heading4"/>
        <w:ind w:left="720"/>
      </w:pPr>
      <w:r>
        <w:t xml:space="preserve">2) Ground – they avoid </w:t>
      </w:r>
      <w:r w:rsidR="00C329DA">
        <w:t xml:space="preserve">links to </w:t>
      </w:r>
      <w:r w:rsidR="00C329DA" w:rsidRPr="00C329DA">
        <w:rPr>
          <w:u w:val="single"/>
        </w:rPr>
        <w:t xml:space="preserve">core </w:t>
      </w:r>
      <w:r w:rsidR="00C329DA">
        <w:rPr>
          <w:u w:val="single"/>
        </w:rPr>
        <w:t>g</w:t>
      </w:r>
      <w:r w:rsidR="00C329DA" w:rsidRPr="00C329DA">
        <w:rPr>
          <w:u w:val="single"/>
        </w:rPr>
        <w:t>enerics</w:t>
      </w:r>
      <w:r w:rsidR="00C329DA">
        <w:t xml:space="preserve"> like Budget/Spending DA’s which are especially key on </w:t>
      </w:r>
      <w:r w:rsidR="00C329DA" w:rsidRPr="00C329DA">
        <w:rPr>
          <w:u w:val="single"/>
        </w:rPr>
        <w:t>large topics</w:t>
      </w:r>
      <w:r w:rsidR="00C329DA">
        <w:t xml:space="preserve"> that favor the affirmative.</w:t>
      </w:r>
    </w:p>
    <w:p w:rsidR="00C329DA" w:rsidRDefault="00C329DA" w:rsidP="00C329DA">
      <w:pPr>
        <w:pStyle w:val="Heading4"/>
      </w:pPr>
      <w:r>
        <w:t xml:space="preserve">D. Voters – Vote negative to preserve education and fairness </w:t>
      </w:r>
    </w:p>
    <w:p w:rsidR="00C329DA" w:rsidRPr="00C329DA" w:rsidRDefault="00C329DA" w:rsidP="00C329DA"/>
    <w:p w:rsidR="00FE5260" w:rsidRDefault="00FE5260" w:rsidP="00FE5260">
      <w:pPr>
        <w:pStyle w:val="Heading3"/>
      </w:pPr>
      <w:r>
        <w:t>2NC –</w:t>
      </w:r>
      <w:r w:rsidR="009F1B58">
        <w:t xml:space="preserve"> Money –</w:t>
      </w:r>
      <w:r w:rsidR="00910174">
        <w:t xml:space="preserve"> Definitions</w:t>
      </w:r>
    </w:p>
    <w:p w:rsidR="001102AE" w:rsidRDefault="001102AE" w:rsidP="001102AE">
      <w:pPr>
        <w:pStyle w:val="Heading4"/>
      </w:pPr>
      <w:r>
        <w:t>“Funding” is money</w:t>
      </w:r>
    </w:p>
    <w:p w:rsidR="001102AE" w:rsidRDefault="001102AE" w:rsidP="001102AE">
      <w:pPr>
        <w:rPr>
          <w:sz w:val="16"/>
        </w:rPr>
      </w:pPr>
      <w:r w:rsidRPr="00382B08">
        <w:rPr>
          <w:rStyle w:val="Style13ptBold"/>
        </w:rPr>
        <w:t xml:space="preserve">Oxford </w:t>
      </w:r>
      <w:r>
        <w:rPr>
          <w:rStyle w:val="Style13ptBold"/>
        </w:rPr>
        <w:t>‘</w:t>
      </w:r>
      <w:r w:rsidRPr="00382B08">
        <w:rPr>
          <w:rStyle w:val="Style13ptBold"/>
        </w:rPr>
        <w:t>17</w:t>
      </w:r>
      <w:r>
        <w:rPr>
          <w:sz w:val="16"/>
        </w:rPr>
        <w:t xml:space="preserve"> [Oxford Online Dictionary, “funding”, https://en.oxforddictionaries.com/definition/us/funding]</w:t>
      </w:r>
    </w:p>
    <w:p w:rsidR="001102AE" w:rsidRPr="00382B08" w:rsidRDefault="001102AE" w:rsidP="001102AE">
      <w:pPr>
        <w:rPr>
          <w:rStyle w:val="StyleUnderline"/>
        </w:rPr>
      </w:pPr>
      <w:r w:rsidRPr="00382B08">
        <w:rPr>
          <w:rStyle w:val="StyleUnderline"/>
        </w:rPr>
        <w:t>funding</w:t>
      </w:r>
    </w:p>
    <w:p w:rsidR="001102AE" w:rsidRDefault="001102AE" w:rsidP="001102AE">
      <w:pPr>
        <w:rPr>
          <w:sz w:val="16"/>
        </w:rPr>
      </w:pPr>
      <w:r>
        <w:rPr>
          <w:sz w:val="16"/>
        </w:rPr>
        <w:t>NOUN</w:t>
      </w:r>
    </w:p>
    <w:p w:rsidR="001102AE" w:rsidRDefault="001102AE" w:rsidP="001102AE">
      <w:pPr>
        <w:rPr>
          <w:sz w:val="16"/>
        </w:rPr>
      </w:pPr>
      <w:r>
        <w:rPr>
          <w:sz w:val="16"/>
        </w:rPr>
        <w:t xml:space="preserve">1 </w:t>
      </w:r>
      <w:r w:rsidRPr="00382B08">
        <w:rPr>
          <w:rStyle w:val="StyleUnderline"/>
        </w:rPr>
        <w:t>Money provided</w:t>
      </w:r>
      <w:r>
        <w:rPr>
          <w:sz w:val="16"/>
        </w:rPr>
        <w:t>,</w:t>
      </w:r>
      <w:r w:rsidRPr="00382B08">
        <w:rPr>
          <w:rStyle w:val="StyleUnderline"/>
        </w:rPr>
        <w:t xml:space="preserve"> especially by an organization or government,</w:t>
      </w:r>
      <w:r>
        <w:rPr>
          <w:sz w:val="16"/>
        </w:rPr>
        <w:t xml:space="preserve"> </w:t>
      </w:r>
      <w:r w:rsidRPr="00382B08">
        <w:rPr>
          <w:rStyle w:val="StyleUnderline"/>
        </w:rPr>
        <w:t>for a particular purpose</w:t>
      </w:r>
      <w:r>
        <w:rPr>
          <w:sz w:val="16"/>
        </w:rPr>
        <w:t>.</w:t>
      </w:r>
    </w:p>
    <w:p w:rsidR="001102AE" w:rsidRDefault="001102AE" w:rsidP="001102AE">
      <w:pPr>
        <w:rPr>
          <w:sz w:val="16"/>
        </w:rPr>
      </w:pPr>
      <w:r>
        <w:rPr>
          <w:sz w:val="16"/>
        </w:rPr>
        <w:t>Example sentencesSynonyms</w:t>
      </w:r>
    </w:p>
    <w:p w:rsidR="001102AE" w:rsidRDefault="001102AE" w:rsidP="001102AE">
      <w:pPr>
        <w:rPr>
          <w:sz w:val="16"/>
        </w:rPr>
      </w:pPr>
      <w:r>
        <w:rPr>
          <w:sz w:val="16"/>
        </w:rPr>
        <w:t>1.1 The action or practice of providing money for a particular purpose.</w:t>
      </w:r>
    </w:p>
    <w:p w:rsidR="001102AE" w:rsidRDefault="001102AE" w:rsidP="001102AE">
      <w:pPr>
        <w:rPr>
          <w:sz w:val="16"/>
        </w:rPr>
      </w:pPr>
      <w:r>
        <w:rPr>
          <w:sz w:val="16"/>
        </w:rPr>
        <w:t>Example sentences</w:t>
      </w:r>
    </w:p>
    <w:p w:rsidR="0047153E" w:rsidRPr="007C7A6C" w:rsidRDefault="0047153E" w:rsidP="0047153E">
      <w:pPr>
        <w:pStyle w:val="Heading4"/>
      </w:pPr>
      <w:r>
        <w:t>“Funding” is limited to financial resources</w:t>
      </w:r>
    </w:p>
    <w:p w:rsidR="0047153E" w:rsidRDefault="0047153E" w:rsidP="0047153E">
      <w:r w:rsidRPr="00DA140E">
        <w:rPr>
          <w:rStyle w:val="Style13ptBold"/>
        </w:rPr>
        <w:t xml:space="preserve">Jacob </w:t>
      </w:r>
      <w:r>
        <w:rPr>
          <w:rStyle w:val="Style13ptBold"/>
        </w:rPr>
        <w:t>‘</w:t>
      </w:r>
      <w:r w:rsidRPr="00DA140E">
        <w:rPr>
          <w:rStyle w:val="Style13ptBold"/>
        </w:rPr>
        <w:t xml:space="preserve">14 </w:t>
      </w:r>
      <w:r>
        <w:t xml:space="preserve"> [Egberibin Igboroye Jacob, Department of Educational Foundations at the University of Nigeria, “MODALITIES FOR IMPROVING THE FUNDING OF PRIMARY SCHOOLS BY LOCAL GOVERNMENT EDUCATION AUTHORITIES IN BAYELSA STATE”, January, http://www.unn.edu.ng/publications/files/JACOB%20PROJECT.pdf]</w:t>
      </w:r>
    </w:p>
    <w:p w:rsidR="0047153E" w:rsidRPr="0047153E" w:rsidRDefault="0047153E" w:rsidP="0047153E">
      <w:r w:rsidRPr="0031026D">
        <w:rPr>
          <w:rStyle w:val="StyleUnderline"/>
        </w:rPr>
        <w:t>Funding</w:t>
      </w:r>
      <w:r w:rsidRPr="0047153E">
        <w:t xml:space="preserve"> according to Ogbonnaya, (2012), </w:t>
      </w:r>
      <w:r w:rsidRPr="0047153E">
        <w:rPr>
          <w:rStyle w:val="StyleUnderline"/>
        </w:rPr>
        <w:t>refers to a sum of money</w:t>
      </w:r>
      <w:r w:rsidRPr="0047153E">
        <w:t xml:space="preserve"> saved or </w:t>
      </w:r>
      <w:r w:rsidRPr="0047153E">
        <w:rPr>
          <w:rStyle w:val="StyleUnderline"/>
        </w:rPr>
        <w:t>made available for a particular purpose</w:t>
      </w:r>
      <w:r w:rsidRPr="0047153E">
        <w:t xml:space="preserve">. </w:t>
      </w:r>
      <w:r w:rsidRPr="0047153E">
        <w:rPr>
          <w:rStyle w:val="StyleUnderline"/>
        </w:rPr>
        <w:t>It can be called</w:t>
      </w:r>
      <w:r w:rsidRPr="0047153E">
        <w:t xml:space="preserve"> </w:t>
      </w:r>
      <w:r w:rsidRPr="0047153E">
        <w:rPr>
          <w:rStyle w:val="Emphasis"/>
        </w:rPr>
        <w:t>money</w:t>
      </w:r>
      <w:r w:rsidRPr="0047153E">
        <w:t xml:space="preserve"> </w:t>
      </w:r>
      <w:r w:rsidRPr="0047153E">
        <w:rPr>
          <w:rStyle w:val="StyleUnderline"/>
        </w:rPr>
        <w:t>or</w:t>
      </w:r>
      <w:r w:rsidRPr="0047153E">
        <w:t xml:space="preserve"> </w:t>
      </w:r>
      <w:r w:rsidRPr="0047153E">
        <w:rPr>
          <w:rStyle w:val="Emphasis"/>
        </w:rPr>
        <w:t>financial resources</w:t>
      </w:r>
      <w:r w:rsidRPr="0047153E">
        <w:t xml:space="preserve">. In other words, </w:t>
      </w:r>
      <w:r w:rsidRPr="00A30B2F">
        <w:rPr>
          <w:rStyle w:val="StyleUnderline"/>
        </w:rPr>
        <w:t>f</w:t>
      </w:r>
      <w:r w:rsidRPr="0047153E">
        <w:rPr>
          <w:rStyle w:val="StyleUnderline"/>
        </w:rPr>
        <w:t>unding is the amount of money needed to fund an on-going project or programme for future development.</w:t>
      </w:r>
      <w:r w:rsidRPr="0047153E">
        <w:t xml:space="preserve"> Investment in primary education has become internationally recognized as instrument per excellence for development. Primary education requires adequate public financing support more than any other of the other levels in education since it is the foundation level of any educational system. Gidado, (2000) asserts that primary education has suffered tremendously in Nigeria from poor finances, inappropriate allocation of funds and a host of other problems.</w:t>
      </w:r>
    </w:p>
    <w:p w:rsidR="0047153E" w:rsidRDefault="0047153E" w:rsidP="001102AE">
      <w:pPr>
        <w:rPr>
          <w:sz w:val="16"/>
        </w:rPr>
      </w:pPr>
    </w:p>
    <w:p w:rsidR="00910174" w:rsidRDefault="00910174" w:rsidP="00910174">
      <w:pPr>
        <w:pStyle w:val="Heading3"/>
      </w:pPr>
      <w:r>
        <w:t>2NC –</w:t>
      </w:r>
      <w:r w:rsidR="009F1B58">
        <w:t xml:space="preserve"> Money –</w:t>
      </w:r>
      <w:r>
        <w:t xml:space="preserve"> Limits </w:t>
      </w:r>
    </w:p>
    <w:p w:rsidR="00910174" w:rsidRPr="009729E8" w:rsidRDefault="00910174" w:rsidP="00910174">
      <w:pPr>
        <w:pStyle w:val="Heading4"/>
      </w:pPr>
      <w:r>
        <w:t>Reject broad interpretations – they allow for any type of transfer</w:t>
      </w:r>
    </w:p>
    <w:p w:rsidR="00910174" w:rsidRDefault="00910174" w:rsidP="00910174">
      <w:r w:rsidRPr="009729E8">
        <w:rPr>
          <w:rStyle w:val="Style13ptBold"/>
        </w:rPr>
        <w:t xml:space="preserve">Connecticut </w:t>
      </w:r>
      <w:r>
        <w:rPr>
          <w:rStyle w:val="Style13ptBold"/>
        </w:rPr>
        <w:t>‘</w:t>
      </w:r>
      <w:r w:rsidRPr="009729E8">
        <w:rPr>
          <w:rStyle w:val="Style13ptBold"/>
        </w:rPr>
        <w:t xml:space="preserve">79 </w:t>
      </w:r>
      <w:r w:rsidRPr="00910174">
        <w:t>[</w:t>
      </w:r>
      <w:r>
        <w:t>Superior Court of Connecticut, Judicial District of New Haven, “Knights of Columbus v. City of New Haven”, 36 Conn. Supp. 63; 1979 Conn. Super. LEXIS 182; 411 A.2d 50, 11-6, Lexis]</w:t>
      </w:r>
    </w:p>
    <w:p w:rsidR="00910174" w:rsidRDefault="00910174" w:rsidP="00910174">
      <w:r w:rsidRPr="00910174">
        <w:t xml:space="preserve">The word </w:t>
      </w:r>
      <w:r w:rsidRPr="00910174">
        <w:rPr>
          <w:rStyle w:val="Emphasis"/>
        </w:rPr>
        <w:t>"funds"</w:t>
      </w:r>
      <w:r w:rsidRPr="00910174">
        <w:t xml:space="preserve"> </w:t>
      </w:r>
      <w:r w:rsidRPr="00910174">
        <w:rPr>
          <w:rStyle w:val="StyleUnderline"/>
        </w:rPr>
        <w:t xml:space="preserve">has been defined as a generic term </w:t>
      </w:r>
      <w:r w:rsidRPr="00910174">
        <w:t xml:space="preserve">which is all embracing and </w:t>
      </w:r>
      <w:r w:rsidRPr="00910174">
        <w:rPr>
          <w:rStyle w:val="StyleUnderline"/>
        </w:rPr>
        <w:t>which in its</w:t>
      </w:r>
      <w:r w:rsidRPr="00910174">
        <w:t xml:space="preserve"> </w:t>
      </w:r>
      <w:r w:rsidRPr="00910174">
        <w:rPr>
          <w:rStyle w:val="Emphasis"/>
        </w:rPr>
        <w:t>broad meaning</w:t>
      </w:r>
      <w:r w:rsidRPr="00910174">
        <w:t xml:space="preserve"> </w:t>
      </w:r>
      <w:r w:rsidRPr="00910174">
        <w:rPr>
          <w:rStyle w:val="StyleUnderline"/>
        </w:rPr>
        <w:t>includes property of</w:t>
      </w:r>
      <w:r w:rsidRPr="00910174">
        <w:t xml:space="preserve"> </w:t>
      </w:r>
      <w:r w:rsidRPr="0031026D">
        <w:rPr>
          <w:rStyle w:val="StyleUnderline"/>
        </w:rPr>
        <w:t>every kind.</w:t>
      </w:r>
      <w:r w:rsidRPr="00910174">
        <w:t xml:space="preserve"> Thus, under Conn. Gen. Stat. § 38-215 all property of every kind of a fraternal benefit society is exempt from all state and municipal taxation with two exceptions -- real estate and office equipment. Since no courts have defined "office equipment" as used in § 38-215, it is necessary to look to other areas of the law to ascertain whether the courts distinguish equipment from other similar fungible items consumed in the course of operation.</w:t>
      </w:r>
    </w:p>
    <w:p w:rsidR="00910174" w:rsidRDefault="00910174" w:rsidP="00910174">
      <w:pPr>
        <w:pStyle w:val="Heading4"/>
      </w:pPr>
      <w:r>
        <w:t>Instead, prefer our specific, narrow interpretation</w:t>
      </w:r>
    </w:p>
    <w:p w:rsidR="00910174" w:rsidRDefault="00910174" w:rsidP="00910174">
      <w:r w:rsidRPr="009729E8">
        <w:rPr>
          <w:rStyle w:val="Style13ptBold"/>
        </w:rPr>
        <w:t xml:space="preserve">Speer </w:t>
      </w:r>
      <w:r>
        <w:rPr>
          <w:rStyle w:val="Style13ptBold"/>
        </w:rPr>
        <w:t>2k</w:t>
      </w:r>
      <w:r w:rsidRPr="009729E8">
        <w:rPr>
          <w:rStyle w:val="Style13ptBold"/>
        </w:rPr>
        <w:t xml:space="preserve"> </w:t>
      </w:r>
      <w:r w:rsidRPr="00910174">
        <w:t>[</w:t>
      </w:r>
      <w:r>
        <w:t>Richard L. Speer, Chief Bankruptcy Judge, United States Bankruptcy Court for the Northern District of Ohio, “In Re: Walter Collins, Jr., Debtor(s); MPC Cash-Way Lumber Co., Plaintiff(s) v. Walter E. Collins, Jr., Defendant(s)”, 266 B.R. 123; 2000 Bankr. LEXIS 1834, 10-25, Lexis]</w:t>
      </w:r>
    </w:p>
    <w:p w:rsidR="00910174" w:rsidRPr="0047153E" w:rsidRDefault="00910174" w:rsidP="0047153E">
      <w:r w:rsidRPr="0047153E">
        <w:t xml:space="preserve">The term </w:t>
      </w:r>
      <w:r w:rsidRPr="0031026D">
        <w:rPr>
          <w:rStyle w:val="StyleUnderline"/>
        </w:rPr>
        <w:t xml:space="preserve">"fund," </w:t>
      </w:r>
      <w:r w:rsidRPr="0047153E">
        <w:t xml:space="preserve">is, in its common legal usage, </w:t>
      </w:r>
      <w:r w:rsidRPr="0047153E">
        <w:rPr>
          <w:rStyle w:val="StyleUnderline"/>
        </w:rPr>
        <w:t>given a</w:t>
      </w:r>
      <w:r w:rsidRPr="0047153E">
        <w:t xml:space="preserve"> </w:t>
      </w:r>
      <w:r w:rsidRPr="0047153E">
        <w:rPr>
          <w:rStyle w:val="StyleUnderline"/>
        </w:rPr>
        <w:t>broad interpretation</w:t>
      </w:r>
      <w:r w:rsidRPr="0047153E">
        <w:t xml:space="preserve">. For example, it </w:t>
      </w:r>
      <w:r w:rsidRPr="0047153E">
        <w:rPr>
          <w:rStyle w:val="StyleUnderline"/>
        </w:rPr>
        <w:t>is sometimes defined as a</w:t>
      </w:r>
      <w:r w:rsidRPr="0047153E">
        <w:t xml:space="preserve"> </w:t>
      </w:r>
      <w:r w:rsidRPr="0047153E">
        <w:rPr>
          <w:rStyle w:val="StyleUnderline"/>
        </w:rPr>
        <w:t>generic term</w:t>
      </w:r>
      <w:r w:rsidRPr="0047153E">
        <w:t xml:space="preserve"> and all-embracing </w:t>
      </w:r>
      <w:r w:rsidRPr="0047153E">
        <w:rPr>
          <w:rStyle w:val="StyleUnderline"/>
        </w:rPr>
        <w:t>as compared with the term</w:t>
      </w:r>
      <w:r w:rsidRPr="0047153E">
        <w:t xml:space="preserve"> </w:t>
      </w:r>
      <w:r w:rsidRPr="0047153E">
        <w:rPr>
          <w:rStyle w:val="Emphasis"/>
        </w:rPr>
        <w:t>"money,"</w:t>
      </w:r>
      <w:r w:rsidRPr="0047153E">
        <w:t xml:space="preserve"> etc., </w:t>
      </w:r>
      <w:r w:rsidRPr="0047153E">
        <w:rPr>
          <w:rStyle w:val="StyleUnderline"/>
        </w:rPr>
        <w:t xml:space="preserve">which is </w:t>
      </w:r>
      <w:r w:rsidRPr="0047153E">
        <w:rPr>
          <w:rStyle w:val="Emphasis"/>
        </w:rPr>
        <w:t>specific.</w:t>
      </w:r>
    </w:p>
    <w:p w:rsidR="00910174" w:rsidRPr="00910174" w:rsidRDefault="00AB02CF" w:rsidP="00AB02CF">
      <w:pPr>
        <w:pStyle w:val="Heading3"/>
      </w:pPr>
      <w:r>
        <w:t xml:space="preserve">2AC – Money – C/I </w:t>
      </w:r>
    </w:p>
    <w:p w:rsidR="00910174" w:rsidRPr="00910174" w:rsidRDefault="00910174" w:rsidP="00910174"/>
    <w:p w:rsidR="001102AE" w:rsidRPr="000C66A7" w:rsidRDefault="001102AE" w:rsidP="001102AE">
      <w:pPr>
        <w:rPr>
          <w:sz w:val="16"/>
        </w:rPr>
      </w:pPr>
    </w:p>
    <w:p w:rsidR="00AB02CF" w:rsidRDefault="00AB02CF" w:rsidP="00AB02CF">
      <w:pPr>
        <w:pStyle w:val="Heading4"/>
      </w:pPr>
      <w:r>
        <w:t xml:space="preserve">“Funding” includes </w:t>
      </w:r>
      <w:r w:rsidR="0031026D">
        <w:t>other resources</w:t>
      </w:r>
    </w:p>
    <w:p w:rsidR="00AB02CF" w:rsidRPr="00DC322F" w:rsidRDefault="00AB02CF" w:rsidP="00AB02CF">
      <w:r w:rsidRPr="00DC322F">
        <w:rPr>
          <w:rStyle w:val="Style13ptBold"/>
        </w:rPr>
        <w:t xml:space="preserve">Rao </w:t>
      </w:r>
      <w:r w:rsidR="002E087B">
        <w:rPr>
          <w:rStyle w:val="Style13ptBold"/>
        </w:rPr>
        <w:t>‘</w:t>
      </w:r>
      <w:r w:rsidRPr="00DC322F">
        <w:rPr>
          <w:rStyle w:val="Style13ptBold"/>
        </w:rPr>
        <w:t xml:space="preserve">13 </w:t>
      </w:r>
      <w:r w:rsidR="002E087B" w:rsidRPr="002E087B">
        <w:t>[</w:t>
      </w:r>
      <w:r w:rsidRPr="002E087B">
        <w:t>Jonnah Owen Rao, Master of Business Administration in Finance School of Business, University of Nairobi, “EFFECT OF FUNDING SOURCES ON FINANCIAL SUSTAINABILITY OF WATER SECTOR INSTITUITIONS IN KENYA”, October, http://erepository.uonbi.ac.ke/</w:t>
      </w:r>
      <w:r>
        <w:t>bitstream/handle/11295/58807/Rao_Effect%20of%20funding%20sources%20on%20financial%20sustainability%20of%20water%20sector%20instituitions%20in%20Kenya.pdf?sequence=3</w:t>
      </w:r>
    </w:p>
    <w:p w:rsidR="00AB02CF" w:rsidRDefault="00AB02CF" w:rsidP="00AB02CF">
      <w:r>
        <w:t>1.1.1 Funding Sources</w:t>
      </w:r>
    </w:p>
    <w:p w:rsidR="00AB02CF" w:rsidRPr="00E04D36" w:rsidRDefault="00AB02CF" w:rsidP="00AB02CF">
      <w:r w:rsidRPr="00E04D36">
        <w:rPr>
          <w:rStyle w:val="StyleUnderline"/>
        </w:rPr>
        <w:t>The oxford dictionary</w:t>
      </w:r>
      <w:r w:rsidRPr="00E04D36">
        <w:t xml:space="preserve"> 2013 </w:t>
      </w:r>
      <w:r w:rsidRPr="00E04D36">
        <w:rPr>
          <w:rStyle w:val="StyleUnderline"/>
        </w:rPr>
        <w:t>defines funding as an act of providing</w:t>
      </w:r>
      <w:r w:rsidRPr="00E04D36">
        <w:t xml:space="preserve"> </w:t>
      </w:r>
      <w:r w:rsidRPr="00E04D36">
        <w:rPr>
          <w:rStyle w:val="Emphasis"/>
        </w:rPr>
        <w:t>resources</w:t>
      </w:r>
      <w:r w:rsidRPr="00E04D36">
        <w:t xml:space="preserve">, usually </w:t>
      </w:r>
      <w:r w:rsidRPr="00E04D36">
        <w:rPr>
          <w:rStyle w:val="StyleUnderline"/>
        </w:rPr>
        <w:t>in form of money</w:t>
      </w:r>
      <w:r w:rsidRPr="00E04D36">
        <w:t xml:space="preserve"> (financing), </w:t>
      </w:r>
      <w:r w:rsidRPr="00E04D36">
        <w:rPr>
          <w:rStyle w:val="StyleUnderline"/>
        </w:rPr>
        <w:t xml:space="preserve">or other </w:t>
      </w:r>
      <w:r w:rsidRPr="00142AC0">
        <w:rPr>
          <w:rStyle w:val="Emphasis"/>
        </w:rPr>
        <w:t>values</w:t>
      </w:r>
      <w:r w:rsidRPr="00E04D36">
        <w:t xml:space="preserve"> </w:t>
      </w:r>
      <w:r w:rsidRPr="00E04D36">
        <w:rPr>
          <w:rStyle w:val="StyleUnderline"/>
        </w:rPr>
        <w:t>such as effort or time</w:t>
      </w:r>
      <w:r w:rsidRPr="00E04D36">
        <w:t xml:space="preserve"> (sweat equity), fo</w:t>
      </w:r>
      <w:r w:rsidRPr="00E04D36">
        <w:rPr>
          <w:rStyle w:val="StyleUnderline"/>
        </w:rPr>
        <w:t>r a project, a person, a business, or any other private or public institutions</w:t>
      </w:r>
      <w:r w:rsidRPr="00E04D36">
        <w:t>. Funds are injected into the market as capital by lenders and taken as loans by borrowers. There are two ways in which the capital can end up at the borrower. The lender can lend the capital to a financial intermediary against interest. These financial intermediaries then reinvest the money against a higher rate. The use of financial intermediaries to finance operations is called indirect finance. Lender can also go the financial markets to directly lend to a borrower. This method is called direct finance (Mishkin, 2012).</w:t>
      </w:r>
    </w:p>
    <w:p w:rsidR="00AB02CF" w:rsidRDefault="00AB02CF" w:rsidP="00AB02CF">
      <w:pPr>
        <w:pStyle w:val="Heading4"/>
      </w:pPr>
      <w:r>
        <w:t>“Funding” includes other resources</w:t>
      </w:r>
    </w:p>
    <w:p w:rsidR="00AB02CF" w:rsidRDefault="00AB02CF" w:rsidP="00AB02CF">
      <w:r w:rsidRPr="007C7A6C">
        <w:rPr>
          <w:rStyle w:val="Style13ptBold"/>
        </w:rPr>
        <w:t xml:space="preserve">Webster’s </w:t>
      </w:r>
      <w:r>
        <w:rPr>
          <w:rStyle w:val="Style13ptBold"/>
        </w:rPr>
        <w:t>‘</w:t>
      </w:r>
      <w:r w:rsidRPr="007C7A6C">
        <w:rPr>
          <w:rStyle w:val="Style13ptBold"/>
        </w:rPr>
        <w:t xml:space="preserve">17 </w:t>
      </w:r>
      <w:r w:rsidRPr="00E04D36">
        <w:t>[</w:t>
      </w:r>
      <w:r>
        <w:t>Merriam-Webster’s Online Dictionary, “funding”, https://www.merriam-webster.com/dictionary/funding]</w:t>
      </w:r>
    </w:p>
    <w:p w:rsidR="00AB02CF" w:rsidRDefault="00AB02CF" w:rsidP="00AB02CF">
      <w:r>
        <w:t>Definition of fund</w:t>
      </w:r>
    </w:p>
    <w:p w:rsidR="00AB02CF" w:rsidRPr="007C7A6C" w:rsidRDefault="00AB02CF" w:rsidP="00AB02CF">
      <w:pPr>
        <w:rPr>
          <w:rStyle w:val="StyleUnderline"/>
        </w:rPr>
      </w:pPr>
      <w:r>
        <w:t xml:space="preserve">1 a :  </w:t>
      </w:r>
      <w:r w:rsidRPr="007C7A6C">
        <w:rPr>
          <w:rStyle w:val="StyleUnderline"/>
        </w:rPr>
        <w:t xml:space="preserve">a sum of money or </w:t>
      </w:r>
      <w:r w:rsidRPr="00142AC0">
        <w:rPr>
          <w:rStyle w:val="Emphasis"/>
        </w:rPr>
        <w:t>other resources</w:t>
      </w:r>
      <w:r w:rsidRPr="007C7A6C">
        <w:rPr>
          <w:rStyle w:val="StyleUnderline"/>
        </w:rPr>
        <w:t xml:space="preserve"> whose principal or interest is set apart for a specific objective</w:t>
      </w:r>
    </w:p>
    <w:p w:rsidR="00AB02CF" w:rsidRDefault="00AB02CF" w:rsidP="00AB02CF">
      <w:r>
        <w:t>b :  money on deposit on which checks or drafts can be drawn —usually used in plural</w:t>
      </w:r>
    </w:p>
    <w:p w:rsidR="00AB02CF" w:rsidRDefault="00AB02CF" w:rsidP="00AB02CF">
      <w:r>
        <w:t>c :  capital</w:t>
      </w:r>
    </w:p>
    <w:p w:rsidR="00AB02CF" w:rsidRDefault="00AB02CF" w:rsidP="00AB02CF">
      <w:r>
        <w:t>d funds plural :  the stock of the British national debt —usually used with the</w:t>
      </w:r>
    </w:p>
    <w:p w:rsidR="00AB02CF" w:rsidRDefault="00AB02CF" w:rsidP="00AB02CF">
      <w:r>
        <w:t>2 :  an available quantity of material or intangible resources :  supply</w:t>
      </w:r>
    </w:p>
    <w:p w:rsidR="00AB02CF" w:rsidRDefault="00AB02CF" w:rsidP="00AB02CF">
      <w:r>
        <w:t>3 funds plural :  available pecuniary resources</w:t>
      </w:r>
    </w:p>
    <w:p w:rsidR="00AB02CF" w:rsidRDefault="00AB02CF" w:rsidP="00AB02CF">
      <w:r>
        <w:t>4 :  an organization administering a special fund</w:t>
      </w:r>
    </w:p>
    <w:p w:rsidR="00FE5260" w:rsidRPr="00FE5260" w:rsidRDefault="00AB02CF" w:rsidP="00AB02CF">
      <w:pPr>
        <w:pStyle w:val="Heading2"/>
      </w:pPr>
      <w:r>
        <w:t xml:space="preserve"> </w:t>
      </w:r>
      <w:r w:rsidR="009F1B58">
        <w:t>“EDUCATION”</w:t>
      </w:r>
    </w:p>
    <w:p w:rsidR="00FE5260" w:rsidRDefault="00FE5260" w:rsidP="00FE5260">
      <w:pPr>
        <w:pStyle w:val="Heading3"/>
      </w:pPr>
      <w:r>
        <w:t xml:space="preserve">1NC – </w:t>
      </w:r>
      <w:r w:rsidR="009F1B58">
        <w:t>Schooling</w:t>
      </w:r>
    </w:p>
    <w:p w:rsidR="00FE5260" w:rsidRDefault="002E087B" w:rsidP="002E087B">
      <w:pPr>
        <w:pStyle w:val="Heading4"/>
      </w:pPr>
      <w:r>
        <w:t xml:space="preserve">A. </w:t>
      </w:r>
      <w:r w:rsidR="009F1B58">
        <w:t xml:space="preserve">Interpretation – “Education” is organized, sustained communication </w:t>
      </w:r>
      <w:r w:rsidR="00AB02CF">
        <w:t>to enrich</w:t>
      </w:r>
      <w:r w:rsidR="009F1B58">
        <w:t xml:space="preserve"> learning – requires schooling</w:t>
      </w:r>
    </w:p>
    <w:p w:rsidR="00FE5260" w:rsidRDefault="00FE5260" w:rsidP="00FE5260">
      <w:r w:rsidRPr="00601474">
        <w:rPr>
          <w:rStyle w:val="Style13ptBold"/>
        </w:rPr>
        <w:t>UOE Manual, ’10</w:t>
      </w:r>
      <w:r>
        <w:t xml:space="preserve"> [“UOE data collection on education systems” Volume1:  Manual Concepts, definitions and classifications, MONTREAL, PARIS, LUXEMBOURG 2010, UNESCO-UIS/OECD/EUROSTAT joint data collection (UOE) is the standard setting manual for education statistics globally and is meant to serve as master definition for UNESCOs international data collection, Sec. 2.1: Scope of Education, </w:t>
      </w:r>
      <w:hyperlink r:id="rId13" w:history="1">
        <w:r w:rsidRPr="00DB6981">
          <w:rPr>
            <w:rStyle w:val="Hyperlink"/>
          </w:rPr>
          <w:t>www.cedefop.europa.eu/files/UOE2010manual_volume1.doc</w:t>
        </w:r>
      </w:hyperlink>
      <w:r>
        <w:t xml:space="preserve">, schauer] </w:t>
      </w:r>
    </w:p>
    <w:p w:rsidR="00FE5260" w:rsidRPr="000757F0" w:rsidRDefault="00FE5260" w:rsidP="00FE5260"/>
    <w:p w:rsidR="00FE5260" w:rsidRDefault="00FE5260" w:rsidP="00FE5260">
      <w:r>
        <w:t xml:space="preserve">2.1 </w:t>
      </w:r>
      <w:r w:rsidRPr="000757F0">
        <w:rPr>
          <w:rStyle w:val="Emphasis"/>
        </w:rPr>
        <w:t>SCOPE OF “EDUCATION”</w:t>
      </w:r>
      <w:r>
        <w:t xml:space="preserve"> </w:t>
      </w:r>
      <w:r w:rsidRPr="000757F0">
        <w:rPr>
          <w:rStyle w:val="StyleUnderline"/>
        </w:rPr>
        <w:t xml:space="preserve">In defining the scope </w:t>
      </w:r>
      <w:r w:rsidRPr="000757F0">
        <w:t>of education</w:t>
      </w:r>
      <w:r>
        <w:t xml:space="preserve"> for this data collection, reference is made to the International Standard Classification of Education (ISCED) where </w:t>
      </w:r>
      <w:r w:rsidRPr="000757F0">
        <w:rPr>
          <w:rStyle w:val="StyleUnderline"/>
        </w:rPr>
        <w:t>education is defined as “organised and sustained communication designed to bring about learning”</w:t>
      </w:r>
      <w:r>
        <w:t xml:space="preserve"> (</w:t>
      </w:r>
      <w:r>
        <w:t xml:space="preserve"> see Chapter 2 or ISCED 97 available at: http://www.uis.unesco.org/publications/ISCED97). The key words in this formulation are to be understood as follows: • </w:t>
      </w:r>
      <w:r w:rsidRPr="000757F0">
        <w:rPr>
          <w:rStyle w:val="Emphasis"/>
        </w:rPr>
        <w:t>“Communication”</w:t>
      </w:r>
      <w:r>
        <w:t xml:space="preserve"> in this context </w:t>
      </w:r>
      <w:r w:rsidRPr="000757F0">
        <w:rPr>
          <w:rStyle w:val="StyleUnderline"/>
        </w:rPr>
        <w:t xml:space="preserve">requires a relation between two or more persons involving the transfer of information </w:t>
      </w:r>
      <w:r>
        <w:t xml:space="preserve">(messages, ideas, knowledge, strategies, etc.). • </w:t>
      </w:r>
      <w:r w:rsidRPr="000757F0">
        <w:rPr>
          <w:rStyle w:val="Emphasis"/>
        </w:rPr>
        <w:t>“Organised”</w:t>
      </w:r>
      <w:r>
        <w:t xml:space="preserve"> </w:t>
      </w:r>
      <w:r w:rsidRPr="000757F0">
        <w:rPr>
          <w:rStyle w:val="StyleUnderline"/>
        </w:rPr>
        <w:t xml:space="preserve">means planned in a pattern </w:t>
      </w:r>
      <w:r>
        <w:t xml:space="preserve">or sequence </w:t>
      </w:r>
      <w:r w:rsidRPr="000757F0">
        <w:rPr>
          <w:rStyle w:val="StyleUnderline"/>
        </w:rPr>
        <w:t>with established</w:t>
      </w:r>
      <w:r>
        <w:t xml:space="preserve"> aims or </w:t>
      </w:r>
      <w:r w:rsidRPr="000757F0">
        <w:rPr>
          <w:rStyle w:val="StyleUnderline"/>
        </w:rPr>
        <w:t>curricula</w:t>
      </w:r>
      <w:r>
        <w:t xml:space="preserve"> and </w:t>
      </w:r>
      <w:r w:rsidRPr="000757F0">
        <w:rPr>
          <w:rStyle w:val="StyleUnderline"/>
        </w:rPr>
        <w:t>which involves an educational agency that organises the learning situation and</w:t>
      </w:r>
      <w:r>
        <w:t xml:space="preserve">/or </w:t>
      </w:r>
      <w:r w:rsidRPr="000757F0">
        <w:rPr>
          <w:rStyle w:val="StyleUnderline"/>
        </w:rPr>
        <w:t>teachers who are employed</w:t>
      </w:r>
      <w:r>
        <w:t xml:space="preserve"> (including unpaid volunteers) to consciously organise the communication. • </w:t>
      </w:r>
      <w:r w:rsidRPr="000757F0">
        <w:rPr>
          <w:rStyle w:val="Emphasis"/>
        </w:rPr>
        <w:t>“Sustained”</w:t>
      </w:r>
      <w:r>
        <w:t xml:space="preserve"> </w:t>
      </w:r>
      <w:r w:rsidRPr="000757F0">
        <w:rPr>
          <w:rStyle w:val="StyleUnderline"/>
        </w:rPr>
        <w:t>means</w:t>
      </w:r>
      <w:r>
        <w:t xml:space="preserve"> that </w:t>
      </w:r>
      <w:r w:rsidRPr="000757F0">
        <w:rPr>
          <w:rStyle w:val="StyleUnderline"/>
        </w:rPr>
        <w:t>the learning experience has the elements of duration and continuity</w:t>
      </w:r>
      <w:r>
        <w:t xml:space="preserve">. • </w:t>
      </w:r>
      <w:r w:rsidRPr="000757F0">
        <w:rPr>
          <w:rStyle w:val="Emphasis"/>
        </w:rPr>
        <w:t>“Learning”</w:t>
      </w:r>
      <w:r>
        <w:t xml:space="preserve"> </w:t>
      </w:r>
      <w:r w:rsidRPr="000757F0">
        <w:rPr>
          <w:rStyle w:val="StyleUnderline"/>
        </w:rPr>
        <w:t>is taken as any change in behaviour, information, knowledge, understanding, attitudes, skills, or capabilities which can be retained</w:t>
      </w:r>
      <w:r>
        <w:t xml:space="preserve"> </w:t>
      </w:r>
      <w:r w:rsidRPr="000757F0">
        <w:rPr>
          <w:rStyle w:val="StyleUnderline"/>
        </w:rPr>
        <w:t xml:space="preserve">and cannot be ascribed to physical growth or </w:t>
      </w:r>
      <w:r>
        <w:t xml:space="preserve">to the development of </w:t>
      </w:r>
      <w:r w:rsidRPr="000757F0">
        <w:rPr>
          <w:rStyle w:val="StyleUnderline"/>
        </w:rPr>
        <w:t>inherited behaviour patterns.</w:t>
      </w:r>
      <w:r>
        <w:t xml:space="preserve"> </w:t>
      </w:r>
    </w:p>
    <w:p w:rsidR="009F1B58" w:rsidRDefault="009F1B58" w:rsidP="009F1B58">
      <w:pPr>
        <w:pStyle w:val="Heading4"/>
      </w:pPr>
      <w:r>
        <w:t xml:space="preserve">B. Violation – the plan </w:t>
      </w:r>
      <w:r w:rsidR="00AB02CF">
        <w:t>increases funding/regulation of learning in a non-school setting</w:t>
      </w:r>
    </w:p>
    <w:p w:rsidR="00AB02CF" w:rsidRDefault="00AB02CF" w:rsidP="00AB02CF">
      <w:pPr>
        <w:pStyle w:val="Heading4"/>
      </w:pPr>
      <w:r>
        <w:t>C. Standards</w:t>
      </w:r>
    </w:p>
    <w:p w:rsidR="00AB02CF" w:rsidRDefault="00AB02CF" w:rsidP="00AB02CF">
      <w:pPr>
        <w:pStyle w:val="Heading4"/>
        <w:ind w:left="720"/>
      </w:pPr>
      <w:r>
        <w:t xml:space="preserve">1) Limits – They allow for any aff that increases independent-learning in a non organized fashion which has no </w:t>
      </w:r>
      <w:r w:rsidRPr="00AB02CF">
        <w:rPr>
          <w:u w:val="single"/>
        </w:rPr>
        <w:t>brightline</w:t>
      </w:r>
      <w:r>
        <w:t xml:space="preserve"> and makes topical any situation where information is attained or exchanged. This explodes the </w:t>
      </w:r>
      <w:r w:rsidRPr="00AB02CF">
        <w:rPr>
          <w:u w:val="single"/>
        </w:rPr>
        <w:t>research burden</w:t>
      </w:r>
      <w:r>
        <w:t xml:space="preserve"> and leads to a proliferation of </w:t>
      </w:r>
      <w:r w:rsidRPr="00AB02CF">
        <w:rPr>
          <w:u w:val="single"/>
        </w:rPr>
        <w:t>unpredictable</w:t>
      </w:r>
      <w:r>
        <w:t xml:space="preserve"> cases on the </w:t>
      </w:r>
      <w:r w:rsidRPr="00AB02CF">
        <w:rPr>
          <w:u w:val="single"/>
        </w:rPr>
        <w:t>fringe</w:t>
      </w:r>
      <w:r w:rsidR="005C30F3">
        <w:t xml:space="preserve"> of the topic</w:t>
      </w:r>
      <w:r w:rsidR="00D27CC7">
        <w:t>.</w:t>
      </w:r>
    </w:p>
    <w:p w:rsidR="00AB02CF" w:rsidRDefault="00AB02CF" w:rsidP="005C30F3">
      <w:pPr>
        <w:pStyle w:val="Heading4"/>
        <w:ind w:left="720"/>
      </w:pPr>
      <w:r>
        <w:t xml:space="preserve">2) Ground – They avoid all links to core topic DA’s based on formal schooling like the </w:t>
      </w:r>
      <w:r w:rsidRPr="005C30F3">
        <w:rPr>
          <w:u w:val="single"/>
        </w:rPr>
        <w:t>Spending DA</w:t>
      </w:r>
      <w:r>
        <w:t xml:space="preserve"> and the </w:t>
      </w:r>
      <w:r w:rsidRPr="005C30F3">
        <w:rPr>
          <w:u w:val="single"/>
        </w:rPr>
        <w:t>Federalism DA</w:t>
      </w:r>
      <w:r>
        <w:t xml:space="preserve"> which are key </w:t>
      </w:r>
      <w:r w:rsidR="005C30F3">
        <w:t xml:space="preserve">to in-depth clash </w:t>
      </w:r>
      <w:r w:rsidR="00D27CC7">
        <w:t>over core controversies.</w:t>
      </w:r>
    </w:p>
    <w:p w:rsidR="005C30F3" w:rsidRPr="005C30F3" w:rsidRDefault="005C30F3" w:rsidP="005C30F3">
      <w:pPr>
        <w:pStyle w:val="Heading4"/>
      </w:pPr>
      <w:r>
        <w:t xml:space="preserve">D. Voters – Vote negative to preserve education and fairness </w:t>
      </w:r>
    </w:p>
    <w:p w:rsidR="00FE5260" w:rsidRPr="00FE5260" w:rsidRDefault="00FE5260" w:rsidP="00FE5260"/>
    <w:p w:rsidR="00FE5260" w:rsidRPr="00FE5260" w:rsidRDefault="00FE5260" w:rsidP="00FE5260"/>
    <w:p w:rsidR="00FE5260" w:rsidRDefault="00FE5260" w:rsidP="00FE5260">
      <w:pPr>
        <w:pStyle w:val="Heading3"/>
      </w:pPr>
      <w:r>
        <w:t xml:space="preserve">2NC – </w:t>
      </w:r>
      <w:r w:rsidR="009F1B58">
        <w:t xml:space="preserve">Schooling – Definitions </w:t>
      </w:r>
    </w:p>
    <w:p w:rsidR="00376F27" w:rsidRPr="00376F27" w:rsidRDefault="00376F27" w:rsidP="00376F27"/>
    <w:p w:rsidR="009F1B58" w:rsidRDefault="009F1B58" w:rsidP="009F1B58">
      <w:pPr>
        <w:pStyle w:val="Heading4"/>
      </w:pPr>
      <w:r>
        <w:t xml:space="preserve"> “Elementary education” requires formal schooling</w:t>
      </w:r>
    </w:p>
    <w:p w:rsidR="009F1B58" w:rsidRDefault="009F1B58" w:rsidP="009F1B58">
      <w:r w:rsidRPr="00D326FB">
        <w:rPr>
          <w:rStyle w:val="Style13ptBold"/>
        </w:rPr>
        <w:t>UNESCO ‘7</w:t>
      </w:r>
      <w:r>
        <w:t xml:space="preserve">  [“OPERATIONAL DEFINITION OF BASIC EDUCATION”, December, http://www.unesco.org/education/framework.pdf]</w:t>
      </w:r>
    </w:p>
    <w:p w:rsidR="009F1B58" w:rsidRDefault="009F1B58" w:rsidP="009F1B58">
      <w:r>
        <w:t>6.2 Elementary Education</w:t>
      </w:r>
    </w:p>
    <w:p w:rsidR="009F1B58" w:rsidRPr="003E0448" w:rsidRDefault="009F1B58" w:rsidP="009F1B58">
      <w:r>
        <w:t xml:space="preserve">The term </w:t>
      </w:r>
      <w:r w:rsidRPr="0031026D">
        <w:t>‘elementary education’</w:t>
      </w:r>
      <w:r>
        <w:t xml:space="preserve"> was less ambiguous as it was better known internationally when the Universal Declaration of Human Rights was proclaimed. It </w:t>
      </w:r>
      <w:r w:rsidRPr="00D326FB">
        <w:rPr>
          <w:rStyle w:val="StyleUnderline"/>
        </w:rPr>
        <w:t>referred to the first level of formal education</w:t>
      </w:r>
      <w:r>
        <w:t xml:space="preserve">. While the duration and contents of elementary education varied greatly among countries, </w:t>
      </w:r>
      <w:r w:rsidRPr="00D326FB">
        <w:rPr>
          <w:rStyle w:val="StyleUnderline"/>
        </w:rPr>
        <w:t>it was broadly accepted as primary</w:t>
      </w:r>
      <w:r>
        <w:t xml:space="preserve"> </w:t>
      </w:r>
      <w:r w:rsidRPr="00D326FB">
        <w:rPr>
          <w:rStyle w:val="Emphasis"/>
        </w:rPr>
        <w:t xml:space="preserve">schooling </w:t>
      </w:r>
      <w:r w:rsidRPr="00D326FB">
        <w:rPr>
          <w:rStyle w:val="StyleUnderline"/>
        </w:rPr>
        <w:t>aiming to provide for more than just the simple acquisition of literacy and numeracy</w:t>
      </w:r>
      <w:r>
        <w:t>.</w:t>
      </w:r>
    </w:p>
    <w:p w:rsidR="009F1B58" w:rsidRPr="00251E51" w:rsidRDefault="009F1B58" w:rsidP="009F1B58">
      <w:pPr>
        <w:pStyle w:val="Heading4"/>
      </w:pPr>
      <w:r w:rsidRPr="00251E51">
        <w:t xml:space="preserve">“Secondary education” </w:t>
      </w:r>
      <w:r>
        <w:t>requires formal schooling</w:t>
      </w:r>
    </w:p>
    <w:p w:rsidR="009F1B58" w:rsidRDefault="009F1B58" w:rsidP="009F1B58">
      <w:r w:rsidRPr="00251E51">
        <w:rPr>
          <w:rStyle w:val="Style13ptBold"/>
        </w:rPr>
        <w:t>USDA ‘17</w:t>
      </w:r>
      <w:r>
        <w:t xml:space="preserve"> [United States Department of Agriculture, National Agricultural Library Thesaurus and Glossary, https://agclass.nal.usda.gov/mtwdk.exe?s=1&amp;n=1&amp;y=0&amp;l=60&amp;k=glossary&amp;t=2&amp;w=secondary+education]</w:t>
      </w:r>
    </w:p>
    <w:p w:rsidR="009F1B58" w:rsidRDefault="009F1B58" w:rsidP="009F1B58">
      <w:r>
        <w:t>Definition</w:t>
      </w:r>
    </w:p>
    <w:p w:rsidR="009F1B58" w:rsidRDefault="009F1B58" w:rsidP="009F1B58">
      <w:r w:rsidRPr="00251E51">
        <w:rPr>
          <w:rStyle w:val="StyleUnderline"/>
        </w:rPr>
        <w:t>Education of students from grade 7, 8, or 9 through grade 12 (which is dependent on the school system</w:t>
      </w:r>
      <w:r>
        <w:t>).</w:t>
      </w:r>
    </w:p>
    <w:p w:rsidR="00AB02CF" w:rsidRDefault="00AB02CF" w:rsidP="00AB02CF">
      <w:pPr>
        <w:pStyle w:val="Heading3"/>
      </w:pPr>
      <w:r>
        <w:t>2AC – Schooling – C/I</w:t>
      </w:r>
    </w:p>
    <w:p w:rsidR="00AB02CF" w:rsidRPr="00191D17" w:rsidRDefault="00AB02CF" w:rsidP="00AB02CF">
      <w:pPr>
        <w:pStyle w:val="Heading4"/>
      </w:pPr>
      <w:r>
        <w:t>“Education” refers to moral, intellectual, and physical training – not limited to formal schooling</w:t>
      </w:r>
    </w:p>
    <w:p w:rsidR="00AB02CF" w:rsidRDefault="00AB02CF" w:rsidP="00AB02CF">
      <w:r w:rsidRPr="00191D17">
        <w:rPr>
          <w:rStyle w:val="Style13ptBold"/>
        </w:rPr>
        <w:t xml:space="preserve">Davenport </w:t>
      </w:r>
      <w:r w:rsidR="002E087B">
        <w:rPr>
          <w:rStyle w:val="Style13ptBold"/>
        </w:rPr>
        <w:t>‘</w:t>
      </w:r>
      <w:r w:rsidRPr="00191D17">
        <w:rPr>
          <w:rStyle w:val="Style13ptBold"/>
        </w:rPr>
        <w:t xml:space="preserve">88 </w:t>
      </w:r>
      <w:r w:rsidRPr="00B26EE8">
        <w:t>[</w:t>
      </w:r>
      <w:r>
        <w:t>J. Davenport, Judge on the Common Pleas Court of Montgomery County, Pennsylvania, “Prana Yoga Centre v. Lower Pottsgrove Township Zoning Hearing Board”, 1988 Pa. Dist. &amp; Cnty. Dec. LEXIS 253; 48 Pa. D. &amp; C.3d 650, 4-20, Lexis]</w:t>
      </w:r>
    </w:p>
    <w:p w:rsidR="00AB02CF" w:rsidRDefault="00AB02CF" w:rsidP="00AB02CF">
      <w:r>
        <w:t>DISCUSSION</w:t>
      </w:r>
    </w:p>
    <w:p w:rsidR="00AB02CF" w:rsidRPr="00B26EE8" w:rsidRDefault="00AB02CF" w:rsidP="00AB02CF">
      <w:r w:rsidRPr="00B26EE8">
        <w:t>Whether the study and training of yoga should be considered "educational" raises a novel question for</w:t>
      </w:r>
      <w:r>
        <w:t xml:space="preserve"> </w:t>
      </w:r>
      <w:r w:rsidRPr="00B26EE8">
        <w:t>[**652]</w:t>
      </w:r>
      <w:r>
        <w:t xml:space="preserve"> </w:t>
      </w:r>
      <w:r w:rsidRPr="00B26EE8">
        <w:t xml:space="preserve">this commonwealth. Section 601.5(a) of the Lower Pottsgrove Township Zoning Ordinance does not define the term "educational" for purposes of granting a special exception. In the seminal case of Gilden Appeal, 406 Pa. 484, 178 A.2d 562 (1962), the Pennsylvania Supreme Court held that </w:t>
      </w:r>
      <w:r w:rsidRPr="00B26EE8">
        <w:rPr>
          <w:rStyle w:val="StyleUnderline"/>
        </w:rPr>
        <w:t>in the absence of a stated definition</w:t>
      </w:r>
      <w:r w:rsidRPr="00B26EE8">
        <w:t xml:space="preserve">, the word </w:t>
      </w:r>
      <w:r w:rsidRPr="00B26EE8">
        <w:rPr>
          <w:rStyle w:val="Emphasis"/>
        </w:rPr>
        <w:t>"education"</w:t>
      </w:r>
      <w:r w:rsidRPr="00B26EE8">
        <w:t xml:space="preserve"> </w:t>
      </w:r>
      <w:r w:rsidRPr="00B26EE8">
        <w:rPr>
          <w:rStyle w:val="StyleUnderline"/>
        </w:rPr>
        <w:t>is to be taken in its</w:t>
      </w:r>
      <w:r w:rsidRPr="00B26EE8">
        <w:t xml:space="preserve"> </w:t>
      </w:r>
      <w:r w:rsidRPr="00B26EE8">
        <w:rPr>
          <w:rStyle w:val="Emphasis"/>
        </w:rPr>
        <w:t xml:space="preserve">broadest </w:t>
      </w:r>
      <w:r w:rsidRPr="00B26EE8">
        <w:rPr>
          <w:rStyle w:val="StyleUnderline"/>
        </w:rPr>
        <w:t>sense</w:t>
      </w:r>
      <w:r w:rsidRPr="00B26EE8">
        <w:t>:HN3Go to this Headnote in the case.</w:t>
      </w:r>
      <w:r>
        <w:t xml:space="preserve"> </w:t>
      </w:r>
      <w:r w:rsidRPr="00B26EE8">
        <w:t xml:space="preserve">"The word </w:t>
      </w:r>
      <w:r w:rsidRPr="0031026D">
        <w:rPr>
          <w:rStyle w:val="StyleUnderline"/>
        </w:rPr>
        <w:t>[education]</w:t>
      </w:r>
      <w:r w:rsidRPr="00B26EE8">
        <w:t xml:space="preserve"> </w:t>
      </w:r>
      <w:r w:rsidRPr="00B26EE8">
        <w:rPr>
          <w:rStyle w:val="StyleUnderline"/>
        </w:rPr>
        <w:t>taken in its full sense, is a</w:t>
      </w:r>
      <w:r w:rsidRPr="00B26EE8">
        <w:t xml:space="preserve"> broad, </w:t>
      </w:r>
      <w:r w:rsidRPr="005C30F3">
        <w:rPr>
          <w:rStyle w:val="StyleUnderline"/>
        </w:rPr>
        <w:t>co</w:t>
      </w:r>
      <w:r w:rsidRPr="00B26EE8">
        <w:rPr>
          <w:rStyle w:val="StyleUnderline"/>
        </w:rPr>
        <w:t>mprehensive term and</w:t>
      </w:r>
      <w:r w:rsidRPr="00B26EE8">
        <w:t xml:space="preserve"> may be particularly directed to either mental, moral or physical faculties, but </w:t>
      </w:r>
      <w:r w:rsidRPr="00B26EE8">
        <w:rPr>
          <w:rStyle w:val="StyleUnderline"/>
        </w:rPr>
        <w:t xml:space="preserve">in its broadest sense it </w:t>
      </w:r>
      <w:r w:rsidRPr="00B26EE8">
        <w:t xml:space="preserve">embraces them all, and </w:t>
      </w:r>
      <w:r w:rsidRPr="00B26EE8">
        <w:rPr>
          <w:rStyle w:val="StyleUnderline"/>
        </w:rPr>
        <w:t>includes</w:t>
      </w:r>
      <w:r w:rsidRPr="00B26EE8">
        <w:t xml:space="preserve"> [*3]</w:t>
      </w:r>
      <w:r>
        <w:t xml:space="preserve"> </w:t>
      </w:r>
      <w:r w:rsidRPr="0031026D">
        <w:rPr>
          <w:rStyle w:val="StyleUnderline"/>
        </w:rPr>
        <w:t>not merely</w:t>
      </w:r>
      <w:r w:rsidRPr="00B26EE8">
        <w:rPr>
          <w:rStyle w:val="StyleUnderline"/>
        </w:rPr>
        <w:t xml:space="preserve"> the instruction received at the school</w:t>
      </w:r>
      <w:r w:rsidRPr="00B26EE8">
        <w:t xml:space="preserve">, college or university, </w:t>
      </w:r>
      <w:r w:rsidRPr="00B26EE8">
        <w:rPr>
          <w:rStyle w:val="StyleUnderline"/>
        </w:rPr>
        <w:t>but the whole course of training</w:t>
      </w:r>
      <w:r w:rsidRPr="00B26EE8">
        <w:t xml:space="preserve"> -- </w:t>
      </w:r>
      <w:r w:rsidRPr="00B26EE8">
        <w:rPr>
          <w:rStyle w:val="StyleUnderline"/>
        </w:rPr>
        <w:t>moral, intellectual and physical</w:t>
      </w:r>
      <w:r w:rsidRPr="00B26EE8">
        <w:t>." Gilden Appeal, 406 Pa. 484, 492, 178 A.2d 562, 566 (1962).</w:t>
      </w:r>
      <w:r>
        <w:t xml:space="preserve"> </w:t>
      </w:r>
      <w:r w:rsidRPr="00B26EE8">
        <w:t>Applying this broad definition, Pennsylvania courts have held the following constitute educational uses: college dormitories, Dale v. Zoning Hearing Board of Tredyffrin Township, 91 Pa. Commw. 220, 496 A.2d 1321 (1985); a center for instruction in the culture, history, traditions and customs of the Ukranian Catholic Church, St. Sophia Religious Association of Ukranian Catholics Inc. v. Cheltenham Township, 27 Pa. Commw. 237, 365 A.2d 1389 (1976); an equestrian training center, Burgoon v. Zoning Hearing Board of Charlestown Township, 2 Pa. Commw. 238, 277 A.2d 837 (1971); and, a Little League baseball field, Kirk Zoning Appeal, 12 Chester L. Rep. 229 (1964).</w:t>
      </w:r>
      <w:r>
        <w:t xml:space="preserve"> </w:t>
      </w:r>
      <w:r w:rsidRPr="00B26EE8">
        <w:rPr>
          <w:rStyle w:val="StyleUnderline"/>
        </w:rPr>
        <w:t>The</w:t>
      </w:r>
      <w:r w:rsidRPr="00B26EE8">
        <w:t xml:space="preserve"> obvious </w:t>
      </w:r>
      <w:r w:rsidRPr="00B26EE8">
        <w:rPr>
          <w:rStyle w:val="StyleUnderline"/>
        </w:rPr>
        <w:t>import of these aforementioned cases is that</w:t>
      </w:r>
      <w:r w:rsidRPr="00B26EE8">
        <w:t xml:space="preserve"> the term </w:t>
      </w:r>
      <w:r w:rsidRPr="0031026D">
        <w:rPr>
          <w:rStyle w:val="StyleUnderline"/>
        </w:rPr>
        <w:t>"educational"</w:t>
      </w:r>
      <w:r w:rsidRPr="00B26EE8">
        <w:t xml:space="preserve"> </w:t>
      </w:r>
      <w:r w:rsidRPr="00B26EE8">
        <w:rPr>
          <w:rStyle w:val="StyleUnderline"/>
        </w:rPr>
        <w:t>may encompass more than reading, writing and arithmetic classes taught in traditional schools</w:t>
      </w:r>
      <w:r w:rsidRPr="00B26EE8">
        <w:t xml:space="preserve">, colleges or universities. Indeed, </w:t>
      </w:r>
      <w:r w:rsidRPr="00B26EE8">
        <w:rPr>
          <w:rStyle w:val="StyleUnderline"/>
        </w:rPr>
        <w:t>the word "educational" has been associated with</w:t>
      </w:r>
      <w:r w:rsidRPr="00B26EE8">
        <w:t xml:space="preserve"> [*4]</w:t>
      </w:r>
      <w:r>
        <w:t xml:space="preserve"> </w:t>
      </w:r>
      <w:r w:rsidRPr="00B26EE8">
        <w:rPr>
          <w:rStyle w:val="StyleUnderline"/>
        </w:rPr>
        <w:t>any type of training which promotes</w:t>
      </w:r>
      <w:r>
        <w:t xml:space="preserve"> </w:t>
      </w:r>
      <w:r w:rsidRPr="00B26EE8">
        <w:t>[**653]</w:t>
      </w:r>
      <w:r>
        <w:t xml:space="preserve"> </w:t>
      </w:r>
      <w:r w:rsidRPr="00B26EE8">
        <w:rPr>
          <w:rStyle w:val="StyleUnderline"/>
        </w:rPr>
        <w:t>moral, intellectual or physical well-being</w:t>
      </w:r>
      <w:r w:rsidRPr="00B26EE8">
        <w:t>. Burgoon v. Zoning Hearing Board of Charlestown Township, supra; Kirk Zoning Appeal, supra.</w:t>
      </w:r>
      <w:r>
        <w:t xml:space="preserve"> </w:t>
      </w:r>
      <w:r w:rsidRPr="00B26EE8">
        <w:t>The record here reveals uncontradicted testimony from several of appellant's witnesses who testified at the board hearing as to the educational nature of yoga. Dr. William Newman, chairman of the Psychology Department at Lehigh University, testified that aspects of yoga are taught in some of the psychology courses at Lehigh and through the physical education classes. He testified that yoga is also taught at Cabrini College in Radnor. Newman opined that yoga is educational in as much as it helps people to develop and realize themselves. Similarly, Dr. Glenn Alexander, a professor of economics at Villanova University, told the board that he has been a student of yoga for approximately 23 years, that yoga "enables the individual to become a better person" and that yoga was "absolutely" educational. Alexander explained that he has previously taken yoga classes taught by Prana Yoga, that he paid a tuition, and that books were available for use in the yoga class. Finally, Richard McKinney,</w:t>
      </w:r>
      <w:r>
        <w:t xml:space="preserve"> </w:t>
      </w:r>
      <w:r w:rsidRPr="00B26EE8">
        <w:t>[*5]</w:t>
      </w:r>
      <w:r>
        <w:t xml:space="preserve"> </w:t>
      </w:r>
      <w:r w:rsidRPr="00B26EE8">
        <w:t>formerly the director of Lion's Technical Institute in Upper Darby, testified that he has practiced yoga for many years and that yoga "relaxes him and provides a level of stress reduction." He testified that in his belief, yoga has educational benefits.</w:t>
      </w:r>
      <w:r>
        <w:t xml:space="preserve"> </w:t>
      </w:r>
      <w:r w:rsidRPr="00B26EE8">
        <w:t>This court has reviewed the testimony presented at the public hearings and finds that yoga may have some educational value. It is undisputed that yoga is taught in institutions of higher education. Additionally, the Prana Yoga Centre conducts yoga classes at a neighborhood YMCA, and for an adult night school program. Appellants' proposed use will allow persons in the community to receive supervised instruction in the methods and techniques of yoga.</w:t>
      </w:r>
      <w:r>
        <w:t xml:space="preserve"> </w:t>
      </w:r>
      <w:r w:rsidRPr="00B26EE8">
        <w:t>[**654]</w:t>
      </w:r>
      <w:r>
        <w:t xml:space="preserve"> </w:t>
      </w:r>
      <w:r w:rsidRPr="00B26EE8">
        <w:t>Students will be taught by yoga instructors who are not only familiar with the practice of yoga, but also with general literature and the philosophy behind yoga. Yoga techniques that will be taught include learning how to stretch, loosen and relax your body.</w:t>
      </w:r>
      <w:r>
        <w:t xml:space="preserve"> </w:t>
      </w:r>
      <w:r w:rsidRPr="00B26EE8">
        <w:t xml:space="preserve">In defining "educational," Pennsylvania case law has gone beyond traditional academics. In a broad, positive sense, "education" operates to develop the individual, enabling that person to better </w:t>
      </w:r>
      <w:r w:rsidRPr="00B26EE8">
        <w:rPr>
          <w:strike/>
        </w:rPr>
        <w:t>him</w:t>
      </w:r>
      <w:r w:rsidRPr="00B26EE8">
        <w:t>self,</w:t>
      </w:r>
      <w:r w:rsidRPr="00B26EE8">
        <w:rPr>
          <w:strike/>
        </w:rPr>
        <w:t xml:space="preserve"> his</w:t>
      </w:r>
      <w:r w:rsidRPr="00B26EE8">
        <w:t xml:space="preserve"> family and the [*6]</w:t>
      </w:r>
      <w:r>
        <w:t xml:space="preserve"> </w:t>
      </w:r>
      <w:r w:rsidRPr="00B26EE8">
        <w:t xml:space="preserve">society in which </w:t>
      </w:r>
      <w:r w:rsidRPr="00B26EE8">
        <w:rPr>
          <w:strike/>
        </w:rPr>
        <w:t>he</w:t>
      </w:r>
      <w:r w:rsidRPr="00B26EE8">
        <w:t xml:space="preserve"> lives. Surely yoga benefits individuals by developing the mind, teaching people how to concentrate, how to relieve stress and how to function more effectively. </w:t>
      </w:r>
      <w:r w:rsidRPr="00B26EE8">
        <w:rPr>
          <w:rStyle w:val="StyleUnderline"/>
        </w:rPr>
        <w:t>To imply</w:t>
      </w:r>
      <w:r w:rsidRPr="00B26EE8">
        <w:t xml:space="preserve">, as the board stated in its written opinion, </w:t>
      </w:r>
      <w:r w:rsidRPr="00B26EE8">
        <w:rPr>
          <w:rStyle w:val="StyleUnderline"/>
        </w:rPr>
        <w:t>that yoga fails to be "educational" because the training is "not part of the</w:t>
      </w:r>
      <w:r w:rsidRPr="00B26EE8">
        <w:t xml:space="preserve"> university </w:t>
      </w:r>
      <w:r w:rsidRPr="00B26EE8">
        <w:rPr>
          <w:rStyle w:val="StyleUnderline"/>
        </w:rPr>
        <w:t>curriculum"</w:t>
      </w:r>
      <w:r w:rsidRPr="00B26EE8">
        <w:t xml:space="preserve"> or that the training is "more in the physical education of the student rather than the intellectual education of the student," </w:t>
      </w:r>
      <w:r w:rsidRPr="00B26EE8">
        <w:rPr>
          <w:rStyle w:val="StyleUnderline"/>
        </w:rPr>
        <w:t>is</w:t>
      </w:r>
      <w:r w:rsidRPr="00B26EE8">
        <w:t xml:space="preserve"> nothing short of </w:t>
      </w:r>
      <w:r w:rsidRPr="00B26EE8">
        <w:rPr>
          <w:rStyle w:val="StyleUnderline"/>
        </w:rPr>
        <w:t>absurd</w:t>
      </w:r>
      <w:r w:rsidRPr="00B26EE8">
        <w:t>.HN4</w:t>
      </w:r>
    </w:p>
    <w:p w:rsidR="00AB02CF" w:rsidRDefault="00AB02CF" w:rsidP="00AB02CF"/>
    <w:p w:rsidR="00376F27" w:rsidRDefault="00376F27" w:rsidP="00376F27">
      <w:pPr>
        <w:pStyle w:val="Heading3"/>
      </w:pPr>
      <w:r>
        <w:t>Education – Years</w:t>
      </w:r>
    </w:p>
    <w:p w:rsidR="00376F27" w:rsidRPr="000757F0" w:rsidRDefault="00376F27" w:rsidP="00376F27"/>
    <w:p w:rsidR="00376F27" w:rsidRDefault="00376F27" w:rsidP="00376F27">
      <w:pPr>
        <w:pStyle w:val="Heading4"/>
      </w:pPr>
      <w:r>
        <w:t xml:space="preserve">Education spans ages 5 – 18  </w:t>
      </w:r>
    </w:p>
    <w:p w:rsidR="00376F27" w:rsidRPr="00C153EB" w:rsidRDefault="00376F27" w:rsidP="00376F27">
      <w:r w:rsidRPr="008310FC">
        <w:rPr>
          <w:rStyle w:val="Style13ptBold"/>
        </w:rPr>
        <w:t>Bunker No Date</w:t>
      </w:r>
      <w:r w:rsidR="002E087B">
        <w:rPr>
          <w:rStyle w:val="Style13ptBold"/>
        </w:rPr>
        <w:t xml:space="preserve"> </w:t>
      </w:r>
      <w:r>
        <w:t>[ANTONELLA CORSI-BUNKER, No Date, “GUIDE TO THE EDUCATION SYSTEM IN THE UNITED STATES,” International Student and Scholar Services, University of Minnesota, https://isss.umn.edu/publications/USEducation/4.pdf]</w:t>
      </w:r>
    </w:p>
    <w:p w:rsidR="00376F27" w:rsidRDefault="00376F27" w:rsidP="00376F27">
      <w:pPr>
        <w:tabs>
          <w:tab w:val="left" w:pos="7272"/>
        </w:tabs>
      </w:pPr>
      <w:r w:rsidRPr="001A2499">
        <w:rPr>
          <w:rStyle w:val="StyleUnderline"/>
        </w:rPr>
        <w:t>The first years of compulsory schooling are called</w:t>
      </w:r>
      <w:r>
        <w:t xml:space="preserve"> </w:t>
      </w:r>
      <w:r w:rsidRPr="001A2499">
        <w:rPr>
          <w:rStyle w:val="Emphasis"/>
        </w:rPr>
        <w:t xml:space="preserve">elementary </w:t>
      </w:r>
      <w:r>
        <w:t>or primary</w:t>
      </w:r>
      <w:r w:rsidRPr="001A2499">
        <w:rPr>
          <w:rStyle w:val="StyleUnderline"/>
        </w:rPr>
        <w:t xml:space="preserve"> school</w:t>
      </w:r>
      <w:r>
        <w:t xml:space="preserve"> (just to confuse the issue, elementary schools are also called grade or grammar schools). </w:t>
      </w:r>
      <w:r w:rsidRPr="001A2499">
        <w:rPr>
          <w:rStyle w:val="Emphasis"/>
        </w:rPr>
        <w:t>Secondary education</w:t>
      </w:r>
      <w:r>
        <w:t xml:space="preserve"> </w:t>
      </w:r>
      <w:r w:rsidRPr="001A2499">
        <w:rPr>
          <w:rStyle w:val="StyleUnderline"/>
        </w:rPr>
        <w:t>is for children aged 12 to 18.</w:t>
      </w:r>
      <w:r>
        <w:t xml:space="preserve"> </w:t>
      </w:r>
      <w:r w:rsidRPr="001A2499">
        <w:rPr>
          <w:rStyle w:val="StyleUnderline"/>
        </w:rPr>
        <w:t>Secondary school</w:t>
      </w:r>
      <w:r>
        <w:t xml:space="preserve"> generally takes place in a high school, which </w:t>
      </w:r>
      <w:r w:rsidRPr="001A2499">
        <w:rPr>
          <w:rStyle w:val="StyleUnderline"/>
        </w:rPr>
        <w:t>is often divided into junior and senior high</w:t>
      </w:r>
      <w:r>
        <w:t xml:space="preserve">. </w:t>
      </w:r>
      <w:r w:rsidRPr="00376F27">
        <w:rPr>
          <w:rStyle w:val="StyleUnderline"/>
        </w:rPr>
        <w:t>Junior high</w:t>
      </w:r>
      <w:r>
        <w:t xml:space="preserve"> (also called Middle School) </w:t>
      </w:r>
      <w:r w:rsidRPr="00376F27">
        <w:rPr>
          <w:rStyle w:val="StyleUnderline"/>
        </w:rPr>
        <w:t xml:space="preserve">is for those aged 11 to 14 </w:t>
      </w:r>
      <w:r>
        <w:t xml:space="preserve">and </w:t>
      </w:r>
      <w:r w:rsidRPr="00376F27">
        <w:rPr>
          <w:rStyle w:val="StyleUnderline"/>
        </w:rPr>
        <w:t>senior high is for students aged 15 to 18</w:t>
      </w:r>
      <w:r>
        <w:t xml:space="preserve">. </w:t>
      </w:r>
      <w:r w:rsidRPr="001A2499">
        <w:rPr>
          <w:rStyle w:val="StyleUnderline"/>
        </w:rPr>
        <w:t>Primary education starts at the age of five, in Kindergarten</w:t>
      </w:r>
      <w:r>
        <w:t xml:space="preserve">. To qualify for kindergarten a child must be five years old on or before a ‘cut-off’ date (in the State of Minnesota the cutoff date is 1st September) to attend that year. For example, if your child turns 5 years old on July 31, 2007, then he will start school in September, 2007. If your child turns 5 years old on December 12, 2007, then she will begin school in September, 2008.Usually a child must be enrolled in kindergarten or first grade in the calendar year in which he turns six. Elementary school, which is almost always co-educational (mixed boys and girls), is usually attended from the age of 5 or 6 until 11 (grades K to 6), when students go on to a middle or junior high school. In some school districts, students attend elementary school until 14 (up to grade 8) before attending a senior high school. </w:t>
      </w:r>
    </w:p>
    <w:p w:rsidR="00EA7934" w:rsidRDefault="00EA7934" w:rsidP="00EA7934">
      <w:pPr>
        <w:pStyle w:val="Heading3"/>
      </w:pPr>
      <w:r>
        <w:t>Elementary Education – Excludes ECE</w:t>
      </w:r>
    </w:p>
    <w:p w:rsidR="00EA7934" w:rsidRDefault="00EA7934" w:rsidP="00EA7934"/>
    <w:p w:rsidR="00EA7934" w:rsidRDefault="00070A96" w:rsidP="00EA7934">
      <w:pPr>
        <w:pStyle w:val="Heading4"/>
      </w:pPr>
      <w:r>
        <w:t>“</w:t>
      </w:r>
      <w:r w:rsidR="00EA7934">
        <w:t>Elementary education</w:t>
      </w:r>
      <w:r>
        <w:t>”</w:t>
      </w:r>
      <w:r w:rsidR="00EA7934">
        <w:t xml:space="preserve"> excludes Early Childhood Education</w:t>
      </w:r>
    </w:p>
    <w:p w:rsidR="00EA7934" w:rsidRDefault="00EA7934" w:rsidP="00EA7934">
      <w:r w:rsidRPr="006D6CC3">
        <w:rPr>
          <w:rStyle w:val="Style13ptBold"/>
        </w:rPr>
        <w:t>Flavin ‘16</w:t>
      </w:r>
      <w:r w:rsidRPr="006D6CC3">
        <w:rPr>
          <w:rStyle w:val="Style13ptBold"/>
          <w:u w:val="none"/>
        </w:rPr>
        <w:t xml:space="preserve"> </w:t>
      </w:r>
      <w:r w:rsidRPr="006D6CC3">
        <w:t xml:space="preserve"> </w:t>
      </w:r>
      <w:r>
        <w:t>[Brianna Flavin, MFA, Freelance Writer for Collegis Education, “Early Childhood Education vs. Elementary Education: Which Environment is Right for You?”, Rasmussen 5-23, http://www.rasmussen.edu/degrees/education/blog/early-childhood-education-vs-elementary-education/]</w:t>
      </w:r>
    </w:p>
    <w:p w:rsidR="00EA7934" w:rsidRPr="006D6CC3" w:rsidRDefault="00EA7934" w:rsidP="00EA7934">
      <w:r w:rsidRPr="006D6CC3">
        <w:rPr>
          <w:rStyle w:val="StyleUnderline"/>
        </w:rPr>
        <w:t xml:space="preserve">Early childhood </w:t>
      </w:r>
      <w:r w:rsidRPr="0031026D">
        <w:rPr>
          <w:rStyle w:val="StyleUnderline"/>
        </w:rPr>
        <w:t>education (ECE)</w:t>
      </w:r>
      <w:r w:rsidRPr="006D6CC3">
        <w:t xml:space="preserve"> </w:t>
      </w:r>
      <w:r w:rsidRPr="006D6CC3">
        <w:rPr>
          <w:rStyle w:val="StyleUnderline"/>
        </w:rPr>
        <w:t>focuses on the</w:t>
      </w:r>
      <w:r w:rsidRPr="006D6CC3">
        <w:t xml:space="preserve"> academic, social and cognitive </w:t>
      </w:r>
      <w:r w:rsidRPr="006D6CC3">
        <w:rPr>
          <w:rStyle w:val="StyleUnderline"/>
        </w:rPr>
        <w:t>skills that develop</w:t>
      </w:r>
      <w:r w:rsidRPr="006D6CC3">
        <w:t xml:space="preserve"> in children </w:t>
      </w:r>
      <w:r w:rsidRPr="006D6CC3">
        <w:rPr>
          <w:rStyle w:val="StyleUnderline"/>
        </w:rPr>
        <w:t>from birth through preschool</w:t>
      </w:r>
      <w:r w:rsidRPr="00177DEA">
        <w:t xml:space="preserve">. </w:t>
      </w:r>
      <w:r w:rsidRPr="0031026D">
        <w:rPr>
          <w:rStyle w:val="StyleUnderline"/>
        </w:rPr>
        <w:t>Elementary education</w:t>
      </w:r>
      <w:r w:rsidRPr="006D6CC3">
        <w:t xml:space="preserve"> </w:t>
      </w:r>
      <w:r w:rsidRPr="006D6CC3">
        <w:rPr>
          <w:rStyle w:val="StyleUnderline"/>
        </w:rPr>
        <w:t xml:space="preserve">refers to the primary education that comes after preschool but before middle school </w:t>
      </w:r>
      <w:r w:rsidRPr="006D6CC3">
        <w:t>(typically kindergarten through fifth or sixth grade.)</w:t>
      </w:r>
      <w:r>
        <w:t xml:space="preserve"> </w:t>
      </w:r>
      <w:r w:rsidRPr="006D6CC3">
        <w:rPr>
          <w:rStyle w:val="StyleUnderline"/>
        </w:rPr>
        <w:t>There are definite</w:t>
      </w:r>
      <w:r w:rsidRPr="006D6CC3">
        <w:t xml:space="preserve"> </w:t>
      </w:r>
      <w:r w:rsidRPr="006D6CC3">
        <w:rPr>
          <w:rStyle w:val="Emphasis"/>
        </w:rPr>
        <w:t>distinctions</w:t>
      </w:r>
      <w:r w:rsidRPr="006D6CC3">
        <w:t xml:space="preserve"> </w:t>
      </w:r>
      <w:r w:rsidRPr="006D6CC3">
        <w:rPr>
          <w:rStyle w:val="StyleUnderline"/>
        </w:rPr>
        <w:t>between the two</w:t>
      </w:r>
      <w:r w:rsidRPr="006D6CC3">
        <w:t xml:space="preserve"> sectors </w:t>
      </w:r>
      <w:r w:rsidRPr="006D6CC3">
        <w:rPr>
          <w:rStyle w:val="StyleUnderline"/>
        </w:rPr>
        <w:t>that are important</w:t>
      </w:r>
      <w:r w:rsidRPr="006D6CC3">
        <w:t xml:space="preserve"> to understand. We’re here to help you make an informed decision about early childhood education versus elementary education. We combined government information, real-time job market data and expert insight to provide you a side-by-side comparison below.</w:t>
      </w:r>
    </w:p>
    <w:p w:rsidR="00EA7934" w:rsidRPr="00177DEA" w:rsidRDefault="00EA7934" w:rsidP="00EA7934"/>
    <w:p w:rsidR="00EA7934" w:rsidRDefault="00EA7934" w:rsidP="00EA7934">
      <w:pPr>
        <w:pStyle w:val="Heading4"/>
      </w:pPr>
      <w:r>
        <w:t xml:space="preserve">A </w:t>
      </w:r>
      <w:r w:rsidRPr="00063A9B">
        <w:rPr>
          <w:u w:val="single"/>
        </w:rPr>
        <w:t>strict distinction</w:t>
      </w:r>
      <w:r>
        <w:t xml:space="preserve"> is key </w:t>
      </w:r>
    </w:p>
    <w:p w:rsidR="00EA7934" w:rsidRDefault="00EA7934" w:rsidP="00EA7934">
      <w:r w:rsidRPr="002B483B">
        <w:rPr>
          <w:rStyle w:val="Style13ptBold"/>
        </w:rPr>
        <w:t>MEG ‘17</w:t>
      </w:r>
      <w:r w:rsidRPr="002B483B">
        <w:rPr>
          <w:rStyle w:val="Style13ptBold"/>
          <w:u w:val="none"/>
        </w:rPr>
        <w:t xml:space="preserve"> </w:t>
      </w:r>
      <w:r w:rsidRPr="002B483B">
        <w:t xml:space="preserve"> </w:t>
      </w:r>
      <w:r>
        <w:t>[Master of Education Degree Guide, “What Grades Can You Teach With an Early Childhood Education Degree?”, http://www.master-of-education.org/faq/what-grades-can-you-teach-with-an-early-childhood-education-degree/]</w:t>
      </w:r>
    </w:p>
    <w:p w:rsidR="00EA7934" w:rsidRPr="006D6CC3" w:rsidRDefault="00EA7934" w:rsidP="00EA7934">
      <w:r>
        <w:t xml:space="preserve">What is the Primary Focus of an Early Childhood Education Program? </w:t>
      </w:r>
      <w:r w:rsidRPr="006D6CC3">
        <w:rPr>
          <w:rStyle w:val="StyleUnderline"/>
        </w:rPr>
        <w:t>It is</w:t>
      </w:r>
      <w:r w:rsidRPr="006D6CC3">
        <w:t xml:space="preserve"> very </w:t>
      </w:r>
      <w:r w:rsidRPr="006D6CC3">
        <w:rPr>
          <w:rStyle w:val="StyleUnderline"/>
        </w:rPr>
        <w:t>important to understand the distinctions between</w:t>
      </w:r>
      <w:r w:rsidRPr="006D6CC3">
        <w:t xml:space="preserve"> the focus of an </w:t>
      </w:r>
      <w:r w:rsidRPr="006D6CC3">
        <w:rPr>
          <w:rStyle w:val="Emphasis"/>
        </w:rPr>
        <w:t>E</w:t>
      </w:r>
      <w:r w:rsidRPr="006D6CC3">
        <w:t xml:space="preserve">arly </w:t>
      </w:r>
      <w:r w:rsidRPr="006D6CC3">
        <w:rPr>
          <w:rStyle w:val="Emphasis"/>
        </w:rPr>
        <w:t>C</w:t>
      </w:r>
      <w:r w:rsidRPr="006D6CC3">
        <w:t xml:space="preserve">hildhood </w:t>
      </w:r>
      <w:r w:rsidRPr="006D6CC3">
        <w:rPr>
          <w:rStyle w:val="Emphasis"/>
        </w:rPr>
        <w:t>E</w:t>
      </w:r>
      <w:r w:rsidRPr="006D6CC3">
        <w:t xml:space="preserve">ducation program </w:t>
      </w:r>
      <w:r w:rsidRPr="006D6CC3">
        <w:rPr>
          <w:rStyle w:val="StyleUnderline"/>
        </w:rPr>
        <w:t>and</w:t>
      </w:r>
      <w:r w:rsidRPr="006D6CC3">
        <w:t xml:space="preserve"> an </w:t>
      </w:r>
      <w:r w:rsidRPr="006D6CC3">
        <w:rPr>
          <w:rStyle w:val="StyleUnderline"/>
        </w:rPr>
        <w:t>Elementary Education</w:t>
      </w:r>
      <w:r w:rsidRPr="006D6CC3">
        <w:t xml:space="preserve"> program. </w:t>
      </w:r>
      <w:r w:rsidRPr="002B483B">
        <w:rPr>
          <w:rStyle w:val="StyleUnderline"/>
        </w:rPr>
        <w:t xml:space="preserve">While each </w:t>
      </w:r>
      <w:r w:rsidRPr="006D6CC3">
        <w:t xml:space="preserve">program </w:t>
      </w:r>
      <w:r w:rsidRPr="002B483B">
        <w:rPr>
          <w:rStyle w:val="StyleUnderline"/>
        </w:rPr>
        <w:t>has some</w:t>
      </w:r>
      <w:r w:rsidRPr="006D6CC3">
        <w:t xml:space="preserve"> subject area </w:t>
      </w:r>
      <w:r w:rsidRPr="002B483B">
        <w:rPr>
          <w:rStyle w:val="StyleUnderline"/>
        </w:rPr>
        <w:t>overlap</w:t>
      </w:r>
      <w:r w:rsidRPr="006D6CC3">
        <w:t>, t</w:t>
      </w:r>
      <w:r w:rsidRPr="006D6CC3">
        <w:rPr>
          <w:rStyle w:val="StyleUnderline"/>
        </w:rPr>
        <w:t xml:space="preserve">he focus of each </w:t>
      </w:r>
      <w:r w:rsidRPr="006D6CC3">
        <w:t xml:space="preserve">program </w:t>
      </w:r>
      <w:r w:rsidRPr="006D6CC3">
        <w:rPr>
          <w:rStyle w:val="StyleUnderline"/>
        </w:rPr>
        <w:t>is</w:t>
      </w:r>
      <w:r w:rsidRPr="006D6CC3">
        <w:t xml:space="preserve"> very </w:t>
      </w:r>
      <w:r w:rsidRPr="006D6CC3">
        <w:rPr>
          <w:rStyle w:val="StyleUnderline"/>
        </w:rPr>
        <w:t>different.</w:t>
      </w:r>
      <w:r w:rsidRPr="006D6CC3">
        <w:t xml:space="preserve"> When you study </w:t>
      </w:r>
      <w:r w:rsidRPr="002B483B">
        <w:rPr>
          <w:rStyle w:val="StyleUnderline"/>
        </w:rPr>
        <w:t xml:space="preserve">for </w:t>
      </w:r>
      <w:r w:rsidRPr="006D6CC3">
        <w:t xml:space="preserve">an </w:t>
      </w:r>
      <w:r w:rsidRPr="002B483B">
        <w:rPr>
          <w:rStyle w:val="StyleUnderline"/>
        </w:rPr>
        <w:t>Elementary Education</w:t>
      </w:r>
      <w:r w:rsidRPr="006D6CC3">
        <w:t xml:space="preserve"> degree, </w:t>
      </w:r>
      <w:r w:rsidRPr="002B483B">
        <w:rPr>
          <w:rStyle w:val="StyleUnderline"/>
        </w:rPr>
        <w:t>the primary focus will be on primary education that is needed after preschool and before middle school</w:t>
      </w:r>
      <w:r w:rsidRPr="006D6CC3">
        <w:t>.</w:t>
      </w:r>
      <w:r>
        <w:t xml:space="preserve"> </w:t>
      </w:r>
      <w:r w:rsidRPr="006D6CC3">
        <w:t>What is Student Teaching?</w:t>
      </w:r>
      <w:r>
        <w:t xml:space="preserve"> </w:t>
      </w:r>
      <w:r w:rsidRPr="006D6CC3">
        <w:rPr>
          <w:rStyle w:val="StyleUnderline"/>
        </w:rPr>
        <w:t>The primary focus of</w:t>
      </w:r>
      <w:r w:rsidRPr="006D6CC3">
        <w:t xml:space="preserve"> an </w:t>
      </w:r>
      <w:r w:rsidRPr="006D6CC3">
        <w:rPr>
          <w:rStyle w:val="Emphasis"/>
        </w:rPr>
        <w:t>E</w:t>
      </w:r>
      <w:r w:rsidRPr="006D6CC3">
        <w:t xml:space="preserve">arly </w:t>
      </w:r>
      <w:r w:rsidRPr="006D6CC3">
        <w:rPr>
          <w:rStyle w:val="Emphasis"/>
        </w:rPr>
        <w:t>C</w:t>
      </w:r>
      <w:r w:rsidRPr="006D6CC3">
        <w:t xml:space="preserve">hildhood </w:t>
      </w:r>
      <w:r w:rsidRPr="006D6CC3">
        <w:rPr>
          <w:rStyle w:val="Emphasis"/>
        </w:rPr>
        <w:t>E</w:t>
      </w:r>
      <w:r w:rsidRPr="006D6CC3">
        <w:t xml:space="preserve">ducation program </w:t>
      </w:r>
      <w:r w:rsidRPr="002B483B">
        <w:rPr>
          <w:rStyle w:val="StyleUnderline"/>
        </w:rPr>
        <w:t>is on developing</w:t>
      </w:r>
      <w:r w:rsidRPr="006D6CC3">
        <w:t xml:space="preserve"> </w:t>
      </w:r>
      <w:r w:rsidRPr="002B483B">
        <w:rPr>
          <w:rStyle w:val="StyleUnderline"/>
        </w:rPr>
        <w:t>the academic, cognitive, and social skills that infants, toddlers, and young children in preschool need</w:t>
      </w:r>
      <w:r w:rsidRPr="006D6CC3">
        <w:t>. Once you complete your ECE degree program, you will have the training and skills that you need to work in a preschool setting.</w:t>
      </w:r>
      <w:r>
        <w:t xml:space="preserve"> </w:t>
      </w:r>
      <w:r w:rsidRPr="006D6CC3">
        <w:t>What Are the Core Courses That You Will Take When You Study For a Your ECE Degree?</w:t>
      </w:r>
      <w:r>
        <w:t xml:space="preserve"> </w:t>
      </w:r>
      <w:r w:rsidRPr="006D6CC3">
        <w:t>It is crucial to be a patient person at heart when you work with children in preschools, Montessori schools and kindergartens. Unfortunately, patience is not the only skill that you need. To really succeed at teaching students who are in preschool, you need to complete a formal education program that touches on concepts in each of the subjects you need to know. Here are some of the core courses that you will complete in an ECE degree program:</w:t>
      </w:r>
      <w:r>
        <w:t xml:space="preserve"> </w:t>
      </w:r>
      <w:r w:rsidRPr="006D6CC3">
        <w:t>* Language and literacy development</w:t>
      </w:r>
      <w:r>
        <w:t xml:space="preserve"> </w:t>
      </w:r>
      <w:r w:rsidRPr="006D6CC3">
        <w:t>* Cognitive development</w:t>
      </w:r>
      <w:r>
        <w:t xml:space="preserve"> </w:t>
      </w:r>
      <w:r w:rsidRPr="006D6CC3">
        <w:t>* Creative expression</w:t>
      </w:r>
      <w:r>
        <w:t xml:space="preserve"> </w:t>
      </w:r>
      <w:r w:rsidRPr="006D6CC3">
        <w:t>* Social and emotional development</w:t>
      </w:r>
      <w:r>
        <w:t xml:space="preserve"> </w:t>
      </w:r>
      <w:r w:rsidRPr="006D6CC3">
        <w:t>* Executive function</w:t>
      </w:r>
      <w:r>
        <w:t xml:space="preserve"> </w:t>
      </w:r>
      <w:r w:rsidRPr="006D6CC3">
        <w:t>* Physical development and wellness</w:t>
      </w:r>
      <w:r>
        <w:t xml:space="preserve"> </w:t>
      </w:r>
      <w:r w:rsidRPr="006D6CC3">
        <w:t>* Motor development</w:t>
      </w:r>
      <w:r>
        <w:t xml:space="preserve"> </w:t>
      </w:r>
      <w:r w:rsidRPr="006D6CC3">
        <w:t>* Approaches to learning</w:t>
      </w:r>
      <w:r>
        <w:t xml:space="preserve"> </w:t>
      </w:r>
      <w:r w:rsidRPr="006D6CC3">
        <w:t>* Basic subject matter areas like social studies, math, science, and the arts</w:t>
      </w:r>
    </w:p>
    <w:p w:rsidR="00EA7934" w:rsidRDefault="00EA7934" w:rsidP="00EA7934"/>
    <w:p w:rsidR="00EA7934" w:rsidRPr="00D72686" w:rsidRDefault="00EA7934" w:rsidP="00EA7934"/>
    <w:p w:rsidR="00EA7934" w:rsidRDefault="00EA7934" w:rsidP="00EA7934">
      <w:pPr>
        <w:pStyle w:val="Heading3"/>
      </w:pPr>
      <w:r>
        <w:t xml:space="preserve">Secondary Education – Years </w:t>
      </w:r>
    </w:p>
    <w:p w:rsidR="002848A9" w:rsidRDefault="00070A96" w:rsidP="002848A9">
      <w:pPr>
        <w:pStyle w:val="Heading4"/>
      </w:pPr>
      <w:r>
        <w:t>“</w:t>
      </w:r>
      <w:r w:rsidR="002848A9">
        <w:t>Secondary education</w:t>
      </w:r>
      <w:r>
        <w:t>”</w:t>
      </w:r>
      <w:r w:rsidR="002848A9">
        <w:t xml:space="preserve"> is middle school and high school</w:t>
      </w:r>
    </w:p>
    <w:p w:rsidR="002848A9" w:rsidRPr="003D54CC" w:rsidRDefault="002848A9" w:rsidP="002848A9">
      <w:r w:rsidRPr="008310FC">
        <w:rPr>
          <w:rStyle w:val="Style13ptBold"/>
        </w:rPr>
        <w:t>Iriti ’10</w:t>
      </w:r>
      <w:r>
        <w:t xml:space="preserve"> [Jennifer Iriti, PhD and William Bickel, PhD, 4/26/10, “Secondary Education in the United States A Briefing for The Heinz Endowments’ Education Program” Evaluation for Learning Project University of Pittsburgh’s Learning Research and Development Center, http://www.heinz.org/userfiles/file/new%20copy%20for%20education%20program/secondaryeducationintheus-briefingfortheeducationprogram.pdf]</w:t>
      </w:r>
    </w:p>
    <w:p w:rsidR="002848A9" w:rsidRDefault="002848A9" w:rsidP="002848A9">
      <w:r w:rsidRPr="008310FC">
        <w:rPr>
          <w:rStyle w:val="StyleUnderline"/>
        </w:rPr>
        <w:t>The focus of these brief notes is on</w:t>
      </w:r>
      <w:r>
        <w:t xml:space="preserve"> </w:t>
      </w:r>
      <w:r w:rsidRPr="0031026D">
        <w:rPr>
          <w:rStyle w:val="StyleUnderline"/>
        </w:rPr>
        <w:t>secondary education</w:t>
      </w:r>
      <w:r>
        <w:t xml:space="preserve"> -- </w:t>
      </w:r>
      <w:r w:rsidRPr="008310FC">
        <w:rPr>
          <w:rStyle w:val="StyleUnderline"/>
        </w:rPr>
        <w:t>the middle and high school years</w:t>
      </w:r>
      <w:r>
        <w:t xml:space="preserve">-- and is rooted in the assumption that </w:t>
      </w:r>
      <w:r w:rsidRPr="008310FC">
        <w:rPr>
          <w:rStyle w:val="StyleUnderline"/>
        </w:rPr>
        <w:t>each stage of the educational process needs to play its part</w:t>
      </w:r>
      <w:r>
        <w:t xml:space="preserve"> in sustaining educational progress for all students. Put simply, middle and high schools in many communities need to be redesigned in ways that support all students. Further, it is recognized that the </w:t>
      </w:r>
      <w:r w:rsidRPr="008310FC">
        <w:rPr>
          <w:rStyle w:val="StyleUnderline"/>
        </w:rPr>
        <w:t>challenges are</w:t>
      </w:r>
      <w:r>
        <w:t xml:space="preserve"> great, and also in many ways </w:t>
      </w:r>
      <w:r w:rsidRPr="008310FC">
        <w:rPr>
          <w:rStyle w:val="StyleUnderline"/>
        </w:rPr>
        <w:t>different for different levels of the educational enterprise</w:t>
      </w:r>
      <w:r>
        <w:t xml:space="preserve">. This means that responses to the challenges need to be tailored to specific social, organizational, and educational factors at work at a given level. </w:t>
      </w:r>
    </w:p>
    <w:p w:rsidR="002848A9" w:rsidRDefault="002848A9" w:rsidP="00376F27">
      <w:pPr>
        <w:tabs>
          <w:tab w:val="left" w:pos="7272"/>
        </w:tabs>
      </w:pPr>
    </w:p>
    <w:p w:rsidR="00376F27" w:rsidRDefault="00376F27" w:rsidP="00376F27">
      <w:pPr>
        <w:tabs>
          <w:tab w:val="left" w:pos="7272"/>
        </w:tabs>
      </w:pPr>
      <w:r>
        <w:tab/>
      </w:r>
    </w:p>
    <w:p w:rsidR="009F1B58" w:rsidRPr="00360EDD" w:rsidRDefault="009F1B58" w:rsidP="009F1B58">
      <w:pPr>
        <w:pStyle w:val="Heading2"/>
      </w:pPr>
      <w:r>
        <w:t>“INCREASE”</w:t>
      </w:r>
    </w:p>
    <w:p w:rsidR="00FE5260" w:rsidRDefault="00FE5260" w:rsidP="00FE5260">
      <w:pPr>
        <w:pStyle w:val="Heading3"/>
      </w:pPr>
      <w:r>
        <w:t xml:space="preserve">1NC – </w:t>
      </w:r>
      <w:r w:rsidR="00AB02CF">
        <w:t>Pre</w:t>
      </w:r>
      <w:r w:rsidR="009F1B58">
        <w:t>existing</w:t>
      </w:r>
    </w:p>
    <w:p w:rsidR="00FE5260" w:rsidRDefault="00D549EB" w:rsidP="00D549EB">
      <w:pPr>
        <w:pStyle w:val="Heading4"/>
      </w:pPr>
      <w:r>
        <w:t xml:space="preserve">A. </w:t>
      </w:r>
      <w:r w:rsidR="00683D74">
        <w:t>Interpretation – “</w:t>
      </w:r>
      <w:r w:rsidR="00FE5260">
        <w:t>Increase” means to make greater and requires pre-existing policy</w:t>
      </w:r>
    </w:p>
    <w:p w:rsidR="00FE5260" w:rsidRDefault="00FE5260" w:rsidP="00FE5260">
      <w:r w:rsidRPr="00051D69">
        <w:rPr>
          <w:rStyle w:val="Style13ptBold"/>
        </w:rPr>
        <w:t xml:space="preserve">Buckley </w:t>
      </w:r>
      <w:r w:rsidR="002E087B">
        <w:rPr>
          <w:rStyle w:val="Style13ptBold"/>
        </w:rPr>
        <w:t>‘</w:t>
      </w:r>
      <w:r w:rsidRPr="00051D69">
        <w:rPr>
          <w:rStyle w:val="Style13ptBold"/>
        </w:rPr>
        <w:t>6</w:t>
      </w:r>
      <w:r>
        <w:t xml:space="preserve"> [Jeremiah, Attorney, Amicus Curiae Brief, Safeco Ins. Co. of America et al v. Charles Burr et al, http://supreme.lp.findlaw.com/supreme_court/briefs/06-84/06-84.mer.ami.mica.pdf]</w:t>
      </w:r>
    </w:p>
    <w:p w:rsidR="00FE5260" w:rsidRDefault="00FE5260" w:rsidP="00FE5260">
      <w:r>
        <w:t xml:space="preserve">First, the court said that </w:t>
      </w:r>
      <w:r w:rsidRPr="00051D69">
        <w:rPr>
          <w:rStyle w:val="StyleUnderline"/>
        </w:rPr>
        <w:t>the</w:t>
      </w:r>
      <w:r>
        <w:t xml:space="preserve"> ordinary </w:t>
      </w:r>
      <w:r w:rsidRPr="00051D69">
        <w:rPr>
          <w:rStyle w:val="StyleUnderline"/>
        </w:rPr>
        <w:t>meaning of the word</w:t>
      </w:r>
      <w:r>
        <w:t xml:space="preserve"> </w:t>
      </w:r>
      <w:r w:rsidRPr="00051D69">
        <w:rPr>
          <w:rStyle w:val="Emphasis"/>
        </w:rPr>
        <w:t>“increase”</w:t>
      </w:r>
      <w:r w:rsidRPr="00051D69">
        <w:rPr>
          <w:rStyle w:val="StyleUnderline"/>
        </w:rPr>
        <w:t xml:space="preserve"> is “to make something greater,”</w:t>
      </w:r>
      <w:r>
        <w:t xml:space="preserve"> which it believed should not “be limited to cases in which a company raises the rate that an individual has previously been charged.”  435 F.3d at 1091.  Yet the definition offered by the Ninth Circuit compels the opposite conclusion.  </w:t>
      </w:r>
      <w:r w:rsidRPr="00051D69">
        <w:rPr>
          <w:rStyle w:val="StyleUnderline"/>
        </w:rPr>
        <w:t>Because  “increase” means “to make something greater,” there must necessarily have been an existing premium,</w:t>
      </w:r>
      <w:r>
        <w:t xml:space="preserve"> to which Edo’s  actual premium may be compared, </w:t>
      </w:r>
      <w:r w:rsidRPr="00051D69">
        <w:rPr>
          <w:rStyle w:val="StyleUnderline"/>
        </w:rPr>
        <w:t>to determine whether an “increase” occurred</w:t>
      </w:r>
      <w:r>
        <w:t xml:space="preserve">.  Congress could have provided that “ad-verse action” in the insurance context means charging an amount greater than the optimal premium, but instead chose to define adverse action in terms of an “increase.”  </w:t>
      </w:r>
      <w:r w:rsidRPr="00051D69">
        <w:rPr>
          <w:rStyle w:val="StyleUnderline"/>
        </w:rPr>
        <w:t>That def-initional choice must be respected</w:t>
      </w:r>
      <w:r>
        <w:t xml:space="preserve">, not ignored.  See Colautti v. Franklin, 439 U.S. 379, 392-93 n.10 (1979) (“[a] defin-ition which declares what a term ‘means’ . . . excludes any  meaning that is not stated”). Next, the Ninth Circuit reasoned that because the Insurance Prong includes the words “existing or applied for,” Congress intended that an “increase in any charge” for insurance must “apply to all insurance transactions – from an initial policy of insurance to a renewal of a long-held policy.”   435 F.3d at 1091.  This interpretation reads the words “exist-ing or applied for” in isolation.  Other types of adverse action described in the Insurance Prong apply only to situations where a consumer had an existing policy of insurance, such as a “cancellation,” “reduction,” or “change” in insurance.    </w:t>
      </w:r>
      <w:r w:rsidRPr="00051D69">
        <w:rPr>
          <w:rStyle w:val="StyleUnderline"/>
        </w:rPr>
        <w:t>Each of these forms of adverse action presupposes an already-existing policy, and under usual canons of statutory  construction the term</w:t>
      </w:r>
      <w:r>
        <w:t xml:space="preserve"> “</w:t>
      </w:r>
      <w:r w:rsidRPr="00051D69">
        <w:rPr>
          <w:rStyle w:val="StyleUnderline"/>
        </w:rPr>
        <w:t>increase” also should be construed to  apply to increases of an already-existing policy.</w:t>
      </w:r>
      <w:r>
        <w:t xml:space="preserve">  See Hibbs v.  Winn, 542 U.S. 88, 101 (2004) (“a phrase gathers meaning from the words around it”) (citation omitted). </w:t>
      </w:r>
    </w:p>
    <w:p w:rsidR="00683D74" w:rsidRDefault="00683D74" w:rsidP="00683D74">
      <w:pPr>
        <w:pStyle w:val="Heading4"/>
      </w:pPr>
      <w:r>
        <w:t>B. Violation – The affirmative creates a new policy</w:t>
      </w:r>
    </w:p>
    <w:p w:rsidR="00683D74" w:rsidRDefault="00683D74" w:rsidP="00683D74">
      <w:pPr>
        <w:pStyle w:val="Heading4"/>
      </w:pPr>
      <w:r>
        <w:t>C. Standards</w:t>
      </w:r>
    </w:p>
    <w:p w:rsidR="00683D74" w:rsidRDefault="00683D74" w:rsidP="00B552A8">
      <w:pPr>
        <w:pStyle w:val="Heading4"/>
        <w:ind w:left="720"/>
      </w:pPr>
      <w:r>
        <w:t xml:space="preserve">1) Limits – They explode the list of topical cases to an </w:t>
      </w:r>
      <w:r w:rsidR="00B552A8">
        <w:t>unmanageable</w:t>
      </w:r>
      <w:r>
        <w:t xml:space="preserve"> number of</w:t>
      </w:r>
      <w:r w:rsidR="00B552A8">
        <w:t xml:space="preserve"> </w:t>
      </w:r>
      <w:r w:rsidR="00B552A8" w:rsidRPr="00B552A8">
        <w:rPr>
          <w:u w:val="single"/>
        </w:rPr>
        <w:t>unpredictable</w:t>
      </w:r>
      <w:r>
        <w:t xml:space="preserve"> affirmatives</w:t>
      </w:r>
      <w:r w:rsidR="00B552A8">
        <w:t xml:space="preserve"> multiplied by </w:t>
      </w:r>
      <w:r w:rsidR="00B552A8" w:rsidRPr="00B552A8">
        <w:rPr>
          <w:u w:val="single"/>
        </w:rPr>
        <w:t>two distinct mechanisms</w:t>
      </w:r>
      <w:r w:rsidR="00B552A8">
        <w:t xml:space="preserve"> which explodes the negative’s </w:t>
      </w:r>
      <w:r w:rsidR="00B552A8" w:rsidRPr="00B552A8">
        <w:rPr>
          <w:u w:val="single"/>
        </w:rPr>
        <w:t>research burden</w:t>
      </w:r>
      <w:r w:rsidR="00B552A8">
        <w:t>.</w:t>
      </w:r>
    </w:p>
    <w:p w:rsidR="00B552A8" w:rsidRDefault="00B552A8" w:rsidP="00D549EB">
      <w:pPr>
        <w:pStyle w:val="Heading4"/>
        <w:ind w:left="720"/>
        <w:rPr>
          <w:u w:val="single"/>
        </w:rPr>
      </w:pPr>
      <w:r>
        <w:t xml:space="preserve">2) Ground – </w:t>
      </w:r>
      <w:r w:rsidR="00D549EB">
        <w:t xml:space="preserve">It’s impossible for the negative to </w:t>
      </w:r>
      <w:r w:rsidR="00D549EB" w:rsidRPr="00D549EB">
        <w:rPr>
          <w:u w:val="single"/>
        </w:rPr>
        <w:t>generate links</w:t>
      </w:r>
      <w:r w:rsidR="00D549EB">
        <w:t xml:space="preserve"> to core topic disadvantages for new policies because they are not grounded in </w:t>
      </w:r>
      <w:r w:rsidR="00D549EB" w:rsidRPr="00D549EB">
        <w:rPr>
          <w:u w:val="single"/>
        </w:rPr>
        <w:t>existing literature</w:t>
      </w:r>
      <w:r w:rsidR="00D27CC7">
        <w:rPr>
          <w:u w:val="single"/>
        </w:rPr>
        <w:t>.</w:t>
      </w:r>
    </w:p>
    <w:p w:rsidR="00D549EB" w:rsidRPr="00D549EB" w:rsidRDefault="00D549EB" w:rsidP="00D549EB">
      <w:pPr>
        <w:pStyle w:val="Heading4"/>
      </w:pPr>
      <w:r>
        <w:t>D. Voters – Vote negative to preserve education and fairness</w:t>
      </w:r>
    </w:p>
    <w:p w:rsidR="00FE5260" w:rsidRPr="00FE5260" w:rsidRDefault="00FE5260" w:rsidP="00FE5260"/>
    <w:p w:rsidR="00EB5125" w:rsidRDefault="00EB5125" w:rsidP="00EB5125"/>
    <w:p w:rsidR="00AB02CF" w:rsidRDefault="00AB02CF" w:rsidP="00AB02CF">
      <w:pPr>
        <w:pStyle w:val="Heading3"/>
      </w:pPr>
      <w:r>
        <w:t xml:space="preserve">2AC – Preexisting – C/I </w:t>
      </w:r>
    </w:p>
    <w:p w:rsidR="00AB02CF" w:rsidRPr="00AF3B60" w:rsidRDefault="00AB02CF" w:rsidP="00AB02CF">
      <w:pPr>
        <w:pStyle w:val="Heading4"/>
      </w:pPr>
      <w:r>
        <w:t>“</w:t>
      </w:r>
      <w:r w:rsidRPr="00AF3B60">
        <w:t>Increase</w:t>
      </w:r>
      <w:r>
        <w:t>” means to make something greater –</w:t>
      </w:r>
      <w:r w:rsidRPr="00AF3B60">
        <w:t xml:space="preserve"> doesn’t require </w:t>
      </w:r>
      <w:r>
        <w:t>a pre-existing policy</w:t>
      </w:r>
    </w:p>
    <w:p w:rsidR="00AB02CF" w:rsidRPr="00AF3B60" w:rsidRDefault="00AB02CF" w:rsidP="00AB02CF">
      <w:pPr>
        <w:rPr>
          <w:color w:val="000000"/>
        </w:rPr>
      </w:pPr>
      <w:r w:rsidRPr="00B26EE8">
        <w:rPr>
          <w:rStyle w:val="Style13ptBold"/>
        </w:rPr>
        <w:t xml:space="preserve">Reinhardt </w:t>
      </w:r>
      <w:r>
        <w:rPr>
          <w:rStyle w:val="Style13ptBold"/>
        </w:rPr>
        <w:t>‘</w:t>
      </w:r>
      <w:r w:rsidRPr="00B26EE8">
        <w:rPr>
          <w:rStyle w:val="Style13ptBold"/>
        </w:rPr>
        <w:t>5</w:t>
      </w:r>
      <w:r w:rsidRPr="00B26EE8">
        <w:t xml:space="preserve"> [U.S. Judge for the UNITED STATES COURT OF APPEALS FOR THE NINTH CIRCUIT (Stephen, JASON RAY REYNOLDS; MATTHEW RAUSCH, Plaintiffs-Appellants, v. HARTFORD FINANCIAL SERVICES GROUP, INC.; HARTFORD FIRE INSURANCE</w:t>
      </w:r>
      <w:r w:rsidRPr="00AF3B60">
        <w:rPr>
          <w:color w:val="000000"/>
        </w:rPr>
        <w:t xml:space="preserve"> COMPAN</w:t>
      </w:r>
      <w:r>
        <w:rPr>
          <w:color w:val="000000"/>
        </w:rPr>
        <w:t>Y, Defendants-Appellees., lexis]</w:t>
      </w:r>
    </w:p>
    <w:p w:rsidR="00AB02CF" w:rsidRPr="00B26EE8" w:rsidRDefault="00AB02CF" w:rsidP="00AB02CF">
      <w:r w:rsidRPr="00B26EE8">
        <w:t>Specifically, we must decide whether charging a higher price for initial insurance than the insured would otherwise have been charged because of information in a consumer credit report constitutes an "increase in any charge" within the meaning of FCRA. First, we examine the definitions of "increase" and "charge." Hartford Fire contends that, limited to their ordinary definitions, these words apply only when a consumer has previously been charged for insurance and that charge has thereafter been increased by the insurer. The phrase, "has previously been charged," as used by Hartford, refers not only to a rate that the consumer has previously paid for insurance but also to a rate that the consumer has previously been quoted, even if that rate was increased [**23]</w:t>
      </w:r>
      <w:r>
        <w:t xml:space="preserve"> </w:t>
      </w:r>
      <w:r w:rsidRPr="00B26EE8">
        <w:t xml:space="preserve">before the consumer made any payment. Reynolds disagrees, asserting that, </w:t>
      </w:r>
      <w:r w:rsidRPr="002C0289">
        <w:rPr>
          <w:rStyle w:val="StyleUnderline"/>
        </w:rPr>
        <w:t>under</w:t>
      </w:r>
      <w:r>
        <w:rPr>
          <w:rStyle w:val="StyleUnderline"/>
        </w:rPr>
        <w:t xml:space="preserve"> </w:t>
      </w:r>
      <w:r w:rsidRPr="00B26EE8">
        <w:t>[*1091]</w:t>
      </w:r>
      <w:r>
        <w:t xml:space="preserve"> </w:t>
      </w:r>
      <w:r w:rsidRPr="002C0289">
        <w:rPr>
          <w:rStyle w:val="StyleUnderline"/>
        </w:rPr>
        <w:t>the ordinary definition of the term</w:t>
      </w:r>
      <w:r w:rsidRPr="00B26EE8">
        <w:t xml:space="preserve">, an </w:t>
      </w:r>
      <w:r w:rsidRPr="002C0289">
        <w:rPr>
          <w:rStyle w:val="Emphasis"/>
        </w:rPr>
        <w:t xml:space="preserve">increase </w:t>
      </w:r>
      <w:r w:rsidRPr="00B26EE8">
        <w:t xml:space="preserve">in a charge </w:t>
      </w:r>
      <w:r w:rsidRPr="002C0289">
        <w:rPr>
          <w:rStyle w:val="StyleUnderline"/>
        </w:rPr>
        <w:t>also occurs whenever an insurer charges a higher rate than it would otherwise have charged</w:t>
      </w:r>
      <w:r w:rsidRPr="00B26EE8">
        <w:t xml:space="preserve"> because of any factor--such as adverse credit information, age, or driving record 8 --</w:t>
      </w:r>
      <w:r w:rsidRPr="002C0289">
        <w:rPr>
          <w:rStyle w:val="Emphasis"/>
        </w:rPr>
        <w:t xml:space="preserve">regardless </w:t>
      </w:r>
      <w:r w:rsidRPr="002C0289">
        <w:rPr>
          <w:rStyle w:val="StyleUnderline"/>
        </w:rPr>
        <w:t>of whether the customer was previously charged</w:t>
      </w:r>
      <w:r w:rsidRPr="00B26EE8">
        <w:t xml:space="preserve"> some other rate. According to Reynolds, he was charged an increased rate because of his credit rating when he was compelled to pay a rate higher than the premium rate because he failed to obtain a high insurance score. Thus, he argues, the definitions of "increase" and "charge" encompass the insurance companies' practice. Reynolds is correct.</w:t>
      </w:r>
      <w:r>
        <w:t xml:space="preserve"> </w:t>
      </w:r>
      <w:r w:rsidRPr="002C0289">
        <w:rPr>
          <w:rStyle w:val="StyleUnderline"/>
        </w:rPr>
        <w:t>“Increase" means to make something greater</w:t>
      </w:r>
      <w:r w:rsidRPr="00B26EE8">
        <w:t xml:space="preserve">. See, e.g., OXFORD ENGLISH DICTIONARY (2d ed. 1989) ("The action, process, or fact of becoming or making greater; augmentation, growth, enlargement, extension."); WEBSTER'S NEW WORLD DICTIONARY OF AMERICAN ENGLISH (3d college ed. 1988) (defining "increase" as "growth, enlargement, etc[.]"). "Charge" means the price demanded for goods or services. See, e.g., OXFORD ENGLISH DICTIONARY (2d ed. 1989) ("The price required or demanded for service rendered, or (less usually) for goods supplied."); WEBSTER'S NEW WORLD DICTIONARY OF AMERICAN ENGLISH (3d college ed. 1988) ("The cost or price of an article, service, etc."). </w:t>
      </w:r>
      <w:r w:rsidRPr="002C0289">
        <w:rPr>
          <w:rStyle w:val="StyleUnderline"/>
        </w:rPr>
        <w:t>Nothing in the definition</w:t>
      </w:r>
      <w:r w:rsidRPr="00B26EE8">
        <w:t xml:space="preserve"> of these words </w:t>
      </w:r>
      <w:r w:rsidRPr="002C0289">
        <w:rPr>
          <w:rStyle w:val="StyleUnderline"/>
        </w:rPr>
        <w:t>implies that the term</w:t>
      </w:r>
      <w:r w:rsidRPr="00B26EE8">
        <w:t xml:space="preserve"> "increase in any charge for" </w:t>
      </w:r>
      <w:r w:rsidRPr="002C0289">
        <w:rPr>
          <w:rStyle w:val="StyleUnderline"/>
        </w:rPr>
        <w:t>should be limited to cases in which a company raises the rate that an individual has previously been charged</w:t>
      </w:r>
      <w:r w:rsidRPr="00B26EE8">
        <w:t>.</w:t>
      </w:r>
    </w:p>
    <w:p w:rsidR="00AB02CF" w:rsidRPr="00B26EE8" w:rsidRDefault="00AB02CF" w:rsidP="00AB02CF"/>
    <w:p w:rsidR="00AB02CF" w:rsidRDefault="00AB02CF" w:rsidP="00AB02CF">
      <w:pPr>
        <w:pStyle w:val="Heading2"/>
      </w:pPr>
      <w:r>
        <w:t>“ITS”</w:t>
      </w:r>
    </w:p>
    <w:p w:rsidR="00AB02CF" w:rsidRDefault="00AB02CF" w:rsidP="00AB02CF">
      <w:pPr>
        <w:pStyle w:val="Heading3"/>
      </w:pPr>
      <w:r>
        <w:t>1NC – Possessive</w:t>
      </w:r>
    </w:p>
    <w:p w:rsidR="00AB02CF" w:rsidRPr="00A34BA7" w:rsidRDefault="00CD46F9" w:rsidP="00AB02CF">
      <w:pPr>
        <w:pStyle w:val="Heading4"/>
      </w:pPr>
      <w:r>
        <w:t xml:space="preserve"> </w:t>
      </w:r>
      <w:r w:rsidR="00AB02CF">
        <w:t xml:space="preserve">“Its” in the resolution refers to the possessive of the singular </w:t>
      </w:r>
      <w:r w:rsidR="00AB02CF" w:rsidRPr="00A34BA7">
        <w:t xml:space="preserve">United States Federal Government </w:t>
      </w:r>
    </w:p>
    <w:p w:rsidR="00AB02CF" w:rsidRPr="00A34BA7" w:rsidRDefault="00AB02CF" w:rsidP="00AB02CF">
      <w:r w:rsidRPr="00A34BA7">
        <w:rPr>
          <w:rStyle w:val="Style13ptBold"/>
        </w:rPr>
        <w:t xml:space="preserve">Updegrave </w:t>
      </w:r>
      <w:r>
        <w:rPr>
          <w:rStyle w:val="Style13ptBold"/>
        </w:rPr>
        <w:t>‘</w:t>
      </w:r>
      <w:r w:rsidRPr="00A34BA7">
        <w:rPr>
          <w:rStyle w:val="Style13ptBold"/>
        </w:rPr>
        <w:t>91</w:t>
      </w:r>
      <w:r>
        <w:t xml:space="preserve"> [</w:t>
      </w:r>
      <w:r w:rsidRPr="00A34BA7">
        <w:t xml:space="preserve">W.C., “Explanation of ZIP Code Address Purpose”, 8-19, </w:t>
      </w:r>
      <w:hyperlink r:id="rId14" w:history="1">
        <w:r w:rsidRPr="00A34BA7">
          <w:t>http://www.supremelaw.org/ref/zipcode/updegrav.htm</w:t>
        </w:r>
      </w:hyperlink>
      <w:r>
        <w:t>]</w:t>
      </w:r>
    </w:p>
    <w:p w:rsidR="00AB02CF" w:rsidRDefault="00AB02CF" w:rsidP="00AB02CF">
      <w:r w:rsidRPr="008E2B31">
        <w:t xml:space="preserve">More specifically, looking at the map on page 11 of the National ZIP Code Directory, e.g. at a local post office, one will see  that the first digit of a ZIP Code defines an area that includes more than one State. The first sentence of the explanatory paragraph begins: "A ZIP Code is a numerical code that identifies areas within the United States and its territories for purposes of ..." [cf. 26 CFR 1.1-1(c)].  Note </w:t>
      </w:r>
      <w:r w:rsidRPr="008E2B31">
        <w:rPr>
          <w:rStyle w:val="StyleUnderline"/>
        </w:rPr>
        <w:t>the singular possessive  pronoun</w:t>
      </w:r>
      <w:r w:rsidRPr="008E2B31">
        <w:t xml:space="preserve"> </w:t>
      </w:r>
      <w:r w:rsidRPr="008E2B31">
        <w:rPr>
          <w:rStyle w:val="Emphasis"/>
        </w:rPr>
        <w:t>"its",</w:t>
      </w:r>
      <w:r w:rsidRPr="008E2B31">
        <w:t xml:space="preserve"> not "their", </w:t>
      </w:r>
      <w:r w:rsidRPr="008E2B31">
        <w:rPr>
          <w:rStyle w:val="StyleUnderline"/>
        </w:rPr>
        <w:t>therefore carrying the</w:t>
      </w:r>
      <w:r w:rsidRPr="008E2B31">
        <w:t xml:space="preserve"> </w:t>
      </w:r>
      <w:r w:rsidRPr="008E2B31">
        <w:rPr>
          <w:rStyle w:val="StyleUnderline"/>
        </w:rPr>
        <w:t>implication that it relates to the</w:t>
      </w:r>
      <w:r w:rsidRPr="008E2B31">
        <w:t xml:space="preserve"> </w:t>
      </w:r>
      <w:r w:rsidRPr="008E2B31">
        <w:rPr>
          <w:rStyle w:val="Emphasis"/>
        </w:rPr>
        <w:t>"United States"</w:t>
      </w:r>
      <w:r w:rsidRPr="008E2B31">
        <w:t xml:space="preserve"> as a corporation domiciled in the District of Columbia (</w:t>
      </w:r>
      <w:r w:rsidRPr="008E2B31">
        <w:rPr>
          <w:rStyle w:val="StyleUnderline"/>
        </w:rPr>
        <w:t>in the singular sense</w:t>
      </w:r>
      <w:r w:rsidRPr="008E2B31">
        <w:t xml:space="preserve">), </w:t>
      </w:r>
      <w:r w:rsidRPr="008E2B31">
        <w:rPr>
          <w:rStyle w:val="StyleUnderline"/>
        </w:rPr>
        <w:t>not in the sense of being the</w:t>
      </w:r>
      <w:r w:rsidRPr="008E2B31">
        <w:t xml:space="preserve"> </w:t>
      </w:r>
      <w:r w:rsidRPr="008E2B31">
        <w:rPr>
          <w:rStyle w:val="StyleUnderline"/>
        </w:rPr>
        <w:t>50 States of the Union</w:t>
      </w:r>
      <w:r w:rsidRPr="008E2B31">
        <w:t xml:space="preserve"> (in the plural sense). The map shows all the States of the Union, but it also shows D.C., Puerto Rico and the Virgin Islands, making the explanatory statement literally correct. </w:t>
      </w:r>
    </w:p>
    <w:p w:rsidR="00AB02CF" w:rsidRDefault="00AB02CF" w:rsidP="00AB02CF">
      <w:pPr>
        <w:pStyle w:val="Heading4"/>
      </w:pPr>
      <w:r>
        <w:t xml:space="preserve">B. Violation – The affirmative utilizes state, territorial, or local funding and/or regulation </w:t>
      </w:r>
    </w:p>
    <w:p w:rsidR="00AB02CF" w:rsidRDefault="00AB02CF" w:rsidP="00AB02CF">
      <w:pPr>
        <w:pStyle w:val="Heading4"/>
      </w:pPr>
      <w:r>
        <w:t xml:space="preserve">C. Standards </w:t>
      </w:r>
    </w:p>
    <w:p w:rsidR="00AB02CF" w:rsidRDefault="009B1239" w:rsidP="00AB02CF">
      <w:pPr>
        <w:pStyle w:val="Heading4"/>
        <w:ind w:left="720"/>
        <w:rPr>
          <w:u w:val="single"/>
        </w:rPr>
      </w:pPr>
      <w:r>
        <w:t>1) Limits – Allowing state, territorial or local funds/regulations</w:t>
      </w:r>
      <w:r w:rsidR="00AB02CF">
        <w:t xml:space="preserve"> is </w:t>
      </w:r>
      <w:r w:rsidR="00AB02CF" w:rsidRPr="00360EDD">
        <w:rPr>
          <w:u w:val="single"/>
        </w:rPr>
        <w:t>unpredictable</w:t>
      </w:r>
      <w:r w:rsidR="00AB02CF">
        <w:t xml:space="preserve"> and kills negative </w:t>
      </w:r>
      <w:r w:rsidR="00AB02CF" w:rsidRPr="00360EDD">
        <w:rPr>
          <w:u w:val="single"/>
        </w:rPr>
        <w:t>preparation</w:t>
      </w:r>
      <w:r w:rsidR="00D27CC7">
        <w:rPr>
          <w:u w:val="single"/>
        </w:rPr>
        <w:t>.</w:t>
      </w:r>
    </w:p>
    <w:p w:rsidR="00AB02CF" w:rsidRDefault="00AB02CF" w:rsidP="00AB02CF">
      <w:pPr>
        <w:pStyle w:val="Heading4"/>
        <w:ind w:left="720"/>
      </w:pPr>
      <w:r>
        <w:t xml:space="preserve">2) Ground – The affirmative steals core negative </w:t>
      </w:r>
      <w:r w:rsidRPr="00360EDD">
        <w:rPr>
          <w:u w:val="single"/>
        </w:rPr>
        <w:t>counterplan</w:t>
      </w:r>
      <w:r>
        <w:t xml:space="preserve"> ground and skirts the best negative link arguments from the </w:t>
      </w:r>
      <w:r w:rsidRPr="00360EDD">
        <w:rPr>
          <w:u w:val="single"/>
        </w:rPr>
        <w:t>literature base</w:t>
      </w:r>
      <w:r>
        <w:t xml:space="preserve"> which are tied to unified, federal </w:t>
      </w:r>
      <w:r w:rsidR="009B1239">
        <w:t>funding/regulation</w:t>
      </w:r>
      <w:r w:rsidR="00D27CC7">
        <w:t>.</w:t>
      </w:r>
    </w:p>
    <w:p w:rsidR="00AB02CF" w:rsidRPr="00360EDD" w:rsidRDefault="00AB02CF" w:rsidP="00AB02CF">
      <w:pPr>
        <w:pStyle w:val="Heading4"/>
      </w:pPr>
      <w:r>
        <w:t>D. Voters – Vote negative to preserve education and fairness</w:t>
      </w:r>
    </w:p>
    <w:p w:rsidR="00AB02CF" w:rsidRDefault="00AB02CF" w:rsidP="00AB02CF"/>
    <w:p w:rsidR="00AB02CF" w:rsidRDefault="00AB02CF">
      <w:pPr>
        <w:rPr>
          <w:rFonts w:asciiTheme="minorHAnsi" w:hAnsiTheme="minorHAnsi"/>
          <w:sz w:val="22"/>
        </w:rPr>
      </w:pPr>
    </w:p>
    <w:sectPr w:rsidR="00AB02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6D39" w:rsidRDefault="00266D39" w:rsidP="006938AC">
      <w:pPr>
        <w:spacing w:after="0" w:line="240" w:lineRule="auto"/>
      </w:pPr>
      <w:r>
        <w:separator/>
      </w:r>
    </w:p>
  </w:endnote>
  <w:endnote w:type="continuationSeparator" w:id="0">
    <w:p w:rsidR="00266D39" w:rsidRDefault="00266D39" w:rsidP="00693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6D39" w:rsidRDefault="00266D39" w:rsidP="006938AC">
      <w:pPr>
        <w:spacing w:after="0" w:line="240" w:lineRule="auto"/>
      </w:pPr>
      <w:r>
        <w:separator/>
      </w:r>
    </w:p>
  </w:footnote>
  <w:footnote w:type="continuationSeparator" w:id="0">
    <w:p w:rsidR="00266D39" w:rsidRDefault="00266D39" w:rsidP="006938A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E4548"/>
    <w:multiLevelType w:val="hybridMultilevel"/>
    <w:tmpl w:val="43A469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9C76C9"/>
    <w:multiLevelType w:val="hybridMultilevel"/>
    <w:tmpl w:val="56BCC28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80045E"/>
    <w:multiLevelType w:val="hybridMultilevel"/>
    <w:tmpl w:val="129892F0"/>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3C84646"/>
    <w:multiLevelType w:val="hybridMultilevel"/>
    <w:tmpl w:val="FA3698AC"/>
    <w:lvl w:ilvl="0" w:tplc="04090015">
      <w:start w:val="1"/>
      <w:numFmt w:val="upperLetter"/>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DD62E7"/>
    <w:multiLevelType w:val="hybridMultilevel"/>
    <w:tmpl w:val="5B901A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C8100C"/>
    <w:multiLevelType w:val="hybridMultilevel"/>
    <w:tmpl w:val="6F14C19C"/>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AC687E"/>
    <w:multiLevelType w:val="hybridMultilevel"/>
    <w:tmpl w:val="89B468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5"/>
  </w:num>
  <w:num w:numId="13">
    <w:abstractNumId w:val="11"/>
  </w:num>
  <w:num w:numId="14">
    <w:abstractNumId w:val="12"/>
  </w:num>
  <w:num w:numId="15">
    <w:abstractNumId w:val="10"/>
  </w:num>
  <w:num w:numId="16">
    <w:abstractNumId w:val="13"/>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val="fullPage"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F72059"/>
    <w:rsid w:val="000139A3"/>
    <w:rsid w:val="00036164"/>
    <w:rsid w:val="00051D69"/>
    <w:rsid w:val="00070A96"/>
    <w:rsid w:val="000720A1"/>
    <w:rsid w:val="000757F0"/>
    <w:rsid w:val="000C2A38"/>
    <w:rsid w:val="000C66A7"/>
    <w:rsid w:val="000D55B8"/>
    <w:rsid w:val="000F3B12"/>
    <w:rsid w:val="00100833"/>
    <w:rsid w:val="00104529"/>
    <w:rsid w:val="00105942"/>
    <w:rsid w:val="001062FE"/>
    <w:rsid w:val="00107396"/>
    <w:rsid w:val="001102AE"/>
    <w:rsid w:val="00134150"/>
    <w:rsid w:val="00142AC0"/>
    <w:rsid w:val="00144A4C"/>
    <w:rsid w:val="00176AB0"/>
    <w:rsid w:val="00177B7D"/>
    <w:rsid w:val="00177DEA"/>
    <w:rsid w:val="0018322D"/>
    <w:rsid w:val="001A2499"/>
    <w:rsid w:val="001B5776"/>
    <w:rsid w:val="001E527A"/>
    <w:rsid w:val="001F78CE"/>
    <w:rsid w:val="00251E51"/>
    <w:rsid w:val="00251FC7"/>
    <w:rsid w:val="002612FE"/>
    <w:rsid w:val="00266D39"/>
    <w:rsid w:val="002848A9"/>
    <w:rsid w:val="002855A7"/>
    <w:rsid w:val="00297F07"/>
    <w:rsid w:val="002B146A"/>
    <w:rsid w:val="002B1FF1"/>
    <w:rsid w:val="002B483B"/>
    <w:rsid w:val="002B5E17"/>
    <w:rsid w:val="002C0289"/>
    <w:rsid w:val="002E087B"/>
    <w:rsid w:val="003027F8"/>
    <w:rsid w:val="0031026D"/>
    <w:rsid w:val="00315690"/>
    <w:rsid w:val="00316B75"/>
    <w:rsid w:val="00325646"/>
    <w:rsid w:val="0032685E"/>
    <w:rsid w:val="003460F2"/>
    <w:rsid w:val="0035593E"/>
    <w:rsid w:val="00357DA0"/>
    <w:rsid w:val="00360EDD"/>
    <w:rsid w:val="00376F27"/>
    <w:rsid w:val="0038158C"/>
    <w:rsid w:val="00382B08"/>
    <w:rsid w:val="003902BA"/>
    <w:rsid w:val="003A09E2"/>
    <w:rsid w:val="003D2C30"/>
    <w:rsid w:val="003D54CC"/>
    <w:rsid w:val="003E0448"/>
    <w:rsid w:val="00407037"/>
    <w:rsid w:val="00412D9A"/>
    <w:rsid w:val="004605D6"/>
    <w:rsid w:val="0047153E"/>
    <w:rsid w:val="00496B68"/>
    <w:rsid w:val="004A285F"/>
    <w:rsid w:val="004C60E8"/>
    <w:rsid w:val="004E3579"/>
    <w:rsid w:val="004E728B"/>
    <w:rsid w:val="004F39E0"/>
    <w:rsid w:val="004F4651"/>
    <w:rsid w:val="00537BD5"/>
    <w:rsid w:val="00545C21"/>
    <w:rsid w:val="00564180"/>
    <w:rsid w:val="0057268A"/>
    <w:rsid w:val="005A692C"/>
    <w:rsid w:val="005B5D31"/>
    <w:rsid w:val="005C30F3"/>
    <w:rsid w:val="005D2912"/>
    <w:rsid w:val="005E1091"/>
    <w:rsid w:val="00601474"/>
    <w:rsid w:val="006065BD"/>
    <w:rsid w:val="006107DC"/>
    <w:rsid w:val="00644A12"/>
    <w:rsid w:val="00645FA9"/>
    <w:rsid w:val="00647866"/>
    <w:rsid w:val="00655D38"/>
    <w:rsid w:val="006601D8"/>
    <w:rsid w:val="00665003"/>
    <w:rsid w:val="0068199C"/>
    <w:rsid w:val="00683D74"/>
    <w:rsid w:val="006938AC"/>
    <w:rsid w:val="006A2AD0"/>
    <w:rsid w:val="006A47E9"/>
    <w:rsid w:val="006B1CC7"/>
    <w:rsid w:val="006B37CF"/>
    <w:rsid w:val="006B39C6"/>
    <w:rsid w:val="006C2375"/>
    <w:rsid w:val="006D4ECC"/>
    <w:rsid w:val="006D6CC3"/>
    <w:rsid w:val="006F1DFC"/>
    <w:rsid w:val="006F2C74"/>
    <w:rsid w:val="00722258"/>
    <w:rsid w:val="007243E5"/>
    <w:rsid w:val="0074047B"/>
    <w:rsid w:val="00760A28"/>
    <w:rsid w:val="00766EA0"/>
    <w:rsid w:val="007A2226"/>
    <w:rsid w:val="007C0C34"/>
    <w:rsid w:val="007E7068"/>
    <w:rsid w:val="007F5B66"/>
    <w:rsid w:val="00823A1C"/>
    <w:rsid w:val="008310FC"/>
    <w:rsid w:val="00832B41"/>
    <w:rsid w:val="00845B9D"/>
    <w:rsid w:val="00847E16"/>
    <w:rsid w:val="00854E9D"/>
    <w:rsid w:val="00860984"/>
    <w:rsid w:val="008B3ECB"/>
    <w:rsid w:val="008B4E85"/>
    <w:rsid w:val="008C1B2E"/>
    <w:rsid w:val="008C3795"/>
    <w:rsid w:val="008C4A12"/>
    <w:rsid w:val="008E2B31"/>
    <w:rsid w:val="008F5DD8"/>
    <w:rsid w:val="00910174"/>
    <w:rsid w:val="0091627E"/>
    <w:rsid w:val="009224D3"/>
    <w:rsid w:val="00943CAC"/>
    <w:rsid w:val="0097032B"/>
    <w:rsid w:val="009B1239"/>
    <w:rsid w:val="009B1B50"/>
    <w:rsid w:val="009D2EAD"/>
    <w:rsid w:val="009D54B2"/>
    <w:rsid w:val="009E1922"/>
    <w:rsid w:val="009F1B58"/>
    <w:rsid w:val="009F7ED2"/>
    <w:rsid w:val="00A30B2F"/>
    <w:rsid w:val="00A76D15"/>
    <w:rsid w:val="00A93661"/>
    <w:rsid w:val="00A95652"/>
    <w:rsid w:val="00AB02CF"/>
    <w:rsid w:val="00AC0AB8"/>
    <w:rsid w:val="00B125CD"/>
    <w:rsid w:val="00B26EE8"/>
    <w:rsid w:val="00B33C6D"/>
    <w:rsid w:val="00B4508F"/>
    <w:rsid w:val="00B552A8"/>
    <w:rsid w:val="00B55AD5"/>
    <w:rsid w:val="00B63D77"/>
    <w:rsid w:val="00B8057C"/>
    <w:rsid w:val="00BD6238"/>
    <w:rsid w:val="00BF593B"/>
    <w:rsid w:val="00BF773A"/>
    <w:rsid w:val="00BF7E81"/>
    <w:rsid w:val="00C00296"/>
    <w:rsid w:val="00C13773"/>
    <w:rsid w:val="00C153EB"/>
    <w:rsid w:val="00C17CC8"/>
    <w:rsid w:val="00C329DA"/>
    <w:rsid w:val="00C45C3D"/>
    <w:rsid w:val="00C531E5"/>
    <w:rsid w:val="00C83417"/>
    <w:rsid w:val="00C9604F"/>
    <w:rsid w:val="00CA19AA"/>
    <w:rsid w:val="00CC5298"/>
    <w:rsid w:val="00CD46F9"/>
    <w:rsid w:val="00CD736E"/>
    <w:rsid w:val="00CD798D"/>
    <w:rsid w:val="00CE161E"/>
    <w:rsid w:val="00CF59A8"/>
    <w:rsid w:val="00D27CC7"/>
    <w:rsid w:val="00D325A9"/>
    <w:rsid w:val="00D326FB"/>
    <w:rsid w:val="00D36A8A"/>
    <w:rsid w:val="00D5300E"/>
    <w:rsid w:val="00D549EB"/>
    <w:rsid w:val="00D61409"/>
    <w:rsid w:val="00D6691E"/>
    <w:rsid w:val="00D71170"/>
    <w:rsid w:val="00D72686"/>
    <w:rsid w:val="00DA1C92"/>
    <w:rsid w:val="00DA25D4"/>
    <w:rsid w:val="00DA6538"/>
    <w:rsid w:val="00E04D36"/>
    <w:rsid w:val="00E15E75"/>
    <w:rsid w:val="00E5262C"/>
    <w:rsid w:val="00EA7934"/>
    <w:rsid w:val="00EB5125"/>
    <w:rsid w:val="00EC7DC4"/>
    <w:rsid w:val="00ED30CF"/>
    <w:rsid w:val="00EF0A9D"/>
    <w:rsid w:val="00F176EF"/>
    <w:rsid w:val="00F45E10"/>
    <w:rsid w:val="00F6364A"/>
    <w:rsid w:val="00F72059"/>
    <w:rsid w:val="00F9113A"/>
    <w:rsid w:val="00FD6FBE"/>
    <w:rsid w:val="00FE2546"/>
    <w:rsid w:val="00FE526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EDE45B-69AE-4B79-A1B6-D1EC46996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63D77"/>
    <w:rPr>
      <w:rFonts w:ascii="Calibri" w:hAnsi="Calibri"/>
      <w:sz w:val="18"/>
    </w:rPr>
  </w:style>
  <w:style w:type="paragraph" w:styleId="Heading1">
    <w:name w:val="heading 1"/>
    <w:aliases w:val="Pocket"/>
    <w:basedOn w:val="Normal"/>
    <w:next w:val="Normal"/>
    <w:link w:val="Heading1Char"/>
    <w:qFormat/>
    <w:rsid w:val="00B63D7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63D7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63D7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63D7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B63D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3D77"/>
  </w:style>
  <w:style w:type="character" w:customStyle="1" w:styleId="Heading1Char">
    <w:name w:val="Heading 1 Char"/>
    <w:aliases w:val="Pocket Char"/>
    <w:basedOn w:val="DefaultParagraphFont"/>
    <w:link w:val="Heading1"/>
    <w:rsid w:val="00B63D7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63D77"/>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B63D7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63D7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Box"/>
    <w:basedOn w:val="DefaultParagraphFont"/>
    <w:link w:val="textbold"/>
    <w:uiPriority w:val="7"/>
    <w:qFormat/>
    <w:rsid w:val="00B63D77"/>
    <w:rPr>
      <w:rFonts w:ascii="Calibri" w:hAnsi="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63D77"/>
    <w:rPr>
      <w:b/>
      <w:bCs/>
      <w:sz w:val="26"/>
      <w:u w:val="single"/>
    </w:rPr>
  </w:style>
  <w:style w:type="character" w:customStyle="1" w:styleId="StyleUnderline">
    <w:name w:val="Style Underline"/>
    <w:aliases w:val="Intense Emphasis,Underline,Style Bold Underline,apple-style-span + 6 pt,Kern at 16 pt,Style,Bold,Intense Emphasis1,Intense Emphasis2,HHeading 3 + 12 pt,Cards + Font: 12 pt Char,Intense Emphasis11,ci,c,B,Intense Emphasis3,Underline Char"/>
    <w:basedOn w:val="DefaultParagraphFont"/>
    <w:uiPriority w:val="6"/>
    <w:qFormat/>
    <w:rsid w:val="00B63D77"/>
    <w:rPr>
      <w:b/>
      <w:sz w:val="22"/>
      <w:u w:val="single"/>
    </w:rPr>
  </w:style>
  <w:style w:type="character" w:styleId="Hyperlink">
    <w:name w:val="Hyperlink"/>
    <w:basedOn w:val="DefaultParagraphFont"/>
    <w:uiPriority w:val="99"/>
    <w:unhideWhenUsed/>
    <w:rsid w:val="00B63D77"/>
    <w:rPr>
      <w:color w:val="auto"/>
      <w:u w:val="none"/>
    </w:rPr>
  </w:style>
  <w:style w:type="character" w:styleId="FollowedHyperlink">
    <w:name w:val="FollowedHyperlink"/>
    <w:basedOn w:val="DefaultParagraphFont"/>
    <w:uiPriority w:val="99"/>
    <w:semiHidden/>
    <w:unhideWhenUsed/>
    <w:rsid w:val="00B63D77"/>
    <w:rPr>
      <w:color w:val="auto"/>
      <w:u w:val="none"/>
    </w:rPr>
  </w:style>
  <w:style w:type="paragraph" w:customStyle="1" w:styleId="textbold">
    <w:name w:val="text bold"/>
    <w:basedOn w:val="Normal"/>
    <w:link w:val="Emphasis"/>
    <w:uiPriority w:val="7"/>
    <w:qFormat/>
    <w:rsid w:val="006D6CC3"/>
    <w:pPr>
      <w:ind w:left="720"/>
      <w:jc w:val="both"/>
    </w:pPr>
    <w:rPr>
      <w:b/>
      <w:iCs/>
      <w:sz w:val="22"/>
      <w:u w:val="single"/>
      <w:bdr w:val="single" w:sz="24" w:space="0" w:color="auto"/>
    </w:rPr>
  </w:style>
  <w:style w:type="character" w:customStyle="1" w:styleId="TitleChar">
    <w:name w:val="Title Char"/>
    <w:basedOn w:val="DefaultParagraphFont"/>
    <w:link w:val="Title"/>
    <w:uiPriority w:val="6"/>
    <w:qFormat/>
    <w:rsid w:val="008E2B31"/>
    <w:rPr>
      <w:sz w:val="20"/>
      <w:u w:val="single"/>
    </w:rPr>
  </w:style>
  <w:style w:type="paragraph" w:styleId="Title">
    <w:name w:val="Title"/>
    <w:basedOn w:val="Normal"/>
    <w:next w:val="Normal"/>
    <w:link w:val="TitleChar"/>
    <w:uiPriority w:val="6"/>
    <w:qFormat/>
    <w:rsid w:val="008E2B31"/>
    <w:pPr>
      <w:outlineLvl w:val="0"/>
    </w:pPr>
    <w:rPr>
      <w:rFonts w:asciiTheme="minorHAnsi" w:hAnsiTheme="minorHAnsi"/>
      <w:sz w:val="20"/>
      <w:u w:val="single"/>
    </w:rPr>
  </w:style>
  <w:style w:type="character" w:customStyle="1" w:styleId="TitleChar1">
    <w:name w:val="Title Char1"/>
    <w:basedOn w:val="DefaultParagraphFont"/>
    <w:uiPriority w:val="99"/>
    <w:semiHidden/>
    <w:rsid w:val="008E2B31"/>
    <w:rPr>
      <w:rFonts w:asciiTheme="majorHAnsi" w:eastAsiaTheme="majorEastAsia" w:hAnsiTheme="majorHAnsi" w:cstheme="majorBidi"/>
      <w:spacing w:val="-10"/>
      <w:kern w:val="28"/>
      <w:sz w:val="56"/>
      <w:szCs w:val="56"/>
    </w:rPr>
  </w:style>
  <w:style w:type="paragraph" w:styleId="ListParagraph">
    <w:name w:val="List Paragraph"/>
    <w:basedOn w:val="Normal"/>
    <w:uiPriority w:val="99"/>
    <w:unhideWhenUsed/>
    <w:qFormat/>
    <w:rsid w:val="001102AE"/>
    <w:pPr>
      <w:ind w:left="720"/>
      <w:contextualSpacing/>
    </w:p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2C028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2.ed.gov/documents/essa-act-of-1965.pdf" TargetMode="External"/><Relationship Id="rId13" Type="http://schemas.openxmlformats.org/officeDocument/2006/relationships/hyperlink" Target="http://www.cedefop.europa.eu/files/UOE2010manual_volume1.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logs.edweek.org/edweek/campaign-k-12/2017/05/essa_block_grant_changes_budget_deal.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dweek.org/ew/articles/2015/12/07/the-every-student-succeeds-act-explained.htm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2.ed.gov/documents/essa-act-of-1965.pdf" TargetMode="External"/><Relationship Id="rId4" Type="http://schemas.openxmlformats.org/officeDocument/2006/relationships/settings" Target="settings.xml"/><Relationship Id="rId9" Type="http://schemas.openxmlformats.org/officeDocument/2006/relationships/hyperlink" Target="http://www.ncsl.org/documents/capitolforum/2015/onlineresources/summary_12_10.pdf" TargetMode="External"/><Relationship Id="rId14" Type="http://schemas.openxmlformats.org/officeDocument/2006/relationships/hyperlink" Target="http://www.supremelaw.org/ref/zipcode/updegrav.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gh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08222-1E19-4FFE-915E-E3D18178B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2045</TotalTime>
  <Pages>1</Pages>
  <Words>12637</Words>
  <Characters>73427</Characters>
  <Application>Microsoft Office Word</Application>
  <DocSecurity>0</DocSecurity>
  <Lines>992</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Loghry</dc:creator>
  <cp:keywords>5.1.1</cp:keywords>
  <dc:description/>
  <cp:lastModifiedBy>chris loghry</cp:lastModifiedBy>
  <cp:revision>84</cp:revision>
  <dcterms:created xsi:type="dcterms:W3CDTF">2017-06-23T22:49:00Z</dcterms:created>
  <dcterms:modified xsi:type="dcterms:W3CDTF">2017-06-28T08:47:00Z</dcterms:modified>
</cp:coreProperties>
</file>