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4E7" w:rsidRPr="001A6A06" w:rsidRDefault="00B744E7" w:rsidP="00E309AD">
      <w:pPr>
        <w:pStyle w:val="Heading1"/>
      </w:pPr>
      <w:bookmarkStart w:id="0" w:name="_GoBack"/>
      <w:bookmarkEnd w:id="0"/>
      <w:r w:rsidRPr="001A6A06">
        <w:t>Resolution</w:t>
      </w:r>
    </w:p>
    <w:p w:rsidR="00B744E7" w:rsidRDefault="00B744E7" w:rsidP="00B744E7">
      <w:pPr>
        <w:pStyle w:val="Heading4"/>
      </w:pPr>
      <w:r w:rsidRPr="001A6A06">
        <w:t>The United States federal government should substantially increase its funding and/or regulation of elementary and/or secondary education in the United States</w:t>
      </w:r>
      <w:r w:rsidR="00314A7F">
        <w:t>.</w:t>
      </w:r>
    </w:p>
    <w:p w:rsidR="000B6AD4" w:rsidRDefault="000B6AD4" w:rsidP="006D6BBE"/>
    <w:p w:rsidR="006D6BBE" w:rsidRDefault="000A44D7" w:rsidP="006D6BBE">
      <w:r>
        <w:t xml:space="preserve">Funding for elementary </w:t>
      </w:r>
    </w:p>
    <w:p w:rsidR="000A44D7" w:rsidRDefault="000A44D7" w:rsidP="006D6BBE">
      <w:r>
        <w:t xml:space="preserve">Funding for secondary </w:t>
      </w:r>
    </w:p>
    <w:p w:rsidR="000A44D7" w:rsidRDefault="000A44D7" w:rsidP="006D6BBE">
      <w:r>
        <w:t xml:space="preserve">Funding for elementary and secondary </w:t>
      </w:r>
    </w:p>
    <w:p w:rsidR="000A44D7" w:rsidRDefault="000A44D7" w:rsidP="006D6BBE">
      <w:r>
        <w:t xml:space="preserve">Regulation for elementary </w:t>
      </w:r>
    </w:p>
    <w:p w:rsidR="000A44D7" w:rsidRDefault="000A44D7" w:rsidP="006D6BBE">
      <w:r>
        <w:t xml:space="preserve">Regulation for secondary </w:t>
      </w:r>
    </w:p>
    <w:p w:rsidR="000A44D7" w:rsidRDefault="000A44D7" w:rsidP="006D6BBE">
      <w:r>
        <w:t xml:space="preserve">Regulation for elementary and secondary </w:t>
      </w:r>
    </w:p>
    <w:p w:rsidR="000A44D7" w:rsidRDefault="000A44D7" w:rsidP="006D6BBE">
      <w:r>
        <w:t xml:space="preserve">Funding and regulation for elementary </w:t>
      </w:r>
    </w:p>
    <w:p w:rsidR="000A44D7" w:rsidRDefault="000A44D7" w:rsidP="006D6BBE">
      <w:r>
        <w:t xml:space="preserve">Funding and regulation for secondary </w:t>
      </w:r>
    </w:p>
    <w:p w:rsidR="000A44D7" w:rsidRDefault="000A44D7" w:rsidP="006D6BBE">
      <w:r>
        <w:t xml:space="preserve">Funding and regulation for elementary and secondary </w:t>
      </w:r>
    </w:p>
    <w:p w:rsidR="000A44D7" w:rsidRPr="001A6A06" w:rsidRDefault="000A44D7" w:rsidP="006D6BBE"/>
    <w:p w:rsidR="006D6BBE" w:rsidRPr="001A6A06" w:rsidRDefault="006D6BBE" w:rsidP="006D6BBE"/>
    <w:p w:rsidR="00A95652" w:rsidRDefault="00E309AD" w:rsidP="00E309AD">
      <w:pPr>
        <w:pStyle w:val="Heading1"/>
      </w:pPr>
      <w:r w:rsidRPr="001A6A06">
        <w:t>Substantial</w:t>
      </w:r>
    </w:p>
    <w:p w:rsidR="00E309AD" w:rsidRDefault="00E309AD" w:rsidP="00E309AD">
      <w:pPr>
        <w:pStyle w:val="Heading2"/>
      </w:pPr>
      <w:r w:rsidRPr="001A6A06">
        <w:t>1NC</w:t>
      </w:r>
    </w:p>
    <w:p w:rsidR="00E309AD" w:rsidRPr="001A6A06" w:rsidRDefault="00E309AD" w:rsidP="00E309AD">
      <w:pPr>
        <w:pStyle w:val="Heading3"/>
      </w:pPr>
      <w:r w:rsidRPr="001A6A06">
        <w:t xml:space="preserve">T-Substantial---1NC </w:t>
      </w:r>
    </w:p>
    <w:p w:rsidR="00A75C96" w:rsidRPr="009A3B88" w:rsidRDefault="00A75C96" w:rsidP="00A75C96"/>
    <w:p w:rsidR="00A75C96" w:rsidRPr="009A3B88" w:rsidRDefault="007F1ECD" w:rsidP="00A75C96">
      <w:pPr>
        <w:pStyle w:val="Heading4"/>
      </w:pPr>
      <w:r>
        <w:t>Interpretation---a “s</w:t>
      </w:r>
      <w:r w:rsidR="00A75C96">
        <w:t>ubstantial</w:t>
      </w:r>
      <w:r>
        <w:t xml:space="preserve"> increase</w:t>
      </w:r>
      <w:r w:rsidR="00A75C96">
        <w:t xml:space="preserve">” </w:t>
      </w:r>
      <w:r>
        <w:t>requires at least</w:t>
      </w:r>
      <w:r w:rsidR="002B4F72">
        <w:t xml:space="preserve"> a</w:t>
      </w:r>
      <w:r>
        <w:t xml:space="preserve"> 20% increase</w:t>
      </w:r>
      <w:r w:rsidR="002B4F72">
        <w:t xml:space="preserve"> in funding</w:t>
      </w:r>
    </w:p>
    <w:p w:rsidR="00A75C96" w:rsidRDefault="00A75C96" w:rsidP="00A75C96">
      <w:r>
        <w:t xml:space="preserve">Carolyn </w:t>
      </w:r>
      <w:r w:rsidRPr="00CC243E">
        <w:rPr>
          <w:rStyle w:val="Style13ptBold"/>
        </w:rPr>
        <w:t>Bourdeaux 14</w:t>
      </w:r>
      <w:r>
        <w:t>, Ph.D. in Public Administration from Syracuse University, Associate Professor of Public Management and Policy at the Andrew Young School of Policy Studies at Georgia State University, 8-26-14, “Sustaining the States: The Fiscal Viability of American State Governments (ASPA Series in Public Administration and Public Policy) 1st Edition”, Chapter 8, pg. 139-142</w:t>
      </w:r>
    </w:p>
    <w:p w:rsidR="00A75C96" w:rsidRPr="00683BC1" w:rsidRDefault="00A75C96" w:rsidP="00A75C96">
      <w:r w:rsidRPr="00A75C96">
        <w:rPr>
          <w:sz w:val="16"/>
        </w:rPr>
        <w:t xml:space="preserve">K—12 Education </w:t>
      </w:r>
      <w:r w:rsidRPr="00A75C96">
        <w:rPr>
          <w:sz w:val="12"/>
        </w:rPr>
        <w:t>¶</w:t>
      </w:r>
      <w:r w:rsidRPr="00A75C96">
        <w:rPr>
          <w:sz w:val="16"/>
        </w:rPr>
        <w:t xml:space="preserve"> </w:t>
      </w:r>
      <w:r w:rsidRPr="009A3B88">
        <w:rPr>
          <w:rStyle w:val="StyleUnderline"/>
          <w:highlight w:val="yellow"/>
        </w:rPr>
        <w:t>K—12 education funding</w:t>
      </w:r>
      <w:r w:rsidRPr="00E45184">
        <w:rPr>
          <w:rStyle w:val="StyleUnderline"/>
        </w:rPr>
        <w:t xml:space="preserve"> in most states </w:t>
      </w:r>
      <w:r w:rsidRPr="009A3B88">
        <w:rPr>
          <w:rStyle w:val="StyleUnderline"/>
          <w:highlight w:val="yellow"/>
        </w:rPr>
        <w:t>is a shared</w:t>
      </w:r>
      <w:r w:rsidRPr="00431922">
        <w:rPr>
          <w:rStyle w:val="StyleUnderline"/>
        </w:rPr>
        <w:t xml:space="preserve"> state—local responsibility with a modest federal contribution thrown</w:t>
      </w:r>
      <w:r w:rsidRPr="00E45184">
        <w:rPr>
          <w:rStyle w:val="StyleUnderline"/>
        </w:rPr>
        <w:t xml:space="preserve"> in for good measure</w:t>
      </w:r>
      <w:r w:rsidRPr="00A75C96">
        <w:rPr>
          <w:sz w:val="16"/>
        </w:rPr>
        <w:t xml:space="preserve">. The bulk of state funding takes the form of some type of formula-driven grant-in-aid to local school districts. This service area dominates the state-funded portion of state budgets, making up 35 percent of total expenditures, and has been a major area of investment for states in the last 10 years. </w:t>
      </w:r>
      <w:r w:rsidRPr="00A75C96">
        <w:rPr>
          <w:sz w:val="12"/>
        </w:rPr>
        <w:t>¶</w:t>
      </w:r>
      <w:r w:rsidRPr="00A75C96">
        <w:rPr>
          <w:sz w:val="16"/>
        </w:rPr>
        <w:t xml:space="preserve"> </w:t>
      </w:r>
      <w:r w:rsidRPr="00E45184">
        <w:rPr>
          <w:rStyle w:val="StyleUnderline"/>
        </w:rPr>
        <w:t xml:space="preserve">For the past decade, education policy has been dominated by the issues surrounding </w:t>
      </w:r>
      <w:r w:rsidRPr="00431922">
        <w:rPr>
          <w:rStyle w:val="StyleUnderline"/>
        </w:rPr>
        <w:t>the federal No Child Left behind</w:t>
      </w:r>
      <w:r w:rsidRPr="00431922">
        <w:rPr>
          <w:sz w:val="16"/>
        </w:rPr>
        <w:t xml:space="preserve"> (NCLB) </w:t>
      </w:r>
      <w:r w:rsidRPr="00431922">
        <w:rPr>
          <w:rStyle w:val="StyleUnderline"/>
        </w:rPr>
        <w:t>Act</w:t>
      </w:r>
      <w:r w:rsidRPr="00431922">
        <w:rPr>
          <w:sz w:val="16"/>
        </w:rPr>
        <w:t xml:space="preserve"> of 2002. </w:t>
      </w:r>
      <w:r w:rsidRPr="00431922">
        <w:rPr>
          <w:rStyle w:val="StyleUnderline"/>
        </w:rPr>
        <w:t>This legislation expanded the scope of federal influence over education</w:t>
      </w:r>
      <w:r w:rsidRPr="00431922">
        <w:rPr>
          <w:sz w:val="16"/>
        </w:rPr>
        <w:t xml:space="preserve">, requiring that States adopt a host of new school testing and accountability provisions. </w:t>
      </w:r>
      <w:r w:rsidRPr="00431922">
        <w:rPr>
          <w:rStyle w:val="StyleUnderline"/>
        </w:rPr>
        <w:t xml:space="preserve">The legislation also authorized a </w:t>
      </w:r>
      <w:r w:rsidRPr="00431922">
        <w:rPr>
          <w:rStyle w:val="Emphasis"/>
        </w:rPr>
        <w:t>substantial increase</w:t>
      </w:r>
      <w:r w:rsidRPr="00431922">
        <w:rPr>
          <w:rStyle w:val="StyleUnderline"/>
        </w:rPr>
        <w:t xml:space="preserve"> in federal funding for education</w:t>
      </w:r>
      <w:r w:rsidRPr="00431922">
        <w:rPr>
          <w:sz w:val="16"/>
        </w:rPr>
        <w:t xml:space="preserve">. Although </w:t>
      </w:r>
      <w:r w:rsidRPr="00431922">
        <w:rPr>
          <w:rStyle w:val="StyleUnderline"/>
        </w:rPr>
        <w:t>the federal share increased by 43 percent between</w:t>
      </w:r>
      <w:r w:rsidRPr="00E45184">
        <w:rPr>
          <w:rStyle w:val="StyleUnderline"/>
        </w:rPr>
        <w:t xml:space="preserve"> 2000 and 2008, these funds only accounted for around 60 percent of the authorized increase</w:t>
      </w:r>
      <w:r w:rsidRPr="00A75C96">
        <w:rPr>
          <w:sz w:val="16"/>
        </w:rPr>
        <w:t xml:space="preserve">, and there was national debate as to whether the federal government was honoring its commitment to fully fund the legislation: Based on the calculations in Table 8.2, the federal increase was equivalent to around $300 per student between 2000 and 2008 for the average State (in 2010 dollars). </w:t>
      </w:r>
      <w:r w:rsidRPr="00A75C96">
        <w:rPr>
          <w:sz w:val="12"/>
        </w:rPr>
        <w:t>¶</w:t>
      </w:r>
      <w:r w:rsidRPr="00A75C96">
        <w:rPr>
          <w:sz w:val="16"/>
        </w:rPr>
        <w:t xml:space="preserve"> While the federal percentage change looks large, the federal increase is dwarfed by the overall magnitude of the state and local increase. Over the same time period, States, on average, increased funding by over $1,100 per student, an annual real rate of growth of 2.6 percent; local governments matched this dollar increase. Further, unlike growth in federal funds, the state investment trend does not begin with the NCLB Act. That is, states' rate of growth actually slowed relative to the late 1990s, when state real per FTE funding grew by an average of 5 percent a year (between 1996 and 2000). </w:t>
      </w:r>
      <w:r w:rsidRPr="00E45184">
        <w:rPr>
          <w:rStyle w:val="StyleUnderline"/>
        </w:rPr>
        <w:t xml:space="preserve">Since the mid-1990s, </w:t>
      </w:r>
      <w:r w:rsidRPr="009A3B88">
        <w:rPr>
          <w:rStyle w:val="StyleUnderline"/>
          <w:highlight w:val="yellow"/>
        </w:rPr>
        <w:t>states have been making</w:t>
      </w:r>
      <w:r w:rsidRPr="00E45184">
        <w:rPr>
          <w:rStyle w:val="StyleUnderline"/>
        </w:rPr>
        <w:t xml:space="preserve"> a </w:t>
      </w:r>
      <w:r w:rsidRPr="009A3B88">
        <w:rPr>
          <w:rStyle w:val="StyleUnderline"/>
          <w:highlight w:val="yellow"/>
        </w:rPr>
        <w:t>substantial</w:t>
      </w:r>
      <w:r w:rsidRPr="00E45184">
        <w:rPr>
          <w:rStyle w:val="StyleUnderline"/>
        </w:rPr>
        <w:t xml:space="preserve"> real </w:t>
      </w:r>
      <w:r w:rsidRPr="009A3B88">
        <w:rPr>
          <w:rStyle w:val="StyleUnderline"/>
          <w:highlight w:val="yellow"/>
        </w:rPr>
        <w:t>investment</w:t>
      </w:r>
      <w:r w:rsidRPr="00E45184">
        <w:rPr>
          <w:rStyle w:val="StyleUnderline"/>
        </w:rPr>
        <w:t xml:space="preserve"> in education that is reflected </w:t>
      </w:r>
      <w:r w:rsidRPr="009A3B88">
        <w:rPr>
          <w:rStyle w:val="StyleUnderline"/>
          <w:highlight w:val="yellow"/>
        </w:rPr>
        <w:t xml:space="preserve">in </w:t>
      </w:r>
      <w:r w:rsidRPr="009A3B88">
        <w:rPr>
          <w:rStyle w:val="Emphasis"/>
          <w:highlight w:val="yellow"/>
        </w:rPr>
        <w:t>per student numbers</w:t>
      </w:r>
      <w:r w:rsidRPr="00E45184">
        <w:rPr>
          <w:rStyle w:val="StyleUnderline"/>
        </w:rPr>
        <w:t xml:space="preserve"> as well as aggregate funding levels. </w:t>
      </w:r>
      <w:r w:rsidRPr="009A3B88">
        <w:rPr>
          <w:rStyle w:val="StyleUnderline"/>
          <w:highlight w:val="yellow"/>
        </w:rPr>
        <w:t>Between 2000 and</w:t>
      </w:r>
      <w:r w:rsidRPr="00E45184">
        <w:rPr>
          <w:rStyle w:val="StyleUnderline"/>
        </w:rPr>
        <w:t xml:space="preserve"> 20</w:t>
      </w:r>
      <w:r w:rsidRPr="009A3B88">
        <w:rPr>
          <w:rStyle w:val="StyleUnderline"/>
          <w:highlight w:val="yellow"/>
        </w:rPr>
        <w:t>08</w:t>
      </w:r>
      <w:r w:rsidRPr="00E45184">
        <w:rPr>
          <w:rStyle w:val="StyleUnderline"/>
        </w:rPr>
        <w:t xml:space="preserve">, </w:t>
      </w:r>
      <w:r w:rsidRPr="009A3B88">
        <w:rPr>
          <w:rStyle w:val="StyleUnderline"/>
          <w:highlight w:val="yellow"/>
        </w:rPr>
        <w:t>the</w:t>
      </w:r>
      <w:r w:rsidRPr="00E45184">
        <w:rPr>
          <w:rStyle w:val="StyleUnderline"/>
        </w:rPr>
        <w:t xml:space="preserve"> vast </w:t>
      </w:r>
      <w:r w:rsidRPr="009A3B88">
        <w:rPr>
          <w:rStyle w:val="StyleUnderline"/>
          <w:highlight w:val="yellow"/>
        </w:rPr>
        <w:t>majority</w:t>
      </w:r>
      <w:r w:rsidRPr="00E45184">
        <w:rPr>
          <w:rStyle w:val="StyleUnderline"/>
        </w:rPr>
        <w:t xml:space="preserve"> </w:t>
      </w:r>
      <w:r w:rsidRPr="009A3B88">
        <w:rPr>
          <w:rStyle w:val="StyleUnderline"/>
          <w:highlight w:val="yellow"/>
        </w:rPr>
        <w:t>made double-digit</w:t>
      </w:r>
      <w:r w:rsidRPr="00E45184">
        <w:rPr>
          <w:rStyle w:val="StyleUnderline"/>
        </w:rPr>
        <w:t xml:space="preserve"> real per FTE </w:t>
      </w:r>
      <w:r w:rsidRPr="009A3B88">
        <w:rPr>
          <w:rStyle w:val="StyleUnderline"/>
          <w:highlight w:val="yellow"/>
        </w:rPr>
        <w:t>investments</w:t>
      </w:r>
      <w:r w:rsidRPr="00E45184">
        <w:rPr>
          <w:rStyle w:val="StyleUnderline"/>
        </w:rPr>
        <w:t xml:space="preserve"> in K—12 education</w:t>
      </w:r>
      <w:r w:rsidRPr="00A75C96">
        <w:rPr>
          <w:sz w:val="16"/>
        </w:rPr>
        <w:t xml:space="preserve">. </w:t>
      </w:r>
      <w:r w:rsidRPr="00A75C96">
        <w:rPr>
          <w:sz w:val="12"/>
        </w:rPr>
        <w:t>¶</w:t>
      </w:r>
      <w:r w:rsidRPr="00A75C96">
        <w:rPr>
          <w:sz w:val="16"/>
        </w:rPr>
        <w:t xml:space="preserve"> The impact of the Great Recession is visible in the 2010 numbers with local funding flatlining on a per student basis, state funding dropping, and federal funding actually making up slightly more than the difference. "The federal funding includes the ARRA funds. </w:t>
      </w:r>
      <w:r w:rsidRPr="00A75C96">
        <w:rPr>
          <w:sz w:val="12"/>
        </w:rPr>
        <w:t>¶</w:t>
      </w:r>
      <w:r w:rsidRPr="00A75C96">
        <w:rPr>
          <w:sz w:val="16"/>
        </w:rPr>
        <w:t xml:space="preserve"> Outlook for K—12 Education </w:t>
      </w:r>
      <w:r w:rsidRPr="00A75C96">
        <w:rPr>
          <w:sz w:val="12"/>
        </w:rPr>
        <w:t>¶</w:t>
      </w:r>
      <w:r w:rsidRPr="00A75C96">
        <w:rPr>
          <w:sz w:val="16"/>
        </w:rPr>
        <w:t xml:space="preserve"> </w:t>
      </w:r>
      <w:r w:rsidRPr="009A3B88">
        <w:rPr>
          <w:rStyle w:val="StyleUnderline"/>
        </w:rPr>
        <w:t>The funds provided from NCLB ended in 2007 and reauthorization legislation has failed to pass Congress</w:t>
      </w:r>
      <w:r w:rsidRPr="00A75C96">
        <w:rPr>
          <w:sz w:val="16"/>
        </w:rPr>
        <w:t xml:space="preserve">. The original act was supposed to ensure that all students met student achievement standards by 2014; however, there is little evidence that most states reached close to the mark. For example, a 2007 assessment of the funding increases required to meet standards in Missouri and Kansas by 2011 ranged between 46 and 10 percent, respectively, over 2007 amounts for the average district. The relatively small 10 percent increase in Kansas reflects the state setting a IOW threshold for student achievement (Duncombe et al. 2006). </w:t>
      </w:r>
      <w:r w:rsidRPr="00A75C96">
        <w:rPr>
          <w:sz w:val="12"/>
        </w:rPr>
        <w:t>¶</w:t>
      </w:r>
      <w:r w:rsidRPr="00A75C96">
        <w:rPr>
          <w:sz w:val="16"/>
        </w:rPr>
        <w:t xml:space="preserve"> The projections or plausible scenario are shown in Table 8.2 and Figure 8.1. trends are built off of National Center for Education Statistics (NCES) expenditure and enrollment projections adjusted based on more recent surveys reflecting the impact of the Great Recession on state and local spending. </w:t>
      </w:r>
      <w:r w:rsidRPr="00E45184">
        <w:rPr>
          <w:rStyle w:val="StyleUnderline"/>
        </w:rPr>
        <w:t>Layoffs in the local education sector suggest that as federal stimulus funding has vanished, states and localities have not been able to fill the gap</w:t>
      </w:r>
      <w:r w:rsidRPr="00A75C96">
        <w:rPr>
          <w:sz w:val="16"/>
        </w:rPr>
        <w:t xml:space="preserve"> (Oliff et al. 2012). This could permanently lower the base for education spending going forward. This projection assumes that should funding stabilize in 2014, state commitment will resume the 2000—2008 investment pattern, which may be aggressive given the likely pressures from Medicaid, pensions, and other retirement obligations. Additionally, the scenario accounts for the impact of federal retrenchment on funding for education given proposed education cuts as part of the more recent federal American Taxpayer Relief Act (ATRA) of 2013. The ATRA would reduce federal education funding by 7.3 percent reduction in 2014, declining to 5.5 percent by 2021 (Kogan 2012). </w:t>
      </w:r>
      <w:r w:rsidRPr="00A75C96">
        <w:rPr>
          <w:sz w:val="12"/>
        </w:rPr>
        <w:t>¶</w:t>
      </w:r>
      <w:r w:rsidRPr="00A75C96">
        <w:rPr>
          <w:sz w:val="16"/>
        </w:rPr>
        <w:t xml:space="preserve"> In this scenario, the results show that the average state might reach an 8 percent per student increase over 2008 by 2020, close to the NCLB "low bar" suggested in the research on Kansas referenced earlier. </w:t>
      </w:r>
      <w:r w:rsidRPr="00E45184">
        <w:rPr>
          <w:rStyle w:val="StyleUnderline"/>
        </w:rPr>
        <w:t xml:space="preserve">Federal education funding appears slated to drop to a level that predates the legislation. </w:t>
      </w:r>
      <w:r w:rsidRPr="00A75C96">
        <w:rPr>
          <w:rStyle w:val="StyleUnderline"/>
          <w:sz w:val="12"/>
          <w:u w:val="none"/>
        </w:rPr>
        <w:t>¶</w:t>
      </w:r>
      <w:r w:rsidRPr="00A75C96">
        <w:rPr>
          <w:rStyle w:val="StyleUnderline"/>
          <w:sz w:val="12"/>
        </w:rPr>
        <w:t xml:space="preserve"> </w:t>
      </w:r>
      <w:r w:rsidRPr="00A75C96">
        <w:rPr>
          <w:sz w:val="16"/>
        </w:rPr>
        <w:t xml:space="preserve">Perhaps in tacit recognition of overly ambitious goals of the NCLB as well as the fiscally strapped circumstances of governments at all levels, policy makers appear to be scaling back the original NCLB criteria. The </w:t>
      </w:r>
      <w:r w:rsidRPr="009A3B88">
        <w:rPr>
          <w:rStyle w:val="StyleUnderline"/>
        </w:rPr>
        <w:t>Obama administration has been changing the program through waivers, allowing states increased flexibility</w:t>
      </w:r>
      <w:r w:rsidRPr="00A75C96">
        <w:rPr>
          <w:sz w:val="16"/>
        </w:rPr>
        <w:t xml:space="preserve"> to revise their accountability standards in return for setting up programs that better track and evaluate student progress and reward teachers for student improvement. </w:t>
      </w:r>
      <w:r w:rsidRPr="009A3B88">
        <w:rPr>
          <w:rStyle w:val="StyleUnderline"/>
        </w:rPr>
        <w:t>While</w:t>
      </w:r>
      <w:r w:rsidRPr="00E45184">
        <w:rPr>
          <w:rStyle w:val="StyleUnderline"/>
        </w:rPr>
        <w:t xml:space="preserve"> the education community may bemoan the slowing investment in education, it is worth noting that </w:t>
      </w:r>
      <w:r w:rsidRPr="009A3B88">
        <w:rPr>
          <w:rStyle w:val="StyleUnderline"/>
          <w:highlight w:val="yellow"/>
        </w:rPr>
        <w:t>this</w:t>
      </w:r>
      <w:r w:rsidRPr="00E45184">
        <w:rPr>
          <w:rStyle w:val="StyleUnderline"/>
        </w:rPr>
        <w:t xml:space="preserve"> policy </w:t>
      </w:r>
      <w:r w:rsidRPr="009A3B88">
        <w:rPr>
          <w:rStyle w:val="StyleUnderline"/>
          <w:highlight w:val="yellow"/>
        </w:rPr>
        <w:t>area has realized</w:t>
      </w:r>
      <w:r w:rsidRPr="00E45184">
        <w:rPr>
          <w:rStyle w:val="StyleUnderline"/>
        </w:rPr>
        <w:t xml:space="preserve"> </w:t>
      </w:r>
      <w:r w:rsidRPr="009A3B88">
        <w:rPr>
          <w:rStyle w:val="Emphasis"/>
          <w:highlight w:val="yellow"/>
        </w:rPr>
        <w:t>substantial</w:t>
      </w:r>
      <w:r w:rsidRPr="00E45184">
        <w:rPr>
          <w:rStyle w:val="Emphasis"/>
        </w:rPr>
        <w:t xml:space="preserve"> public </w:t>
      </w:r>
      <w:r w:rsidRPr="009A3B88">
        <w:rPr>
          <w:rStyle w:val="Emphasis"/>
          <w:highlight w:val="yellow"/>
        </w:rPr>
        <w:t>investment</w:t>
      </w:r>
      <w:r w:rsidRPr="00A75C96">
        <w:rPr>
          <w:sz w:val="16"/>
        </w:rPr>
        <w:t xml:space="preserve">. Even if the 2012 and 2013 projected declines in government spending are correct, the </w:t>
      </w:r>
      <w:r w:rsidRPr="00E45184">
        <w:rPr>
          <w:rStyle w:val="StyleUnderline"/>
        </w:rPr>
        <w:t xml:space="preserve">2013 </w:t>
      </w:r>
      <w:r w:rsidRPr="009A3B88">
        <w:rPr>
          <w:rStyle w:val="StyleUnderline"/>
          <w:highlight w:val="yellow"/>
        </w:rPr>
        <w:t>per student spending</w:t>
      </w:r>
      <w:r w:rsidRPr="00E45184">
        <w:rPr>
          <w:rStyle w:val="StyleUnderline"/>
        </w:rPr>
        <w:t xml:space="preserve"> still represents </w:t>
      </w:r>
      <w:r w:rsidRPr="00431922">
        <w:rPr>
          <w:rStyle w:val="StyleUnderline"/>
        </w:rPr>
        <w:t xml:space="preserve">a </w:t>
      </w:r>
      <w:r w:rsidRPr="009A3B88">
        <w:rPr>
          <w:rStyle w:val="StyleUnderline"/>
          <w:highlight w:val="yellow"/>
        </w:rPr>
        <w:t xml:space="preserve">more than </w:t>
      </w:r>
      <w:r w:rsidRPr="007F1ECD">
        <w:rPr>
          <w:rStyle w:val="Emphasis"/>
          <w:highlight w:val="yellow"/>
        </w:rPr>
        <w:t>20 percent increase</w:t>
      </w:r>
      <w:r w:rsidRPr="00B103CC">
        <w:rPr>
          <w:rStyle w:val="StyleUnderline"/>
          <w:highlight w:val="yellow"/>
        </w:rPr>
        <w:t xml:space="preserve"> </w:t>
      </w:r>
      <w:r w:rsidRPr="001B749E">
        <w:rPr>
          <w:rStyle w:val="StyleUnderline"/>
        </w:rPr>
        <w:t>from 2000</w:t>
      </w:r>
      <w:r w:rsidRPr="00E45184">
        <w:rPr>
          <w:rStyle w:val="StyleUnderline"/>
        </w:rPr>
        <w:t xml:space="preserve"> for the average state</w:t>
      </w:r>
      <w:r w:rsidRPr="00A75C96">
        <w:rPr>
          <w:sz w:val="16"/>
        </w:rPr>
        <w:t xml:space="preserve">. </w:t>
      </w:r>
    </w:p>
    <w:p w:rsidR="00CC63FD" w:rsidRPr="001A6A06" w:rsidRDefault="000B6AD4" w:rsidP="00517E29">
      <w:r>
        <w:rPr>
          <w:noProof/>
        </w:rPr>
        <w:drawing>
          <wp:inline distT="0" distB="0" distL="0" distR="0">
            <wp:extent cx="8315325" cy="4857750"/>
            <wp:effectExtent l="0" t="0" r="9525" b="0"/>
            <wp:docPr id="3" name="Picture 3" descr="C:\Users\gabri\AppData\Local\Microsoft\Windows\INetCache\Content.Word\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bri\AppData\Local\Microsoft\Windows\INetCache\Content.Word\Char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15325" cy="4857750"/>
                    </a:xfrm>
                    <a:prstGeom prst="rect">
                      <a:avLst/>
                    </a:prstGeom>
                    <a:noFill/>
                    <a:ln>
                      <a:noFill/>
                    </a:ln>
                  </pic:spPr>
                </pic:pic>
              </a:graphicData>
            </a:graphic>
          </wp:inline>
        </w:drawing>
      </w:r>
    </w:p>
    <w:p w:rsidR="001B749E" w:rsidRDefault="00CF1A70" w:rsidP="00CF1A70">
      <w:pPr>
        <w:pStyle w:val="Heading4"/>
      </w:pPr>
      <w:r>
        <w:t>That amounts to $</w:t>
      </w:r>
      <w:r w:rsidR="00632329">
        <w:t>10.8 billion</w:t>
      </w:r>
      <w:r w:rsidR="0009128F">
        <w:t xml:space="preserve"> of new funding</w:t>
      </w:r>
      <w:r w:rsidR="00632329">
        <w:t>---we’</w:t>
      </w:r>
      <w:r w:rsidR="004501F5">
        <w:t>ll insert the</w:t>
      </w:r>
      <w:r w:rsidR="00632329">
        <w:t>s</w:t>
      </w:r>
      <w:r w:rsidR="004501F5">
        <w:t>e</w:t>
      </w:r>
      <w:r w:rsidR="00632329">
        <w:t xml:space="preserve"> equation</w:t>
      </w:r>
      <w:r w:rsidR="004501F5">
        <w:t>s</w:t>
      </w:r>
      <w:r w:rsidR="00632329">
        <w:t>:</w:t>
      </w:r>
    </w:p>
    <w:p w:rsidR="00456EFB" w:rsidRPr="00632329" w:rsidRDefault="00456EFB" w:rsidP="00456EFB">
      <w:pPr>
        <w:pStyle w:val="ListParagraph"/>
        <w:numPr>
          <w:ilvl w:val="0"/>
          <w:numId w:val="18"/>
        </w:numPr>
      </w:pPr>
      <w:r>
        <w:t xml:space="preserve">See below </w:t>
      </w:r>
    </w:p>
    <w:p w:rsidR="00670BAE" w:rsidRDefault="00670BAE" w:rsidP="00431922"/>
    <w:p w:rsidR="00431922" w:rsidRDefault="00431922" w:rsidP="00431922">
      <w:pPr>
        <w:keepNext/>
        <w:keepLines/>
        <w:spacing w:before="40" w:after="0"/>
        <w:outlineLvl w:val="3"/>
        <w:rPr>
          <w:rFonts w:eastAsiaTheme="majorEastAsia" w:cstheme="majorBidi"/>
          <w:b/>
          <w:iCs/>
          <w:sz w:val="26"/>
        </w:rPr>
      </w:pPr>
      <w:r>
        <w:rPr>
          <w:rFonts w:eastAsiaTheme="majorEastAsia" w:cstheme="majorBidi"/>
          <w:b/>
          <w:iCs/>
          <w:sz w:val="26"/>
        </w:rPr>
        <w:t>“</w:t>
      </w:r>
      <w:r w:rsidRPr="00431922">
        <w:rPr>
          <w:rFonts w:eastAsiaTheme="majorEastAsia" w:cstheme="majorBidi"/>
          <w:b/>
          <w:iCs/>
          <w:sz w:val="26"/>
        </w:rPr>
        <w:t>Increase</w:t>
      </w:r>
      <w:r>
        <w:rPr>
          <w:rFonts w:eastAsiaTheme="majorEastAsia" w:cstheme="majorBidi"/>
          <w:b/>
          <w:iCs/>
          <w:sz w:val="26"/>
        </w:rPr>
        <w:t xml:space="preserve">” means to make larger </w:t>
      </w:r>
    </w:p>
    <w:p w:rsidR="00431922" w:rsidRPr="00753778" w:rsidRDefault="00431922" w:rsidP="00431922">
      <w:r w:rsidRPr="0058002D">
        <w:rPr>
          <w:rStyle w:val="Style13ptBold"/>
        </w:rPr>
        <w:t>Cambridge 8</w:t>
      </w:r>
      <w:r>
        <w:t xml:space="preserve">, </w:t>
      </w:r>
      <w:r w:rsidRPr="0058002D">
        <w:t xml:space="preserve">Cambridge Dictionary, </w:t>
      </w:r>
      <w:r>
        <w:t>200</w:t>
      </w:r>
      <w:r w:rsidRPr="0058002D">
        <w:t>8 http://dictionary.cambridge.org/def</w:t>
      </w:r>
      <w:r>
        <w:t>ine.asp?key=increase*1+0&amp;dict=A</w:t>
      </w:r>
    </w:p>
    <w:p w:rsidR="00431922" w:rsidRPr="00A23A4A" w:rsidRDefault="00431922" w:rsidP="00431922">
      <w:pPr>
        <w:rPr>
          <w:rStyle w:val="TitleChar"/>
        </w:rPr>
      </w:pPr>
      <w:r w:rsidRPr="00431922">
        <w:rPr>
          <w:rStyle w:val="TitleChar"/>
          <w:highlight w:val="yellow"/>
        </w:rPr>
        <w:t>increase</w:t>
      </w:r>
    </w:p>
    <w:p w:rsidR="00431922" w:rsidRPr="0058002D" w:rsidRDefault="00ED7FA5" w:rsidP="00431922">
      <w:pPr>
        <w:rPr>
          <w:sz w:val="16"/>
        </w:rPr>
      </w:pPr>
      <w:hyperlink r:id="rId8" w:history="1">
        <w:r w:rsidR="00431922" w:rsidRPr="0058002D">
          <w:rPr>
            <w:sz w:val="16"/>
          </w:rPr>
          <w:t>[Show phonetics]</w:t>
        </w:r>
      </w:hyperlink>
    </w:p>
    <w:p w:rsidR="00431922" w:rsidRPr="0058002D" w:rsidRDefault="00431922" w:rsidP="00431922">
      <w:pPr>
        <w:rPr>
          <w:sz w:val="16"/>
        </w:rPr>
      </w:pPr>
      <w:r w:rsidRPr="0058002D">
        <w:rPr>
          <w:sz w:val="16"/>
        </w:rPr>
        <w:t>verb [I/T] </w:t>
      </w:r>
    </w:p>
    <w:p w:rsidR="00431922" w:rsidRPr="0058002D" w:rsidRDefault="00431922" w:rsidP="00431922">
      <w:pPr>
        <w:rPr>
          <w:sz w:val="16"/>
        </w:rPr>
      </w:pPr>
      <w:r w:rsidRPr="00431922">
        <w:rPr>
          <w:rStyle w:val="StyleUnderline"/>
          <w:highlight w:val="yellow"/>
        </w:rPr>
        <w:t>to</w:t>
      </w:r>
      <w:r w:rsidRPr="0058002D">
        <w:rPr>
          <w:sz w:val="16"/>
        </w:rPr>
        <w:t xml:space="preserve"> become or </w:t>
      </w:r>
      <w:r w:rsidRPr="00431922">
        <w:rPr>
          <w:rStyle w:val="StyleUnderline"/>
          <w:highlight w:val="yellow"/>
        </w:rPr>
        <w:t>make</w:t>
      </w:r>
      <w:r w:rsidRPr="0058002D">
        <w:rPr>
          <w:sz w:val="16"/>
        </w:rPr>
        <w:t xml:space="preserve"> (something) </w:t>
      </w:r>
      <w:r w:rsidRPr="00431922">
        <w:rPr>
          <w:rStyle w:val="StyleUnderline"/>
          <w:highlight w:val="yellow"/>
        </w:rPr>
        <w:t>larger</w:t>
      </w:r>
      <w:r w:rsidRPr="00431922">
        <w:rPr>
          <w:rStyle w:val="StyleUnderline"/>
        </w:rPr>
        <w:t xml:space="preserve"> or greater</w:t>
      </w:r>
      <w:r w:rsidRPr="0058002D">
        <w:rPr>
          <w:sz w:val="16"/>
        </w:rPr>
        <w:t xml:space="preserve"> </w:t>
      </w:r>
    </w:p>
    <w:p w:rsidR="005A6960" w:rsidRPr="00431922" w:rsidRDefault="005A6960" w:rsidP="00431922"/>
    <w:p w:rsidR="0071408B" w:rsidRDefault="0071408B" w:rsidP="00FD6F73"/>
    <w:p w:rsidR="00CC63FD" w:rsidRDefault="00CC63FD" w:rsidP="00CC63FD">
      <w:pPr>
        <w:pStyle w:val="Heading4"/>
      </w:pPr>
      <w:r w:rsidRPr="001A6A06">
        <w:t>Violation</w:t>
      </w:r>
      <w:r w:rsidR="00431922">
        <w:t>---the Healthy, Hunger-Free Kids Act</w:t>
      </w:r>
      <w:r w:rsidR="00273584">
        <w:t xml:space="preserve"> was passed in </w:t>
      </w:r>
      <w:r w:rsidR="004501F5">
        <w:t>2010 and</w:t>
      </w:r>
      <w:r w:rsidR="00431922">
        <w:t xml:space="preserve"> </w:t>
      </w:r>
      <w:r w:rsidR="004501F5">
        <w:t>allocate</w:t>
      </w:r>
      <w:r w:rsidR="00032907">
        <w:t>d</w:t>
      </w:r>
      <w:r w:rsidR="00431922">
        <w:t xml:space="preserve"> $4.5 billion</w:t>
      </w:r>
      <w:r w:rsidR="00032907">
        <w:t xml:space="preserve"> through 2020</w:t>
      </w:r>
    </w:p>
    <w:p w:rsidR="004501F5" w:rsidRPr="004501F5" w:rsidRDefault="004501F5" w:rsidP="004501F5">
      <w:r>
        <w:t xml:space="preserve">Amanda </w:t>
      </w:r>
      <w:r w:rsidRPr="00032907">
        <w:rPr>
          <w:rStyle w:val="Style13ptBold"/>
        </w:rPr>
        <w:t>Paulson 10,</w:t>
      </w:r>
      <w:r>
        <w:t xml:space="preserve"> staff writer at the Christian Science Monitor, 12-12-10, “House votes a $4.5 billion boost for child nutrition, school lunches,” http://www.csmonitor.com/USA/Politics/2010/1202/House-votes-a-4.5-billion-boost-for-child-nutrition-school-lunches</w:t>
      </w:r>
    </w:p>
    <w:p w:rsidR="00517E29" w:rsidRPr="00032907" w:rsidRDefault="004501F5" w:rsidP="00517E29">
      <w:pPr>
        <w:rPr>
          <w:sz w:val="16"/>
        </w:rPr>
      </w:pPr>
      <w:r w:rsidRPr="00032907">
        <w:rPr>
          <w:sz w:val="16"/>
        </w:rPr>
        <w:t xml:space="preserve">The bill, formally known as </w:t>
      </w:r>
      <w:r w:rsidRPr="00032907">
        <w:rPr>
          <w:rStyle w:val="StyleUnderline"/>
          <w:highlight w:val="yellow"/>
        </w:rPr>
        <w:t>the Healthy, Hunger-Free Kids Act, includes</w:t>
      </w:r>
      <w:r w:rsidRPr="00032907">
        <w:rPr>
          <w:sz w:val="16"/>
        </w:rPr>
        <w:t xml:space="preserve"> some of the biggest </w:t>
      </w:r>
      <w:r w:rsidRPr="00032907">
        <w:rPr>
          <w:rStyle w:val="StyleUnderline"/>
        </w:rPr>
        <w:t>changes to the Child Nutrition Act</w:t>
      </w:r>
      <w:r w:rsidRPr="00032907">
        <w:rPr>
          <w:sz w:val="16"/>
        </w:rPr>
        <w:t xml:space="preserve"> since the program was started nearly half a century ago.</w:t>
      </w:r>
      <w:r w:rsidR="00032907" w:rsidRPr="00032907">
        <w:rPr>
          <w:sz w:val="12"/>
        </w:rPr>
        <w:t>¶</w:t>
      </w:r>
      <w:r w:rsidR="00032907" w:rsidRPr="00032907">
        <w:rPr>
          <w:sz w:val="16"/>
        </w:rPr>
        <w:t xml:space="preserve"> </w:t>
      </w:r>
      <w:r w:rsidR="00032907" w:rsidRPr="00032907">
        <w:rPr>
          <w:sz w:val="12"/>
        </w:rPr>
        <w:t>¶</w:t>
      </w:r>
      <w:r w:rsidR="00032907" w:rsidRPr="00032907">
        <w:rPr>
          <w:sz w:val="16"/>
        </w:rPr>
        <w:t xml:space="preserve"> </w:t>
      </w:r>
      <w:r w:rsidRPr="00032907">
        <w:rPr>
          <w:rStyle w:val="StyleUnderline"/>
        </w:rPr>
        <w:t>The House passed it by a vote of 264 to 157</w:t>
      </w:r>
      <w:r w:rsidRPr="00032907">
        <w:rPr>
          <w:sz w:val="16"/>
        </w:rPr>
        <w:t xml:space="preserve"> Thursday. </w:t>
      </w:r>
      <w:r w:rsidRPr="00032907">
        <w:rPr>
          <w:rStyle w:val="StyleUnderline"/>
        </w:rPr>
        <w:t>The Senate unanimously approved it in August</w:t>
      </w:r>
      <w:r w:rsidRPr="00032907">
        <w:rPr>
          <w:sz w:val="16"/>
        </w:rPr>
        <w:t xml:space="preserve">, and President Obama is expected to sign it soon. </w:t>
      </w:r>
      <w:r w:rsidRPr="00032907">
        <w:rPr>
          <w:rStyle w:val="StyleUnderline"/>
        </w:rPr>
        <w:t>Among its provisions:</w:t>
      </w:r>
      <w:r w:rsidR="00032907" w:rsidRPr="00032907">
        <w:rPr>
          <w:rStyle w:val="StyleUnderline"/>
          <w:sz w:val="12"/>
          <w:u w:val="none"/>
        </w:rPr>
        <w:t>¶</w:t>
      </w:r>
      <w:r w:rsidR="00032907" w:rsidRPr="00032907">
        <w:rPr>
          <w:rStyle w:val="StyleUnderline"/>
          <w:sz w:val="12"/>
        </w:rPr>
        <w:t xml:space="preserve"> </w:t>
      </w:r>
      <w:r w:rsidRPr="00032907">
        <w:rPr>
          <w:sz w:val="16"/>
        </w:rPr>
        <w:t xml:space="preserve">• </w:t>
      </w:r>
      <w:r w:rsidRPr="00032907">
        <w:rPr>
          <w:rStyle w:val="StyleUnderline"/>
        </w:rPr>
        <w:t xml:space="preserve">An additional </w:t>
      </w:r>
      <w:r w:rsidRPr="00032907">
        <w:rPr>
          <w:rStyle w:val="StyleUnderline"/>
          <w:highlight w:val="yellow"/>
        </w:rPr>
        <w:t>$4.5 billion over 10 years</w:t>
      </w:r>
      <w:r w:rsidRPr="00032907">
        <w:rPr>
          <w:sz w:val="16"/>
        </w:rPr>
        <w:t xml:space="preserve"> to child nutrition programs – the first time the federal government has increased funding for them in 30 years.</w:t>
      </w:r>
    </w:p>
    <w:p w:rsidR="00E0084C" w:rsidRDefault="00E0084C" w:rsidP="00517E29"/>
    <w:p w:rsidR="00E0084C" w:rsidRPr="001A6A06" w:rsidRDefault="00E0084C" w:rsidP="00517E29"/>
    <w:p w:rsidR="00E309AD" w:rsidRPr="001A6A06" w:rsidRDefault="00517E29" w:rsidP="00517E29">
      <w:pPr>
        <w:pStyle w:val="Heading4"/>
      </w:pPr>
      <w:r w:rsidRPr="001A6A06">
        <w:t>Vote Neg:</w:t>
      </w:r>
    </w:p>
    <w:p w:rsidR="00517E29" w:rsidRPr="001A6A06" w:rsidRDefault="00517E29" w:rsidP="00517E29"/>
    <w:p w:rsidR="00517E29" w:rsidRPr="001A6A06" w:rsidRDefault="00517E29" w:rsidP="00517E29">
      <w:pPr>
        <w:pStyle w:val="Heading4"/>
        <w:numPr>
          <w:ilvl w:val="0"/>
          <w:numId w:val="13"/>
        </w:numPr>
      </w:pPr>
      <w:r w:rsidRPr="001A6A06">
        <w:t>Limits---their interp allows for proliferation of affs that marginally increase funding or regulation in ways that allow for virtually any change.</w:t>
      </w:r>
    </w:p>
    <w:p w:rsidR="00517E29" w:rsidRPr="001A6A06" w:rsidRDefault="00517E29" w:rsidP="00517E29">
      <w:pPr>
        <w:pStyle w:val="Heading4"/>
        <w:numPr>
          <w:ilvl w:val="0"/>
          <w:numId w:val="13"/>
        </w:numPr>
      </w:pPr>
      <w:r w:rsidRPr="001A6A06">
        <w:t xml:space="preserve">Neg ground---offense is predication off the assumption that the aff is </w:t>
      </w:r>
      <w:r w:rsidR="00234F12" w:rsidRPr="001A6A06">
        <w:t>a substantial change</w:t>
      </w:r>
      <w:r w:rsidRPr="001A6A06">
        <w:t xml:space="preserve"> to education policy---allowing miniscule changes eviscerates core disad ground</w:t>
      </w:r>
    </w:p>
    <w:p w:rsidR="00CC63FD" w:rsidRPr="001A6A06" w:rsidRDefault="00CC63FD" w:rsidP="00E309AD"/>
    <w:p w:rsidR="00456EFB" w:rsidRPr="00456EFB" w:rsidRDefault="00456EFB" w:rsidP="00456EFB">
      <w:pPr>
        <w:keepNext/>
        <w:keepLines/>
        <w:pBdr>
          <w:bottom w:val="single" w:sz="6" w:space="3" w:color="auto"/>
        </w:pBdr>
        <w:spacing w:before="40" w:after="0"/>
        <w:outlineLvl w:val="3"/>
        <w:rPr>
          <w:rFonts w:eastAsiaTheme="majorEastAsia" w:cs="Times New Roman"/>
          <w:b/>
          <w:iCs/>
          <w:color w:val="FF0000"/>
          <w:sz w:val="26"/>
          <w:u w:val="single"/>
        </w:rPr>
      </w:pPr>
    </w:p>
    <w:p w:rsidR="00456EFB" w:rsidRDefault="00456EFB" w:rsidP="00456EFB"/>
    <w:p w:rsidR="00456EFB" w:rsidRPr="00456EFB" w:rsidRDefault="00456EFB" w:rsidP="00456EFB">
      <w:pPr>
        <w:pStyle w:val="Heading4"/>
        <w:rPr>
          <w:color w:val="FF0000"/>
        </w:rPr>
      </w:pPr>
      <w:r w:rsidRPr="00456EFB">
        <w:rPr>
          <w:color w:val="FF0000"/>
        </w:rPr>
        <w:t>Figures drawn from National Center for Education Statistics 2014 data (most recent)</w:t>
      </w:r>
    </w:p>
    <w:p w:rsidR="00456EFB" w:rsidRPr="00456EFB" w:rsidRDefault="00456EFB" w:rsidP="00456EFB">
      <w:pPr>
        <w:rPr>
          <w:color w:val="FF0000"/>
        </w:rPr>
      </w:pPr>
      <w:r w:rsidRPr="00456EFB">
        <w:rPr>
          <w:color w:val="FF0000"/>
        </w:rPr>
        <w:t xml:space="preserve">Stephen Q. </w:t>
      </w:r>
      <w:r w:rsidRPr="00456EFB">
        <w:rPr>
          <w:rStyle w:val="Style13ptBold"/>
          <w:color w:val="FF0000"/>
        </w:rPr>
        <w:t>Cornman 16</w:t>
      </w:r>
      <w:r w:rsidRPr="00456EFB">
        <w:rPr>
          <w:color w:val="FF0000"/>
        </w:rPr>
        <w:t>, research scientist at the National Center for Education Statistics in the U.S. Department of Education’s Institute for Education Sciences, October 16, “Revenues and Expenditures for Public Elementary and Secondary Education: School Year 2013–14 (Fiscal Year 2014),” https://nces.ed.gov/pubs2016/2016301.pdf</w:t>
      </w:r>
    </w:p>
    <w:p w:rsidR="00456EFB" w:rsidRPr="00456EFB" w:rsidRDefault="00456EFB" w:rsidP="00456EFB">
      <w:pPr>
        <w:rPr>
          <w:color w:val="FF0000"/>
          <w:sz w:val="16"/>
        </w:rPr>
      </w:pPr>
      <w:r w:rsidRPr="00456EFB">
        <w:rPr>
          <w:rStyle w:val="StyleUnderline"/>
          <w:color w:val="FF0000"/>
          <w:highlight w:val="yellow"/>
        </w:rPr>
        <w:t>The 50 states and the District of Columbia reported $623.2 billion</w:t>
      </w:r>
      <w:r w:rsidRPr="00456EFB">
        <w:rPr>
          <w:color w:val="FF0000"/>
          <w:sz w:val="16"/>
          <w:highlight w:val="yellow"/>
        </w:rPr>
        <w:t xml:space="preserve"> </w:t>
      </w:r>
      <w:r w:rsidRPr="00456EFB">
        <w:rPr>
          <w:rStyle w:val="StyleUnderline"/>
          <w:color w:val="FF0000"/>
          <w:highlight w:val="yellow"/>
        </w:rPr>
        <w:t>in revenues collected</w:t>
      </w:r>
      <w:r w:rsidRPr="00456EFB">
        <w:rPr>
          <w:rStyle w:val="StyleUnderline"/>
          <w:color w:val="FF0000"/>
        </w:rPr>
        <w:t xml:space="preserve"> for public elementary and secondary education in FY 14</w:t>
      </w:r>
      <w:r w:rsidRPr="00456EFB">
        <w:rPr>
          <w:color w:val="FF0000"/>
          <w:sz w:val="16"/>
        </w:rPr>
        <w:t xml:space="preserve"> (table 1). State and local governments provided $568.7 billion, or 91.3 percent of all revenues. </w:t>
      </w:r>
      <w:r w:rsidRPr="00456EFB">
        <w:rPr>
          <w:rStyle w:val="StyleUnderline"/>
          <w:color w:val="FF0000"/>
          <w:highlight w:val="yellow"/>
        </w:rPr>
        <w:t>The</w:t>
      </w:r>
      <w:r w:rsidRPr="00456EFB">
        <w:rPr>
          <w:rStyle w:val="StyleUnderline"/>
          <w:color w:val="FF0000"/>
        </w:rPr>
        <w:t xml:space="preserve"> </w:t>
      </w:r>
      <w:r w:rsidRPr="00456EFB">
        <w:rPr>
          <w:rStyle w:val="StyleUnderline"/>
          <w:color w:val="FF0000"/>
          <w:highlight w:val="yellow"/>
        </w:rPr>
        <w:t>federal government contributed</w:t>
      </w:r>
      <w:r w:rsidRPr="00456EFB">
        <w:rPr>
          <w:rStyle w:val="StyleUnderline"/>
          <w:color w:val="FF0000"/>
        </w:rPr>
        <w:t xml:space="preserve"> $54.5 billion, or </w:t>
      </w:r>
      <w:r w:rsidRPr="00456EFB">
        <w:rPr>
          <w:rStyle w:val="StyleUnderline"/>
          <w:color w:val="FF0000"/>
          <w:highlight w:val="yellow"/>
        </w:rPr>
        <w:t>8.7 percent</w:t>
      </w:r>
      <w:r w:rsidRPr="00456EFB">
        <w:rPr>
          <w:rStyle w:val="StyleUnderline"/>
          <w:color w:val="FF0000"/>
        </w:rPr>
        <w:t xml:space="preserve"> of all revenues</w:t>
      </w:r>
      <w:r w:rsidRPr="00456EFB">
        <w:rPr>
          <w:color w:val="FF0000"/>
          <w:sz w:val="16"/>
        </w:rPr>
        <w:t xml:space="preserve"> (derived from table 1). Total revenues increased by 1.6 percent (from $613.2 to $623.2 billion) from FY 13 to FY 14, local revenues increased by 0.5 percent (from $279.0 to $280.5 billion), state revenues increased by 3.9 percent (from $277.5 to $288.2 billion), and federal revenues decreased by 3.9 percent (from $56.7 to $54.5 billion) (derived from tables 1 and 9, after adjusting for inflation).2</w:t>
      </w:r>
    </w:p>
    <w:p w:rsidR="00456EFB" w:rsidRPr="007F1ECD" w:rsidRDefault="00456EFB" w:rsidP="00456EFB">
      <w:pPr>
        <w:rPr>
          <w:color w:val="FF0000"/>
          <w:sz w:val="16"/>
        </w:rPr>
      </w:pPr>
      <w:r w:rsidRPr="00456EFB">
        <w:rPr>
          <w:rStyle w:val="StyleUnderline"/>
          <w:color w:val="FF0000"/>
          <w:highlight w:val="yellow"/>
        </w:rPr>
        <w:t>Total revenues per pupil averaged $12,460</w:t>
      </w:r>
      <w:r w:rsidRPr="00456EFB">
        <w:rPr>
          <w:rStyle w:val="StyleUnderline"/>
          <w:color w:val="FF0000"/>
        </w:rPr>
        <w:t xml:space="preserve"> on a national basis in FY 14</w:t>
      </w:r>
      <w:r w:rsidRPr="00456EFB">
        <w:rPr>
          <w:color w:val="FF0000"/>
          <w:sz w:val="16"/>
        </w:rPr>
        <w:t xml:space="preserve"> (table 2). This was an increase of 1.1 percent between FY 13 and FY 14, and reverses the decrease of 1.1 percent from FY 12 to FY 13. Total revenues per pupil increased by 1 percent or more in 20 states from FY 13 to FY 14. Total revenues per pupil remained relatively level in 25 states and the District of Columbia between FY 13 and FY 14, with an increase or decrease of less than 1 percent. Total revenues per pupil decreased by 1 percent or more in 5 states between FY 13 and FY 14 (table 2, after </w:t>
      </w:r>
      <w:r w:rsidRPr="007F1ECD">
        <w:rPr>
          <w:color w:val="FF0000"/>
          <w:sz w:val="16"/>
        </w:rPr>
        <w:t xml:space="preserve">adjusting for inflation). </w:t>
      </w:r>
    </w:p>
    <w:p w:rsidR="00456EFB" w:rsidRPr="007F1ECD" w:rsidRDefault="0009128F" w:rsidP="00E309AD">
      <w:pPr>
        <w:rPr>
          <w:color w:val="FF0000"/>
        </w:rPr>
      </w:pPr>
      <w:r w:rsidRPr="007F1ECD">
        <w:rPr>
          <w:color w:val="FF0000"/>
        </w:rPr>
        <w:t xml:space="preserve">Federal </w:t>
      </w:r>
      <w:r w:rsidR="00456EFB" w:rsidRPr="007F1ECD">
        <w:rPr>
          <w:color w:val="FF0000"/>
        </w:rPr>
        <w:t>Per-Pupil Spending:</w:t>
      </w:r>
    </w:p>
    <w:p w:rsidR="00E309AD" w:rsidRPr="007F1ECD" w:rsidRDefault="00456EFB" w:rsidP="00E309AD">
      <w:pPr>
        <w:rPr>
          <w:color w:val="FF0000"/>
        </w:rPr>
      </w:pPr>
      <w:r w:rsidRPr="007F1ECD">
        <w:rPr>
          <w:color w:val="FF0000"/>
        </w:rPr>
        <w:t xml:space="preserve">8.7% of $12,460 = </w:t>
      </w:r>
      <w:r w:rsidR="0009128F" w:rsidRPr="007F1ECD">
        <w:rPr>
          <w:color w:val="FF0000"/>
        </w:rPr>
        <w:t>$</w:t>
      </w:r>
      <w:r w:rsidRPr="007F1ECD">
        <w:rPr>
          <w:color w:val="FF0000"/>
        </w:rPr>
        <w:t xml:space="preserve">12460 * (0.087) = </w:t>
      </w:r>
      <w:r w:rsidR="0009128F" w:rsidRPr="007F1ECD">
        <w:rPr>
          <w:color w:val="FF0000"/>
        </w:rPr>
        <w:t>$</w:t>
      </w:r>
      <w:r w:rsidRPr="007F1ECD">
        <w:rPr>
          <w:color w:val="FF0000"/>
        </w:rPr>
        <w:t>1,084.02 (approx. 2014 per-pupil federal spending)</w:t>
      </w:r>
    </w:p>
    <w:p w:rsidR="00456EFB" w:rsidRPr="007F1ECD" w:rsidRDefault="00456EFB" w:rsidP="00E309AD">
      <w:pPr>
        <w:rPr>
          <w:color w:val="FF0000"/>
        </w:rPr>
      </w:pPr>
      <w:r w:rsidRPr="007F1ECD">
        <w:rPr>
          <w:color w:val="FF0000"/>
        </w:rPr>
        <w:t xml:space="preserve">20% increase of </w:t>
      </w:r>
      <w:r w:rsidR="0009128F" w:rsidRPr="007F1ECD">
        <w:rPr>
          <w:color w:val="FF0000"/>
        </w:rPr>
        <w:t>$</w:t>
      </w:r>
      <w:r w:rsidRPr="007F1ECD">
        <w:rPr>
          <w:color w:val="FF0000"/>
        </w:rPr>
        <w:t xml:space="preserve">1084.02 </w:t>
      </w:r>
      <w:r w:rsidR="007F1ECD">
        <w:rPr>
          <w:color w:val="FF0000"/>
        </w:rPr>
        <w:t xml:space="preserve">(to be substantial) </w:t>
      </w:r>
      <w:r w:rsidRPr="007F1ECD">
        <w:rPr>
          <w:color w:val="FF0000"/>
        </w:rPr>
        <w:t xml:space="preserve">= 0.2 * </w:t>
      </w:r>
      <w:r w:rsidR="0009128F" w:rsidRPr="007F1ECD">
        <w:rPr>
          <w:color w:val="FF0000"/>
        </w:rPr>
        <w:t>$</w:t>
      </w:r>
      <w:r w:rsidRPr="007F1ECD">
        <w:rPr>
          <w:color w:val="FF0000"/>
        </w:rPr>
        <w:t xml:space="preserve">1084.02 = </w:t>
      </w:r>
      <w:r w:rsidR="0009128F" w:rsidRPr="007F1ECD">
        <w:rPr>
          <w:color w:val="FF0000"/>
        </w:rPr>
        <w:t>$</w:t>
      </w:r>
      <w:r w:rsidRPr="007F1ECD">
        <w:rPr>
          <w:color w:val="FF0000"/>
        </w:rPr>
        <w:t>216.804 new dollars (approx. per-pupil, substantial federal amount)</w:t>
      </w:r>
    </w:p>
    <w:p w:rsidR="00456EFB" w:rsidRPr="007F1ECD" w:rsidRDefault="00456EFB" w:rsidP="00E309AD">
      <w:pPr>
        <w:rPr>
          <w:color w:val="FF0000"/>
        </w:rPr>
      </w:pPr>
    </w:p>
    <w:p w:rsidR="00456EFB" w:rsidRPr="007F1ECD" w:rsidRDefault="00456EFB" w:rsidP="00E309AD">
      <w:pPr>
        <w:rPr>
          <w:color w:val="FF0000"/>
        </w:rPr>
      </w:pPr>
      <w:r w:rsidRPr="007F1ECD">
        <w:rPr>
          <w:color w:val="FF0000"/>
        </w:rPr>
        <w:t>Total Cost:</w:t>
      </w:r>
    </w:p>
    <w:p w:rsidR="00456EFB" w:rsidRPr="007F1ECD" w:rsidRDefault="00456EFB" w:rsidP="00E309AD">
      <w:pPr>
        <w:rPr>
          <w:color w:val="FF0000"/>
        </w:rPr>
      </w:pPr>
      <w:r w:rsidRPr="007F1ECD">
        <w:rPr>
          <w:color w:val="FF0000"/>
        </w:rPr>
        <w:t xml:space="preserve">Total Enrollment = $623.2 billion (total)/$12460 (per-pupil) = 50,016,051 million students </w:t>
      </w:r>
    </w:p>
    <w:p w:rsidR="00456EFB" w:rsidRPr="007F1ECD" w:rsidRDefault="00456EFB" w:rsidP="00E309AD">
      <w:pPr>
        <w:rPr>
          <w:color w:val="FF0000"/>
        </w:rPr>
      </w:pPr>
      <w:r w:rsidRPr="007F1ECD">
        <w:rPr>
          <w:color w:val="FF0000"/>
        </w:rPr>
        <w:t xml:space="preserve">Total Cost = 50,016,051 students * $216.804 = $10,843,680,000 </w:t>
      </w:r>
      <w:r w:rsidR="0009128F" w:rsidRPr="007F1ECD">
        <w:rPr>
          <w:color w:val="FF0000"/>
        </w:rPr>
        <w:t>or approx. $10.8 billion</w:t>
      </w:r>
    </w:p>
    <w:p w:rsidR="00456EFB" w:rsidRDefault="00456EFB" w:rsidP="00E309AD"/>
    <w:p w:rsidR="00456EFB" w:rsidRPr="001A6A06" w:rsidRDefault="00456EFB" w:rsidP="00E309AD"/>
    <w:p w:rsidR="00B744E7" w:rsidRPr="001A6A06" w:rsidRDefault="00B744E7" w:rsidP="00B744E7">
      <w:pPr>
        <w:pStyle w:val="Heading2"/>
      </w:pPr>
      <w:r w:rsidRPr="001A6A06">
        <w:t>Top Level</w:t>
      </w:r>
    </w:p>
    <w:p w:rsidR="00B744E7" w:rsidRDefault="00B744E7" w:rsidP="00B744E7">
      <w:pPr>
        <w:pStyle w:val="Heading3"/>
      </w:pPr>
      <w:r w:rsidRPr="001A6A06">
        <w:t>Overview---2NC</w:t>
      </w:r>
    </w:p>
    <w:p w:rsidR="00914F9F" w:rsidRPr="00914F9F" w:rsidRDefault="00914F9F" w:rsidP="00914F9F"/>
    <w:p w:rsidR="00B744E7" w:rsidRPr="001A6A06" w:rsidRDefault="00FE12D9" w:rsidP="00BE7ADA">
      <w:pPr>
        <w:pStyle w:val="Heading4"/>
      </w:pPr>
      <w:r w:rsidRPr="001A6A06">
        <w:t xml:space="preserve">Topical affirmatives </w:t>
      </w:r>
      <w:r w:rsidR="007758D1">
        <w:t xml:space="preserve">that are both a regulation and a funding increase must increase funds by </w:t>
      </w:r>
      <w:r w:rsidR="007758D1" w:rsidRPr="007758D1">
        <w:rPr>
          <w:u w:val="single"/>
        </w:rPr>
        <w:t>at least 20%</w:t>
      </w:r>
      <w:r w:rsidR="007758D1">
        <w:t xml:space="preserve">. Three key arguments: </w:t>
      </w:r>
    </w:p>
    <w:p w:rsidR="00FE12D9" w:rsidRPr="001A6A06" w:rsidRDefault="00FE12D9" w:rsidP="00BE7ADA">
      <w:pPr>
        <w:pStyle w:val="Heading4"/>
        <w:numPr>
          <w:ilvl w:val="0"/>
          <w:numId w:val="15"/>
        </w:numPr>
      </w:pPr>
      <w:r w:rsidRPr="001A6A06">
        <w:t xml:space="preserve">This year’s topic contains very few limiting words. </w:t>
      </w:r>
      <w:r w:rsidR="00021DB6">
        <w:t xml:space="preserve">There are nine potential readings of the resolution, with the only common </w:t>
      </w:r>
      <w:r w:rsidR="002B4F72">
        <w:t>limiting word</w:t>
      </w:r>
      <w:r w:rsidR="00021DB6">
        <w:t xml:space="preserve"> between them being “substantially increase”. </w:t>
      </w:r>
    </w:p>
    <w:p w:rsidR="00FE12D9" w:rsidRPr="001A6A06" w:rsidRDefault="00FE12D9" w:rsidP="00BE7ADA">
      <w:pPr>
        <w:pStyle w:val="Heading4"/>
        <w:numPr>
          <w:ilvl w:val="0"/>
          <w:numId w:val="15"/>
        </w:numPr>
      </w:pPr>
      <w:r w:rsidRPr="001A6A06">
        <w:t xml:space="preserve">Our interpretation fosters debate of </w:t>
      </w:r>
      <w:r w:rsidRPr="001A6A06">
        <w:rPr>
          <w:u w:val="single"/>
        </w:rPr>
        <w:t>core topic controversies</w:t>
      </w:r>
      <w:r w:rsidRPr="001A6A06">
        <w:t xml:space="preserve"> like the relationship between the</w:t>
      </w:r>
      <w:r w:rsidR="00021DB6">
        <w:t xml:space="preserve"> structure of</w:t>
      </w:r>
      <w:r w:rsidRPr="001A6A06">
        <w:t xml:space="preserve"> </w:t>
      </w:r>
      <w:r w:rsidR="00021DB6">
        <w:t>education</w:t>
      </w:r>
      <w:r w:rsidRPr="001A6A06">
        <w:t xml:space="preserve"> and the </w:t>
      </w:r>
      <w:r w:rsidR="00021DB6">
        <w:t>economy</w:t>
      </w:r>
      <w:r w:rsidRPr="001A6A06">
        <w:t>,</w:t>
      </w:r>
      <w:r w:rsidR="00021DB6">
        <w:t xml:space="preserve"> military, </w:t>
      </w:r>
      <w:r w:rsidR="00741AFF" w:rsidRPr="001A6A06">
        <w:t>or</w:t>
      </w:r>
      <w:r w:rsidR="00021DB6">
        <w:t xml:space="preserve"> broader</w:t>
      </w:r>
      <w:r w:rsidR="00741AFF" w:rsidRPr="001A6A06">
        <w:t xml:space="preserve"> legal issues---this allows the neg to clash with core claims and read strategies that are based on real changes to education policy that would create measurable, ever</w:t>
      </w:r>
      <w:r w:rsidR="00BE7ADA" w:rsidRPr="001A6A06">
        <w:t>y</w:t>
      </w:r>
      <w:r w:rsidR="00741AFF" w:rsidRPr="001A6A06">
        <w:t xml:space="preserve">-day changes. Their interpretation causes </w:t>
      </w:r>
      <w:r w:rsidR="00741AFF" w:rsidRPr="001A6A06">
        <w:rPr>
          <w:u w:val="single"/>
        </w:rPr>
        <w:t>shallow debates</w:t>
      </w:r>
      <w:r w:rsidR="00741AFF" w:rsidRPr="001A6A06">
        <w:t xml:space="preserve"> against </w:t>
      </w:r>
      <w:r w:rsidR="00741AFF" w:rsidRPr="001A6A06">
        <w:rPr>
          <w:u w:val="single"/>
        </w:rPr>
        <w:t>unprepared opponents</w:t>
      </w:r>
      <w:r w:rsidR="00741AFF" w:rsidRPr="001A6A06">
        <w:t xml:space="preserve">, forcing the neg to rush to </w:t>
      </w:r>
      <w:r w:rsidR="00741AFF" w:rsidRPr="001A6A06">
        <w:rPr>
          <w:u w:val="single"/>
        </w:rPr>
        <w:t>bad generics</w:t>
      </w:r>
      <w:r w:rsidR="00741AFF" w:rsidRPr="001A6A06">
        <w:t xml:space="preserve"> like politics disads. It also makes it impossible for the neg to read disadvantages based on changes geared to address large issues like standards, testing, special education, discrimination, constitutionality, etc. </w:t>
      </w:r>
    </w:p>
    <w:p w:rsidR="00741AFF" w:rsidRPr="001A6A06" w:rsidRDefault="00741AFF" w:rsidP="00BE7ADA">
      <w:pPr>
        <w:pStyle w:val="Heading4"/>
        <w:numPr>
          <w:ilvl w:val="0"/>
          <w:numId w:val="15"/>
        </w:numPr>
      </w:pPr>
      <w:r w:rsidRPr="001A6A06">
        <w:t>Camp debates give you the opportunity to set standards for what affirmatives will be read for the entire season---debaters take ques from the affs that do well early in the year, so your decision will immediately have</w:t>
      </w:r>
      <w:r w:rsidR="00021DB6">
        <w:t xml:space="preserve"> a</w:t>
      </w:r>
      <w:r w:rsidRPr="001A6A06">
        <w:t xml:space="preserve"> </w:t>
      </w:r>
      <w:r w:rsidRPr="001A6A06">
        <w:rPr>
          <w:u w:val="single"/>
        </w:rPr>
        <w:t>lasting impact</w:t>
      </w:r>
      <w:r w:rsidRPr="001A6A06">
        <w:t xml:space="preserve">---wins on T-substantial draw a </w:t>
      </w:r>
      <w:r w:rsidRPr="001A6A06">
        <w:rPr>
          <w:u w:val="single"/>
        </w:rPr>
        <w:t>line in the sand</w:t>
      </w:r>
      <w:r w:rsidRPr="001A6A06">
        <w:t xml:space="preserve"> that few teams will cross </w:t>
      </w:r>
      <w:r w:rsidR="002B4F72">
        <w:t>when</w:t>
      </w:r>
      <w:r w:rsidRPr="001A6A06">
        <w:t xml:space="preserve"> writing </w:t>
      </w:r>
      <w:r w:rsidR="00BE7ADA" w:rsidRPr="001A6A06">
        <w:t>affs.</w:t>
      </w:r>
    </w:p>
    <w:p w:rsidR="00B744E7" w:rsidRDefault="00B744E7" w:rsidP="00B744E7"/>
    <w:p w:rsidR="007758D1" w:rsidRDefault="00CA24E2" w:rsidP="007758D1">
      <w:pPr>
        <w:pStyle w:val="Heading3"/>
      </w:pPr>
      <w:r>
        <w:t>*</w:t>
      </w:r>
      <w:r w:rsidR="00021DB6">
        <w:t>AT: Substantial Regulation---2NC</w:t>
      </w:r>
    </w:p>
    <w:p w:rsidR="00914F9F" w:rsidRPr="00914F9F" w:rsidRDefault="00914F9F" w:rsidP="00914F9F"/>
    <w:p w:rsidR="00A97C70" w:rsidRPr="00A97C70" w:rsidRDefault="00A97C70" w:rsidP="00A97C70">
      <w:pPr>
        <w:rPr>
          <w:rFonts w:eastAsiaTheme="majorEastAsia" w:cstheme="majorBidi"/>
          <w:b/>
          <w:bCs/>
          <w:iCs/>
          <w:sz w:val="26"/>
        </w:rPr>
      </w:pPr>
      <w:r w:rsidRPr="00A97C70">
        <w:rPr>
          <w:rFonts w:eastAsiaTheme="majorEastAsia" w:cstheme="majorBidi"/>
          <w:b/>
          <w:bCs/>
          <w:iCs/>
          <w:sz w:val="26"/>
        </w:rPr>
        <w:t>Framing issue, when judging affs like this one, that are both a regulation and a funding increase, the aff must be a </w:t>
      </w:r>
      <w:r w:rsidRPr="00A97C70">
        <w:rPr>
          <w:rFonts w:eastAsiaTheme="majorEastAsia" w:cstheme="majorBidi"/>
          <w:b/>
          <w:bCs/>
          <w:iCs/>
          <w:sz w:val="26"/>
          <w:u w:val="single"/>
        </w:rPr>
        <w:t>substantial increase in both</w:t>
      </w:r>
      <w:r w:rsidRPr="00A97C70">
        <w:rPr>
          <w:rFonts w:eastAsiaTheme="majorEastAsia" w:cstheme="majorBidi"/>
          <w:b/>
          <w:bCs/>
          <w:iCs/>
          <w:sz w:val="26"/>
        </w:rPr>
        <w:t>, measured by the </w:t>
      </w:r>
      <w:r w:rsidRPr="00A97C70">
        <w:rPr>
          <w:rFonts w:eastAsiaTheme="majorEastAsia" w:cstheme="majorBidi"/>
          <w:b/>
          <w:bCs/>
          <w:iCs/>
          <w:sz w:val="26"/>
          <w:u w:val="single"/>
        </w:rPr>
        <w:t>monetary impact</w:t>
      </w:r>
      <w:r w:rsidRPr="00A97C70">
        <w:rPr>
          <w:rFonts w:eastAsiaTheme="majorEastAsia" w:cstheme="majorBidi"/>
          <w:b/>
          <w:bCs/>
          <w:iCs/>
          <w:sz w:val="26"/>
        </w:rPr>
        <w:t> of the regulation. In other words, a “substantial regulation” that spends a small amount of money does not meet the burden for a "substantial increase". Otherwise, any regulation becomes topical as long as it spends some amount of money, regardless of the amount, which massively under-limits an already huge topic. Measuring</w:t>
      </w:r>
      <w:r w:rsidR="002B4F72">
        <w:rPr>
          <w:rFonts w:eastAsiaTheme="majorEastAsia" w:cstheme="majorBidi"/>
          <w:b/>
          <w:bCs/>
          <w:iCs/>
          <w:sz w:val="26"/>
        </w:rPr>
        <w:t xml:space="preserve"> by the funding amount</w:t>
      </w:r>
      <w:r w:rsidRPr="00A97C70">
        <w:rPr>
          <w:rFonts w:eastAsiaTheme="majorEastAsia" w:cstheme="majorBidi"/>
          <w:b/>
          <w:bCs/>
          <w:iCs/>
          <w:sz w:val="26"/>
        </w:rPr>
        <w:t xml:space="preserve"> is the only way to ensure topicality </w:t>
      </w:r>
      <w:r w:rsidR="002B4F72">
        <w:rPr>
          <w:rFonts w:eastAsiaTheme="majorEastAsia" w:cstheme="majorBidi"/>
          <w:b/>
          <w:bCs/>
          <w:iCs/>
          <w:sz w:val="26"/>
        </w:rPr>
        <w:t>effectively limits the topic.</w:t>
      </w:r>
    </w:p>
    <w:p w:rsidR="00562269" w:rsidRDefault="00562269" w:rsidP="00562269"/>
    <w:p w:rsidR="00562269" w:rsidRPr="00562269" w:rsidRDefault="00562269" w:rsidP="00562269">
      <w:pPr>
        <w:pStyle w:val="Heading4"/>
      </w:pPr>
      <w:r>
        <w:t xml:space="preserve">Grammatically “substantially increase” </w:t>
      </w:r>
      <w:r w:rsidRPr="007758D1">
        <w:rPr>
          <w:u w:val="single"/>
        </w:rPr>
        <w:t>applies to both</w:t>
      </w:r>
      <w:r>
        <w:t xml:space="preserve"> </w:t>
      </w:r>
      <w:r w:rsidR="007758D1">
        <w:t xml:space="preserve">the word “funding” and the word “regulation”. </w:t>
      </w:r>
      <w:r w:rsidR="002B4F72">
        <w:t>If funding is not substantially increased, the aff does not meet our interpretation</w:t>
      </w:r>
      <w:r w:rsidR="007758D1">
        <w:t xml:space="preserve">. </w:t>
      </w:r>
    </w:p>
    <w:p w:rsidR="00273584" w:rsidRDefault="00273584" w:rsidP="00B744E7"/>
    <w:p w:rsidR="00021DB6" w:rsidRDefault="002B4F72" w:rsidP="00144861">
      <w:pPr>
        <w:pStyle w:val="Heading4"/>
      </w:pPr>
      <w:r>
        <w:t>Regulations can’t be separated from funds---states must comply with federal regulations to receive federal funds</w:t>
      </w:r>
    </w:p>
    <w:p w:rsidR="00144861" w:rsidRDefault="00144861" w:rsidP="00B744E7">
      <w:r w:rsidRPr="00A97C70">
        <w:rPr>
          <w:rStyle w:val="Style13ptBold"/>
        </w:rPr>
        <w:t>CPJ</w:t>
      </w:r>
      <w:r w:rsidR="00A97C70" w:rsidRPr="00A97C70">
        <w:rPr>
          <w:rStyle w:val="Style13ptBold"/>
        </w:rPr>
        <w:t xml:space="preserve"> No Date</w:t>
      </w:r>
      <w:r w:rsidR="00A97C70">
        <w:t xml:space="preserve">, The Center for Public Justice is independent, nonpartisan organization devoted to policy research and civic education, “How Are </w:t>
      </w:r>
      <w:r w:rsidR="008A0A00">
        <w:t>the</w:t>
      </w:r>
      <w:r w:rsidR="00A97C70">
        <w:t xml:space="preserve"> Local, State </w:t>
      </w:r>
      <w:r w:rsidR="008A0A00">
        <w:t>and</w:t>
      </w:r>
      <w:r w:rsidR="00A97C70">
        <w:t xml:space="preserve"> Federal Governments Involved </w:t>
      </w:r>
      <w:r w:rsidR="008A0A00">
        <w:t>in</w:t>
      </w:r>
      <w:r w:rsidR="00A97C70">
        <w:t xml:space="preserve"> Education? Is This Involvement Just?” https://www.cpjustice.org/public/page/content/cie_faq_levels_of_government</w:t>
      </w:r>
    </w:p>
    <w:p w:rsidR="00021DB6" w:rsidRDefault="00144861" w:rsidP="00B744E7">
      <w:r w:rsidRPr="00144861">
        <w:rPr>
          <w:rStyle w:val="StyleUnderline"/>
        </w:rPr>
        <w:t xml:space="preserve">Most of the day-to-day operation of schools takes place at the state and local level. However, when </w:t>
      </w:r>
      <w:r w:rsidRPr="00144861">
        <w:rPr>
          <w:rStyle w:val="StyleUnderline"/>
          <w:highlight w:val="yellow"/>
        </w:rPr>
        <w:t xml:space="preserve">Congress passes a federal budget </w:t>
      </w:r>
      <w:r w:rsidRPr="00144861">
        <w:rPr>
          <w:rStyle w:val="StyleUnderline"/>
        </w:rPr>
        <w:t xml:space="preserve">each year, it sets aside enough money </w:t>
      </w:r>
      <w:r w:rsidRPr="00144861">
        <w:rPr>
          <w:rStyle w:val="StyleUnderline"/>
          <w:highlight w:val="yellow"/>
        </w:rPr>
        <w:t>to fund</w:t>
      </w:r>
      <w:r w:rsidRPr="00144861">
        <w:rPr>
          <w:rStyle w:val="StyleUnderline"/>
        </w:rPr>
        <w:t xml:space="preserve"> about </w:t>
      </w:r>
      <w:r w:rsidRPr="00144861">
        <w:rPr>
          <w:rStyle w:val="StyleUnderline"/>
          <w:highlight w:val="yellow"/>
        </w:rPr>
        <w:t>ten percent of government-run schools</w:t>
      </w:r>
      <w:r w:rsidRPr="00144861">
        <w:rPr>
          <w:rStyle w:val="StyleUnderline"/>
        </w:rPr>
        <w:t>’ operating costs.</w:t>
      </w:r>
      <w:r w:rsidRPr="00144861">
        <w:rPr>
          <w:sz w:val="16"/>
        </w:rPr>
        <w:t xml:space="preserve"> However, </w:t>
      </w:r>
      <w:r w:rsidRPr="00144861">
        <w:rPr>
          <w:rStyle w:val="StyleUnderline"/>
          <w:highlight w:val="yellow"/>
        </w:rPr>
        <w:t>this funding</w:t>
      </w:r>
      <w:r w:rsidRPr="00144861">
        <w:rPr>
          <w:rStyle w:val="StyleUnderline"/>
        </w:rPr>
        <w:t xml:space="preserve"> nearly always </w:t>
      </w:r>
      <w:r w:rsidRPr="00144861">
        <w:rPr>
          <w:rStyle w:val="StyleUnderline"/>
          <w:highlight w:val="yellow"/>
        </w:rPr>
        <w:t>comes with rules and regulations</w:t>
      </w:r>
      <w:r w:rsidRPr="00144861">
        <w:rPr>
          <w:sz w:val="16"/>
        </w:rPr>
        <w:t xml:space="preserve">. </w:t>
      </w:r>
      <w:r w:rsidRPr="00144861">
        <w:rPr>
          <w:rStyle w:val="Emphasis"/>
          <w:highlight w:val="yellow"/>
        </w:rPr>
        <w:t>In</w:t>
      </w:r>
      <w:r w:rsidRPr="00144861">
        <w:rPr>
          <w:rStyle w:val="Emphasis"/>
        </w:rPr>
        <w:t xml:space="preserve"> </w:t>
      </w:r>
      <w:r w:rsidRPr="00144861">
        <w:rPr>
          <w:rStyle w:val="Emphasis"/>
          <w:highlight w:val="yellow"/>
        </w:rPr>
        <w:t>order to receive</w:t>
      </w:r>
      <w:r w:rsidRPr="00144861">
        <w:rPr>
          <w:rStyle w:val="Emphasis"/>
        </w:rPr>
        <w:t xml:space="preserve"> the </w:t>
      </w:r>
      <w:r w:rsidRPr="00144861">
        <w:rPr>
          <w:rStyle w:val="Emphasis"/>
          <w:highlight w:val="yellow"/>
        </w:rPr>
        <w:t>funding</w:t>
      </w:r>
      <w:r w:rsidRPr="00144861">
        <w:rPr>
          <w:rStyle w:val="StyleUnderline"/>
        </w:rPr>
        <w:t xml:space="preserve">, </w:t>
      </w:r>
      <w:r w:rsidRPr="00144861">
        <w:rPr>
          <w:rStyle w:val="StyleUnderline"/>
          <w:highlight w:val="yellow"/>
        </w:rPr>
        <w:t>schools must comply with</w:t>
      </w:r>
      <w:r w:rsidRPr="00144861">
        <w:rPr>
          <w:rStyle w:val="StyleUnderline"/>
        </w:rPr>
        <w:t xml:space="preserve"> various </w:t>
      </w:r>
      <w:r w:rsidRPr="00144861">
        <w:rPr>
          <w:rStyle w:val="StyleUnderline"/>
          <w:highlight w:val="yellow"/>
        </w:rPr>
        <w:t>requirements</w:t>
      </w:r>
      <w:r w:rsidRPr="00144861">
        <w:rPr>
          <w:rStyle w:val="StyleUnderline"/>
        </w:rPr>
        <w:t xml:space="preserve"> from all three branches of government, because Federal educational funding comes from taxation.</w:t>
      </w:r>
      <w:r w:rsidRPr="00144861">
        <w:rPr>
          <w:sz w:val="16"/>
        </w:rPr>
        <w:t xml:space="preserve"> In 2013, the Federal government spent $72 billion on education, making it the third largest area of discretionary spending.</w:t>
      </w:r>
      <w:r w:rsidRPr="00144861">
        <w:rPr>
          <w:sz w:val="12"/>
        </w:rPr>
        <w:t>¶</w:t>
      </w:r>
      <w:r w:rsidRPr="00144861">
        <w:rPr>
          <w:sz w:val="16"/>
        </w:rPr>
        <w:t xml:space="preserve"> </w:t>
      </w:r>
      <w:r w:rsidRPr="00144861">
        <w:rPr>
          <w:rStyle w:val="StyleUnderline"/>
        </w:rPr>
        <w:t>For example,</w:t>
      </w:r>
      <w:r w:rsidRPr="00144861">
        <w:rPr>
          <w:sz w:val="16"/>
        </w:rPr>
        <w:t xml:space="preserve"> in 2001, </w:t>
      </w:r>
      <w:r w:rsidRPr="00144861">
        <w:rPr>
          <w:rStyle w:val="StyleUnderline"/>
          <w:highlight w:val="yellow"/>
        </w:rPr>
        <w:t>Congress passed</w:t>
      </w:r>
      <w:r w:rsidRPr="00144861">
        <w:rPr>
          <w:rStyle w:val="StyleUnderline"/>
        </w:rPr>
        <w:t xml:space="preserve"> the </w:t>
      </w:r>
      <w:r w:rsidRPr="00144861">
        <w:rPr>
          <w:rStyle w:val="StyleUnderline"/>
          <w:highlight w:val="yellow"/>
        </w:rPr>
        <w:t>No Child Left Behind</w:t>
      </w:r>
      <w:r w:rsidRPr="00144861">
        <w:rPr>
          <w:rStyle w:val="StyleUnderline"/>
        </w:rPr>
        <w:t xml:space="preserve"> Act, </w:t>
      </w:r>
      <w:r w:rsidRPr="00144861">
        <w:rPr>
          <w:rStyle w:val="StyleUnderline"/>
          <w:highlight w:val="yellow"/>
        </w:rPr>
        <w:t>which</w:t>
      </w:r>
      <w:r w:rsidRPr="00144861">
        <w:rPr>
          <w:rStyle w:val="StyleUnderline"/>
        </w:rPr>
        <w:t xml:space="preserve"> requires government schools to test students annually in core subjects. This</w:t>
      </w:r>
      <w:r w:rsidRPr="00144861">
        <w:rPr>
          <w:sz w:val="16"/>
        </w:rPr>
        <w:t xml:space="preserve"> </w:t>
      </w:r>
      <w:r w:rsidRPr="00144861">
        <w:rPr>
          <w:rStyle w:val="StyleUnderline"/>
        </w:rPr>
        <w:t>legislation</w:t>
      </w:r>
      <w:r w:rsidRPr="00144861">
        <w:rPr>
          <w:sz w:val="16"/>
        </w:rPr>
        <w:t xml:space="preserve">, which was the most recent version (or reauthorization) of the law that has provided K-12 funding to schools since 1965, introduced a fundamental change to the existing law – it </w:t>
      </w:r>
      <w:r w:rsidRPr="00144861">
        <w:rPr>
          <w:rStyle w:val="StyleUnderline"/>
          <w:highlight w:val="yellow"/>
        </w:rPr>
        <w:t>required accountability</w:t>
      </w:r>
      <w:r w:rsidRPr="00144861">
        <w:rPr>
          <w:sz w:val="16"/>
        </w:rPr>
        <w:t>. Students in schools that perform below their state’s established standards for more than two years must be offered free tutoring, after school programs, or the opportunity to continue their education at a higher-performing government school.</w:t>
      </w:r>
      <w:r w:rsidRPr="00144861">
        <w:rPr>
          <w:sz w:val="12"/>
        </w:rPr>
        <w:t>¶</w:t>
      </w:r>
      <w:r w:rsidRPr="00144861">
        <w:rPr>
          <w:sz w:val="16"/>
        </w:rPr>
        <w:t xml:space="preserve"> In addition, schools that fall below standards for more than two years in a row may be required to replace underperforming teachers, rework their curriculum, or restructure the internal organization of the school, among other measures. </w:t>
      </w:r>
      <w:r w:rsidRPr="00144861">
        <w:rPr>
          <w:rStyle w:val="StyleUnderline"/>
          <w:highlight w:val="yellow"/>
        </w:rPr>
        <w:t>Constitutionally, the federal government cannot force states to comply</w:t>
      </w:r>
      <w:r w:rsidRPr="00144861">
        <w:rPr>
          <w:rStyle w:val="StyleUnderline"/>
        </w:rPr>
        <w:t xml:space="preserve"> with No Child Left Behind, </w:t>
      </w:r>
      <w:r w:rsidRPr="00144861">
        <w:rPr>
          <w:rStyle w:val="StyleUnderline"/>
          <w:highlight w:val="yellow"/>
        </w:rPr>
        <w:t>but all 50 states cooperate</w:t>
      </w:r>
      <w:r w:rsidRPr="00144861">
        <w:rPr>
          <w:rStyle w:val="StyleUnderline"/>
        </w:rPr>
        <w:t xml:space="preserve"> in order </w:t>
      </w:r>
      <w:r w:rsidRPr="00144861">
        <w:rPr>
          <w:rStyle w:val="StyleUnderline"/>
          <w:highlight w:val="yellow"/>
        </w:rPr>
        <w:t xml:space="preserve">to </w:t>
      </w:r>
      <w:r w:rsidRPr="00144861">
        <w:rPr>
          <w:rStyle w:val="Emphasis"/>
          <w:highlight w:val="yellow"/>
        </w:rPr>
        <w:t>continue receiving federal education funds</w:t>
      </w:r>
      <w:r w:rsidRPr="00144861">
        <w:rPr>
          <w:rStyle w:val="StyleUnderline"/>
        </w:rPr>
        <w:t>.</w:t>
      </w:r>
      <w:r w:rsidRPr="00144861">
        <w:rPr>
          <w:rStyle w:val="StyleUnderline"/>
          <w:sz w:val="12"/>
          <w:u w:val="none"/>
        </w:rPr>
        <w:t>¶</w:t>
      </w:r>
      <w:r w:rsidRPr="00144861">
        <w:rPr>
          <w:sz w:val="16"/>
        </w:rPr>
        <w:t xml:space="preserve"> The educational reforms passed by Congress are regulated and enforced by the federal Department of Education. The U.S. Department of Education collects data on government-run schools, evaluates their performance, suggests policy changes, and measures outcomes. </w:t>
      </w:r>
    </w:p>
    <w:p w:rsidR="00021DB6" w:rsidRPr="001A6A06" w:rsidRDefault="00021DB6" w:rsidP="00B744E7"/>
    <w:p w:rsidR="00B744E7" w:rsidRDefault="00B744E7" w:rsidP="00B744E7">
      <w:pPr>
        <w:pStyle w:val="Heading3"/>
      </w:pPr>
      <w:r w:rsidRPr="001A6A06">
        <w:t>Limits---2NC</w:t>
      </w:r>
    </w:p>
    <w:p w:rsidR="00914F9F" w:rsidRPr="00914F9F" w:rsidRDefault="00914F9F" w:rsidP="00914F9F"/>
    <w:p w:rsidR="00C343E3" w:rsidRPr="00C343E3" w:rsidRDefault="00C343E3" w:rsidP="00C343E3">
      <w:pPr>
        <w:pStyle w:val="Heading4"/>
      </w:pPr>
      <w:r w:rsidRPr="00C343E3">
        <w:t xml:space="preserve">Their interpretation crushes limits---it allows any aff that increases </w:t>
      </w:r>
      <w:r w:rsidRPr="00C343E3">
        <w:rPr>
          <w:u w:val="single"/>
        </w:rPr>
        <w:t>any amount of funding</w:t>
      </w:r>
      <w:r w:rsidRPr="00C343E3">
        <w:t xml:space="preserve"> for any school, like an aff to increase funding for afterschool programs in one county, or </w:t>
      </w:r>
      <w:r w:rsidR="00637D01">
        <w:t>to change the dress code at</w:t>
      </w:r>
      <w:r w:rsidRPr="00C343E3">
        <w:t xml:space="preserve"> </w:t>
      </w:r>
      <w:r w:rsidR="00234F12">
        <w:t xml:space="preserve">one </w:t>
      </w:r>
      <w:r w:rsidR="00637D01">
        <w:t>team’s</w:t>
      </w:r>
      <w:r w:rsidR="00234F12">
        <w:t xml:space="preserve"> school. Allowing the</w:t>
      </w:r>
      <w:r w:rsidRPr="00C343E3">
        <w:t xml:space="preserve"> aff </w:t>
      </w:r>
      <w:r w:rsidR="00234F12">
        <w:t>to go</w:t>
      </w:r>
      <w:r w:rsidRPr="00C343E3">
        <w:t xml:space="preserve"> </w:t>
      </w:r>
      <w:r w:rsidRPr="00C343E3">
        <w:rPr>
          <w:u w:val="single"/>
        </w:rPr>
        <w:t>down the rabbit hole</w:t>
      </w:r>
      <w:r w:rsidRPr="00C343E3">
        <w:t xml:space="preserve"> of miniscule regulations </w:t>
      </w:r>
      <w:r w:rsidRPr="00C343E3">
        <w:rPr>
          <w:u w:val="single"/>
        </w:rPr>
        <w:t>makes neg prep impossible</w:t>
      </w:r>
      <w:r w:rsidR="00021DB6">
        <w:rPr>
          <w:u w:val="single"/>
        </w:rPr>
        <w:t>.</w:t>
      </w:r>
    </w:p>
    <w:p w:rsidR="00234F12" w:rsidRDefault="00234F12" w:rsidP="00234F12"/>
    <w:p w:rsidR="00C343E3" w:rsidRDefault="00C343E3" w:rsidP="00C343E3">
      <w:pPr>
        <w:pStyle w:val="Heading4"/>
      </w:pPr>
      <w:r w:rsidRPr="00C343E3">
        <w:t>This is especially true given that the smaller the aff gets</w:t>
      </w:r>
      <w:r w:rsidR="00637D01">
        <w:t>,</w:t>
      </w:r>
      <w:r w:rsidRPr="00C343E3">
        <w:t xml:space="preserve"> the less responsive literature exists---to make it worse there is </w:t>
      </w:r>
      <w:r w:rsidRPr="00C343E3">
        <w:rPr>
          <w:u w:val="single"/>
        </w:rPr>
        <w:t>no common literature base</w:t>
      </w:r>
      <w:r w:rsidRPr="00C343E3">
        <w:t xml:space="preserve"> across regulatory affs that require two distinct </w:t>
      </w:r>
      <w:r w:rsidR="00021DB6">
        <w:t>regulations</w:t>
      </w:r>
      <w:r w:rsidRPr="00C343E3">
        <w:t>, their interp makes that problem infinitely worse by removing qualification for what counts as a topical increase</w:t>
      </w:r>
      <w:r w:rsidR="00021DB6">
        <w:t>.</w:t>
      </w:r>
    </w:p>
    <w:p w:rsidR="00234F12" w:rsidRPr="00234F12" w:rsidRDefault="00234F12" w:rsidP="00234F12"/>
    <w:p w:rsidR="00C343E3" w:rsidRPr="00C343E3" w:rsidRDefault="00C343E3" w:rsidP="00C343E3">
      <w:pPr>
        <w:pStyle w:val="Heading4"/>
      </w:pPr>
      <w:r w:rsidRPr="00C343E3">
        <w:t xml:space="preserve">Limits outweigh---they’re a </w:t>
      </w:r>
      <w:r w:rsidRPr="00C343E3">
        <w:rPr>
          <w:u w:val="single"/>
        </w:rPr>
        <w:t>precondition for clash</w:t>
      </w:r>
      <w:r w:rsidRPr="00C343E3">
        <w:t xml:space="preserve"> since they’re the only way for the neg to craft responsive strategies---debates that don’t force the aff to be </w:t>
      </w:r>
      <w:r w:rsidRPr="00C343E3">
        <w:rPr>
          <w:u w:val="single"/>
        </w:rPr>
        <w:t>accountable</w:t>
      </w:r>
      <w:r w:rsidRPr="00C343E3">
        <w:t xml:space="preserve"> or train debaters to defend their ideas are </w:t>
      </w:r>
      <w:r w:rsidRPr="00C343E3">
        <w:rPr>
          <w:u w:val="single"/>
        </w:rPr>
        <w:t>unproductive</w:t>
      </w:r>
      <w:r>
        <w:t xml:space="preserve"> which turns their offense---</w:t>
      </w:r>
      <w:r w:rsidRPr="00C343E3">
        <w:t>clash is the foundation of all constructive argumentation and only a limited and predictable interpretation pr</w:t>
      </w:r>
      <w:r w:rsidR="00637D01">
        <w:t xml:space="preserve">eserves the best form of debate that </w:t>
      </w:r>
      <w:r w:rsidRPr="00C343E3">
        <w:t xml:space="preserve">generates exportable skills that make </w:t>
      </w:r>
      <w:r w:rsidR="00637D01">
        <w:t>debate</w:t>
      </w:r>
      <w:r w:rsidRPr="00C343E3">
        <w:t xml:space="preserve"> valuabl</w:t>
      </w:r>
      <w:r>
        <w:t>e</w:t>
      </w:r>
      <w:r w:rsidR="00021DB6">
        <w:t>.</w:t>
      </w:r>
    </w:p>
    <w:p w:rsidR="00B744E7" w:rsidRPr="001A6A06" w:rsidRDefault="00B744E7" w:rsidP="00B744E7"/>
    <w:p w:rsidR="00B744E7" w:rsidRPr="001A6A06" w:rsidRDefault="00B744E7" w:rsidP="00B744E7"/>
    <w:p w:rsidR="00B744E7" w:rsidRDefault="00B744E7" w:rsidP="00B744E7">
      <w:pPr>
        <w:pStyle w:val="Heading3"/>
      </w:pPr>
      <w:r w:rsidRPr="001A6A06">
        <w:t>Neg Ground---2NC</w:t>
      </w:r>
    </w:p>
    <w:p w:rsidR="00914F9F" w:rsidRPr="00914F9F" w:rsidRDefault="00914F9F" w:rsidP="00914F9F"/>
    <w:p w:rsidR="0005285B" w:rsidRDefault="0005285B" w:rsidP="00234F12">
      <w:pPr>
        <w:pStyle w:val="Heading4"/>
      </w:pPr>
      <w:r>
        <w:t xml:space="preserve">Negative ground requires limiting the topic to affs that affect a large portion of </w:t>
      </w:r>
      <w:r w:rsidR="00234F12">
        <w:t>school funding or regulation</w:t>
      </w:r>
      <w:r>
        <w:t xml:space="preserve">---our interpretation means </w:t>
      </w:r>
      <w:r w:rsidR="00234F12">
        <w:t xml:space="preserve">that topical affs </w:t>
      </w:r>
      <w:r w:rsidR="00F20F8F">
        <w:t>must increase per student funding by 20%</w:t>
      </w:r>
    </w:p>
    <w:p w:rsidR="0005285B" w:rsidRDefault="0005285B" w:rsidP="00B744E7"/>
    <w:p w:rsidR="0005285B" w:rsidRDefault="0005285B" w:rsidP="00234F12">
      <w:pPr>
        <w:pStyle w:val="Heading4"/>
      </w:pPr>
      <w:r>
        <w:t xml:space="preserve">The neg can only research good arguments if we know in advance of the tournament that there’s a good chance they’ll apply to most affirmatives---the best neg arguments on this topic are disads to </w:t>
      </w:r>
      <w:r w:rsidR="00234F12">
        <w:t>broadly altering school systems</w:t>
      </w:r>
      <w:r>
        <w:t xml:space="preserve">, like disads about the </w:t>
      </w:r>
      <w:r w:rsidR="00234F12">
        <w:t>large spending</w:t>
      </w:r>
      <w:r>
        <w:t xml:space="preserve">, </w:t>
      </w:r>
      <w:r w:rsidR="00234F12">
        <w:t>charter systems</w:t>
      </w:r>
      <w:r>
        <w:t xml:space="preserve">, </w:t>
      </w:r>
      <w:r w:rsidR="00234F12">
        <w:t>standardized tests</w:t>
      </w:r>
      <w:r>
        <w:t xml:space="preserve">, etc. These arguments are only effectively accessed by the neg </w:t>
      </w:r>
      <w:r w:rsidR="00637D01">
        <w:t>if</w:t>
      </w:r>
      <w:r>
        <w:t xml:space="preserve"> the plan is forced to broadly affect </w:t>
      </w:r>
      <w:r w:rsidR="00234F12">
        <w:t>school funding/regulation.</w:t>
      </w:r>
      <w:r>
        <w:t xml:space="preserve"> </w:t>
      </w:r>
    </w:p>
    <w:p w:rsidR="00B744E7" w:rsidRPr="001A6A06" w:rsidRDefault="00B744E7" w:rsidP="00B744E7"/>
    <w:p w:rsidR="00B744E7" w:rsidRPr="001A6A06" w:rsidRDefault="00B744E7" w:rsidP="00B744E7"/>
    <w:p w:rsidR="00670BAE" w:rsidRDefault="00670BAE" w:rsidP="00670BAE">
      <w:pPr>
        <w:pStyle w:val="Heading3"/>
      </w:pPr>
      <w:r w:rsidRPr="001A6A06">
        <w:t>AT: Reasonability</w:t>
      </w:r>
    </w:p>
    <w:p w:rsidR="00914F9F" w:rsidRPr="00914F9F" w:rsidRDefault="00914F9F" w:rsidP="00914F9F"/>
    <w:p w:rsidR="00670BAE" w:rsidRPr="001A6A06" w:rsidRDefault="00670BAE" w:rsidP="00670BAE">
      <w:pPr>
        <w:pStyle w:val="Heading4"/>
      </w:pPr>
      <w:r w:rsidRPr="001A6A06">
        <w:t>Topicality determines what a reasonable interpretation of the topic is---our violation proves they don’t meet that interpretation</w:t>
      </w:r>
    </w:p>
    <w:p w:rsidR="00670BAE" w:rsidRPr="001A6A06" w:rsidRDefault="00670BAE" w:rsidP="00670BAE"/>
    <w:p w:rsidR="00670BAE" w:rsidRPr="001A6A06" w:rsidRDefault="00670BAE" w:rsidP="00670BAE">
      <w:pPr>
        <w:pStyle w:val="Heading4"/>
      </w:pPr>
      <w:r w:rsidRPr="001A6A06">
        <w:t xml:space="preserve">Competing interpretations is the only way to define the topic bounds---no part of the resolution creates an undebatable limit, finding the best interpretation is the only way to guarantee any predictability </w:t>
      </w:r>
    </w:p>
    <w:p w:rsidR="00670BAE" w:rsidRPr="001A6A06" w:rsidRDefault="00670BAE" w:rsidP="00670BAE"/>
    <w:p w:rsidR="00670BAE" w:rsidRPr="001A6A06" w:rsidRDefault="00670BAE" w:rsidP="00670BAE">
      <w:pPr>
        <w:pStyle w:val="Heading4"/>
      </w:pPr>
      <w:r w:rsidRPr="001A6A06">
        <w:t>Reasonability’s bad</w:t>
      </w:r>
    </w:p>
    <w:p w:rsidR="00670BAE" w:rsidRPr="001A6A06" w:rsidRDefault="00670BAE" w:rsidP="00670BAE">
      <w:pPr>
        <w:pStyle w:val="Heading4"/>
        <w:numPr>
          <w:ilvl w:val="0"/>
          <w:numId w:val="11"/>
        </w:numPr>
      </w:pPr>
      <w:r w:rsidRPr="001A6A06">
        <w:t>Favors aff---competing interpretations is the only objective way to determine topicality---you should err on the side of objectivity because topicality is a rule of the game and they can always be “reasonably reasonable”</w:t>
      </w:r>
    </w:p>
    <w:p w:rsidR="00670BAE" w:rsidRPr="001A6A06" w:rsidRDefault="00670BAE" w:rsidP="00670BAE">
      <w:pPr>
        <w:pStyle w:val="Heading4"/>
        <w:numPr>
          <w:ilvl w:val="0"/>
          <w:numId w:val="11"/>
        </w:numPr>
      </w:pPr>
      <w:r w:rsidRPr="001A6A06">
        <w:t xml:space="preserve">Ignores impacts calculus---the aff doesn’t win if they almost outweigh a disad, they shouldn’t win if they’re almost topical </w:t>
      </w:r>
    </w:p>
    <w:p w:rsidR="00670BAE" w:rsidRPr="001A6A06" w:rsidRDefault="00670BAE" w:rsidP="00670BAE"/>
    <w:p w:rsidR="00670BAE" w:rsidRPr="001A6A06" w:rsidRDefault="00670BAE" w:rsidP="00670BAE">
      <w:pPr>
        <w:pStyle w:val="Heading4"/>
        <w:rPr>
          <w:sz w:val="14"/>
        </w:rPr>
      </w:pPr>
      <w:r w:rsidRPr="001A6A06">
        <w:t>Potential abuse outweighs, especially at the beginning of the year because your decisions will implicate what affs people read for the rest of the year</w:t>
      </w:r>
    </w:p>
    <w:p w:rsidR="00670BAE" w:rsidRPr="001A6A06" w:rsidRDefault="00670BAE" w:rsidP="00670BAE"/>
    <w:p w:rsidR="00670BAE" w:rsidRPr="001A6A06" w:rsidRDefault="00670BAE" w:rsidP="00670BAE"/>
    <w:p w:rsidR="00B744E7" w:rsidRDefault="00B744E7" w:rsidP="00B744E7">
      <w:pPr>
        <w:pStyle w:val="Heading2"/>
      </w:pPr>
      <w:r w:rsidRPr="001A6A06">
        <w:t>Interpretation</w:t>
      </w:r>
    </w:p>
    <w:p w:rsidR="00914F9F" w:rsidRPr="00914F9F" w:rsidRDefault="00914F9F" w:rsidP="00914F9F"/>
    <w:p w:rsidR="00B744E7" w:rsidRDefault="00B744E7" w:rsidP="00B744E7">
      <w:pPr>
        <w:pStyle w:val="Heading3"/>
      </w:pPr>
      <w:r w:rsidRPr="001A6A06">
        <w:t>Interpretation---2NC</w:t>
      </w:r>
    </w:p>
    <w:p w:rsidR="00914F9F" w:rsidRPr="00914F9F" w:rsidRDefault="00914F9F" w:rsidP="00914F9F"/>
    <w:p w:rsidR="00E0084C" w:rsidRPr="00E0084C" w:rsidRDefault="005A6960" w:rsidP="00E0084C">
      <w:pPr>
        <w:pStyle w:val="Heading4"/>
      </w:pPr>
      <w:r>
        <w:t>Our interpretation is th</w:t>
      </w:r>
      <w:r w:rsidR="00F46AFE">
        <w:t xml:space="preserve">at a substantial increase must be at least 20%, in terms of per student </w:t>
      </w:r>
      <w:r w:rsidR="00BB5418">
        <w:t xml:space="preserve">spending---that’s Bourdeaux. </w:t>
      </w:r>
      <w:r w:rsidR="00F46AFE">
        <w:t xml:space="preserve">Our evidence is from a </w:t>
      </w:r>
      <w:r w:rsidR="00BB5418">
        <w:t>public administration PhD, measuring K-12 funding breakdowns</w:t>
      </w:r>
      <w:r w:rsidR="00637D01">
        <w:t xml:space="preserve">, </w:t>
      </w:r>
      <w:r w:rsidR="00BB5418">
        <w:t>and defines a substantial increase as 20%.</w:t>
      </w:r>
      <w:r w:rsidR="00E0084C">
        <w:t xml:space="preserve"> In today’s terms, that requires at least $10.8 billion of new funding.</w:t>
      </w:r>
    </w:p>
    <w:p w:rsidR="005A6960" w:rsidRDefault="005A6960" w:rsidP="005A6960"/>
    <w:p w:rsidR="00E0084C" w:rsidRDefault="00E0084C" w:rsidP="00E0084C">
      <w:pPr>
        <w:pStyle w:val="Heading4"/>
      </w:pPr>
      <w:r>
        <w:t xml:space="preserve">Our definition compares different funding levels, </w:t>
      </w:r>
      <w:r w:rsidR="00637D01">
        <w:t>pre- and</w:t>
      </w:r>
      <w:r>
        <w:t xml:space="preserve"> post</w:t>
      </w:r>
      <w:r w:rsidR="00637D01">
        <w:t>-</w:t>
      </w:r>
      <w:r>
        <w:t xml:space="preserve"> Recession and determines that only the states have made a “substantial increase” in K-12 funding, as federal dollars have declined. A substantial increase would require increasing federal dollars, </w:t>
      </w:r>
      <w:r w:rsidR="00637D01">
        <w:t>measured per-student</w:t>
      </w:r>
      <w:r>
        <w:t xml:space="preserve">, by 20%. </w:t>
      </w:r>
    </w:p>
    <w:p w:rsidR="00E0084C" w:rsidRDefault="00E0084C" w:rsidP="005A6960"/>
    <w:p w:rsidR="006152CC" w:rsidRDefault="00E0084C" w:rsidP="006152CC">
      <w:pPr>
        <w:pStyle w:val="Heading3"/>
      </w:pPr>
      <w:r>
        <w:t>AT: “20% Above 2000”</w:t>
      </w:r>
    </w:p>
    <w:p w:rsidR="00914F9F" w:rsidRPr="00914F9F" w:rsidRDefault="00914F9F" w:rsidP="00914F9F"/>
    <w:p w:rsidR="00B744E7" w:rsidRDefault="00637D01" w:rsidP="006152CC">
      <w:pPr>
        <w:pStyle w:val="Heading4"/>
      </w:pPr>
      <w:r>
        <w:t>At the time of the study, levels had been knocked back to 2000 levels because of the Recession---Bourdeaux says that the 20% increase prior to the recession was substantial</w:t>
      </w:r>
    </w:p>
    <w:p w:rsidR="00A75C96" w:rsidRDefault="00A75C96" w:rsidP="00A75C96">
      <w:r>
        <w:t xml:space="preserve">Carolyn </w:t>
      </w:r>
      <w:r w:rsidRPr="00CC243E">
        <w:rPr>
          <w:rStyle w:val="Style13ptBold"/>
        </w:rPr>
        <w:t>Bourdeaux 14</w:t>
      </w:r>
      <w:r>
        <w:t>, Ph.D. in Public Administration from Syracuse University, Associate Professor of Public Management and Policy at the Andrew Young School of Policy Studies at Georgia State University, 8-26-14, “Sustaining the States: The Fiscal Viability of American State Governments (ASPA Series in Public Administration and Public Policy) 1st Edition”, Chapter 8, pg. 136</w:t>
      </w:r>
    </w:p>
    <w:p w:rsidR="00A75C96" w:rsidRPr="00A96328" w:rsidRDefault="00A75C96" w:rsidP="00A75C96">
      <w:pPr>
        <w:rPr>
          <w:rStyle w:val="StyleUnderline"/>
        </w:rPr>
      </w:pPr>
      <w:r>
        <w:t xml:space="preserve">Other </w:t>
      </w:r>
      <w:r w:rsidRPr="00F20F8F">
        <w:rPr>
          <w:rStyle w:val="StyleUnderline"/>
          <w:highlight w:val="yellow"/>
        </w:rPr>
        <w:t>concerns include</w:t>
      </w:r>
      <w:r w:rsidRPr="00A96328">
        <w:rPr>
          <w:rStyle w:val="StyleUnderline"/>
        </w:rPr>
        <w:t xml:space="preserve">d </w:t>
      </w:r>
      <w:r w:rsidRPr="00F20F8F">
        <w:rPr>
          <w:rStyle w:val="StyleUnderline"/>
          <w:highlight w:val="yellow"/>
        </w:rPr>
        <w:t>the ability of states to recover to prerecession funding</w:t>
      </w:r>
      <w:r w:rsidRPr="00A96328">
        <w:rPr>
          <w:rStyle w:val="StyleUnderline"/>
        </w:rPr>
        <w:t xml:space="preserve"> levels across a host of service areas</w:t>
      </w:r>
      <w:r>
        <w:t xml:space="preserve"> (Johnson and Leachman 2013), </w:t>
      </w:r>
      <w:r w:rsidRPr="00A96328">
        <w:rPr>
          <w:rStyle w:val="StyleUnderline"/>
        </w:rPr>
        <w:t>and the related impact of the recession on local government fiscal health</w:t>
      </w:r>
      <w:r>
        <w:t xml:space="preserve"> (State Budget Crisis Task Force 2012). While these reports raise important concerns, many validated by this analysis, </w:t>
      </w:r>
      <w:r w:rsidRPr="00A96328">
        <w:rPr>
          <w:rStyle w:val="StyleUnderline"/>
        </w:rPr>
        <w:t xml:space="preserve">this chapter examines these identified pressures </w:t>
      </w:r>
      <w:r w:rsidRPr="00F20F8F">
        <w:rPr>
          <w:rStyle w:val="StyleUnderline"/>
          <w:highlight w:val="yellow"/>
        </w:rPr>
        <w:t>in</w:t>
      </w:r>
      <w:r w:rsidRPr="00A96328">
        <w:rPr>
          <w:rStyle w:val="StyleUnderline"/>
        </w:rPr>
        <w:t xml:space="preserve"> the overall context of state expenditure portfolios and policy aspirations with a focus on</w:t>
      </w:r>
      <w:r>
        <w:t xml:space="preserve"> four major "business lines" that dominate state spending; </w:t>
      </w:r>
      <w:r w:rsidRPr="00F20F8F">
        <w:rPr>
          <w:rStyle w:val="StyleUnderline"/>
          <w:highlight w:val="yellow"/>
        </w:rPr>
        <w:t>K—12 education</w:t>
      </w:r>
      <w:r>
        <w:t>, higher education, Medicaid. and high</w:t>
      </w:r>
      <w:r w:rsidRPr="00F20F8F">
        <w:t xml:space="preserve">ways. </w:t>
      </w:r>
      <w:r w:rsidRPr="00F20F8F">
        <w:rPr>
          <w:rStyle w:val="StyleUnderline"/>
        </w:rPr>
        <w:t xml:space="preserve">The Great Recession interrupted an ongoing conversation at the state level about </w:t>
      </w:r>
      <w:r w:rsidRPr="00F20F8F">
        <w:rPr>
          <w:rStyle w:val="Emphasis"/>
        </w:rPr>
        <w:t>improving K—12 education</w:t>
      </w:r>
      <w:r w:rsidRPr="00F20F8F">
        <w:t>, increasing access to high</w:t>
      </w:r>
      <w:r>
        <w:t xml:space="preserve">er education, and reinvesting in national infrastructure. At the same time, the nation is about to make a major investment in health care reform and significantly expand the shape and scope of Medicaid. This analysis examines these national concerns by looking at the changes in these service areas for the average state in the country. </w:t>
      </w:r>
      <w:r w:rsidRPr="00A96328">
        <w:rPr>
          <w:rStyle w:val="StyleUnderline"/>
        </w:rPr>
        <w:t>The analysis examines intergovernmental contributions to service areas and trends from 2000 to 2008, the impact of the Great Recession. and then develops a plausible scenario for future funding. An important question considered here is: Do current investment trends equal state and national ambitious?</w:t>
      </w:r>
      <w:r>
        <w:t xml:space="preserve"> </w:t>
      </w:r>
      <w:r w:rsidRPr="00A96328">
        <w:rPr>
          <w:rStyle w:val="StyleUnderline"/>
        </w:rPr>
        <w:t xml:space="preserve">Findings indicate that </w:t>
      </w:r>
      <w:r w:rsidRPr="00F20F8F">
        <w:rPr>
          <w:rStyle w:val="StyleUnderline"/>
          <w:highlight w:val="yellow"/>
        </w:rPr>
        <w:t xml:space="preserve">States made </w:t>
      </w:r>
      <w:r w:rsidRPr="00F20F8F">
        <w:rPr>
          <w:rStyle w:val="Emphasis"/>
          <w:highlight w:val="yellow"/>
        </w:rPr>
        <w:t>substantial investments</w:t>
      </w:r>
      <w:r w:rsidRPr="00F20F8F">
        <w:rPr>
          <w:rStyle w:val="StyleUnderline"/>
          <w:highlight w:val="yellow"/>
        </w:rPr>
        <w:t xml:space="preserve"> during the early part of the 21st century</w:t>
      </w:r>
      <w:r w:rsidRPr="00A96328">
        <w:rPr>
          <w:rStyle w:val="StyleUnderline"/>
        </w:rPr>
        <w:t xml:space="preserve">, particularly in K—12 education, </w:t>
      </w:r>
      <w:r w:rsidRPr="00F20F8F">
        <w:rPr>
          <w:rStyle w:val="StyleUnderline"/>
          <w:highlight w:val="yellow"/>
        </w:rPr>
        <w:t>but the Great Recession reset</w:t>
      </w:r>
      <w:r w:rsidRPr="00A96328">
        <w:rPr>
          <w:rStyle w:val="StyleUnderline"/>
        </w:rPr>
        <w:t xml:space="preserve"> </w:t>
      </w:r>
      <w:r>
        <w:rPr>
          <w:rStyle w:val="StyleUnderline"/>
        </w:rPr>
        <w:t>s</w:t>
      </w:r>
      <w:r w:rsidRPr="00A96328">
        <w:rPr>
          <w:rStyle w:val="StyleUnderline"/>
        </w:rPr>
        <w:t xml:space="preserve">tate </w:t>
      </w:r>
      <w:r w:rsidRPr="00F20F8F">
        <w:rPr>
          <w:rStyle w:val="StyleUnderline"/>
          <w:highlight w:val="yellow"/>
        </w:rPr>
        <w:t>financing</w:t>
      </w:r>
      <w:r w:rsidRPr="00A96328">
        <w:rPr>
          <w:rStyle w:val="StyleUnderline"/>
        </w:rPr>
        <w:t xml:space="preserve"> back </w:t>
      </w:r>
      <w:r w:rsidRPr="00F20F8F">
        <w:rPr>
          <w:rStyle w:val="StyleUnderline"/>
          <w:highlight w:val="yellow"/>
        </w:rPr>
        <w:t xml:space="preserve">to </w:t>
      </w:r>
      <w:r w:rsidRPr="00F20F8F">
        <w:rPr>
          <w:rStyle w:val="Emphasis"/>
          <w:highlight w:val="yellow"/>
        </w:rPr>
        <w:t>levels of the early 2000s</w:t>
      </w:r>
      <w:r w:rsidRPr="00A96328">
        <w:rPr>
          <w:rStyle w:val="StyleUnderline"/>
        </w:rPr>
        <w:t xml:space="preserve">. </w:t>
      </w:r>
      <w:r w:rsidRPr="00F20F8F">
        <w:rPr>
          <w:rStyle w:val="StyleUnderline"/>
          <w:highlight w:val="yellow"/>
        </w:rPr>
        <w:t>Given this</w:t>
      </w:r>
      <w:r>
        <w:t xml:space="preserve">, and coupled with the problems in Medicaid, increasing pension and long-term liabilities, </w:t>
      </w:r>
      <w:r w:rsidRPr="00F20F8F">
        <w:rPr>
          <w:rStyle w:val="StyleUnderline"/>
          <w:highlight w:val="yellow"/>
        </w:rPr>
        <w:t>and</w:t>
      </w:r>
      <w:r w:rsidRPr="00A96328">
        <w:t xml:space="preserve"> future </w:t>
      </w:r>
      <w:r w:rsidRPr="00F20F8F">
        <w:rPr>
          <w:rStyle w:val="Emphasis"/>
          <w:highlight w:val="yellow"/>
        </w:rPr>
        <w:t>disinvestment at the federal level</w:t>
      </w:r>
      <w:r w:rsidRPr="00A96328">
        <w:rPr>
          <w:rStyle w:val="StyleUnderline"/>
        </w:rPr>
        <w:t xml:space="preserve">, most </w:t>
      </w:r>
      <w:r w:rsidRPr="00F20F8F">
        <w:rPr>
          <w:rStyle w:val="StyleUnderline"/>
          <w:highlight w:val="yellow"/>
        </w:rPr>
        <w:t>states do not appear positioned to make investments</w:t>
      </w:r>
      <w:r w:rsidRPr="00A96328">
        <w:rPr>
          <w:rStyle w:val="StyleUnderline"/>
        </w:rPr>
        <w:t xml:space="preserve"> that reflect their aspirations or the 21st century. </w:t>
      </w:r>
    </w:p>
    <w:p w:rsidR="00A75C96" w:rsidRDefault="006152CC" w:rsidP="006152CC">
      <w:pPr>
        <w:pStyle w:val="Heading4"/>
      </w:pPr>
      <w:r>
        <w:t xml:space="preserve">In present terms, that means that an increase of 20%, using today’s federal per-pupil figures, would be considered substantial. </w:t>
      </w:r>
    </w:p>
    <w:p w:rsidR="00BB5418" w:rsidRDefault="00BB5418" w:rsidP="00B744E7"/>
    <w:p w:rsidR="00A75C96" w:rsidRDefault="00BB5418" w:rsidP="00DE6548">
      <w:pPr>
        <w:pStyle w:val="Heading3"/>
      </w:pPr>
      <w:r>
        <w:t>Interpretation---AT: Not Federal</w:t>
      </w:r>
    </w:p>
    <w:p w:rsidR="00DE6548" w:rsidRDefault="00DE6548" w:rsidP="00DE6548"/>
    <w:p w:rsidR="00DE6548" w:rsidRPr="00DE6548" w:rsidRDefault="00DE6548" w:rsidP="00DE6548">
      <w:pPr>
        <w:pStyle w:val="Heading4"/>
      </w:pPr>
      <w:r w:rsidRPr="00DE6548">
        <w:t xml:space="preserve">Federal </w:t>
      </w:r>
      <w:r w:rsidR="006152CC">
        <w:t>funding</w:t>
      </w:r>
      <w:r w:rsidRPr="00DE6548">
        <w:t xml:space="preserve"> for education funding have been declining, Bourdeaux says that the only substantial </w:t>
      </w:r>
      <w:r>
        <w:t>increase has come from state</w:t>
      </w:r>
      <w:r w:rsidR="006152CC">
        <w:t>s</w:t>
      </w:r>
      <w:r>
        <w:t>, which is characterized by an increase of 20%. The only way to ensure that affs make large change</w:t>
      </w:r>
      <w:r w:rsidR="000B6AD4">
        <w:t>s</w:t>
      </w:r>
      <w:r>
        <w:t xml:space="preserve"> is to force them to alter the balance of federal </w:t>
      </w:r>
      <w:r w:rsidR="006152CC">
        <w:t>funding.</w:t>
      </w:r>
    </w:p>
    <w:p w:rsidR="00BB5418" w:rsidRDefault="00BB5418" w:rsidP="00B744E7"/>
    <w:p w:rsidR="00DE6548" w:rsidRDefault="00DE6548" w:rsidP="00DE6548">
      <w:pPr>
        <w:pStyle w:val="Heading4"/>
      </w:pPr>
      <w:r>
        <w:t xml:space="preserve">Err neg---the inclusion of two “and/or” options create essentially nine separate resolutions, giving affs extreme leeway over the areas they can affect. The only </w:t>
      </w:r>
      <w:r w:rsidR="00FD6F73">
        <w:t xml:space="preserve">common limiting words between those resolutions are “substantially increase” which means you should be willing to hold the line on T-substantial debates, and force </w:t>
      </w:r>
      <w:r w:rsidR="000B6AD4">
        <w:t>change large enough to guarantee clash</w:t>
      </w:r>
      <w:r w:rsidR="00FD6F73">
        <w:t>.</w:t>
      </w:r>
    </w:p>
    <w:p w:rsidR="006152CC" w:rsidRDefault="006152CC" w:rsidP="00B744E7"/>
    <w:p w:rsidR="00A75C96" w:rsidRDefault="006152CC" w:rsidP="006152CC">
      <w:pPr>
        <w:pStyle w:val="Heading4"/>
      </w:pPr>
      <w:r>
        <w:t>Prefer a comparison between federal and state funding levels because only the state</w:t>
      </w:r>
      <w:r w:rsidR="00637D01">
        <w:t>s</w:t>
      </w:r>
      <w:r>
        <w:t xml:space="preserve"> </w:t>
      </w:r>
      <w:r w:rsidR="00637D01">
        <w:t>have</w:t>
      </w:r>
      <w:r>
        <w:t xml:space="preserve"> made increases large enough to be considered “substantial”, drawing a baseline from federal funding trends woul</w:t>
      </w:r>
      <w:r w:rsidR="00637D01">
        <w:t>d severely under limit the topic</w:t>
      </w:r>
      <w:r>
        <w:t>.</w:t>
      </w:r>
    </w:p>
    <w:p w:rsidR="00637D01" w:rsidRPr="00637D01" w:rsidRDefault="00637D01" w:rsidP="00637D01"/>
    <w:p w:rsidR="00B744E7" w:rsidRDefault="00B744E7" w:rsidP="00B744E7">
      <w:pPr>
        <w:pStyle w:val="Heading2"/>
      </w:pPr>
      <w:r w:rsidRPr="001A6A06">
        <w:t>Violation</w:t>
      </w:r>
    </w:p>
    <w:p w:rsidR="00637D01" w:rsidRPr="00637D01" w:rsidRDefault="00637D01" w:rsidP="00637D01"/>
    <w:p w:rsidR="00B744E7" w:rsidRDefault="000A44D7" w:rsidP="00B063F0">
      <w:pPr>
        <w:pStyle w:val="Heading3"/>
      </w:pPr>
      <w:r>
        <w:t>V</w:t>
      </w:r>
      <w:r w:rsidR="00B744E7" w:rsidRPr="001A6A06">
        <w:t>iolation---</w:t>
      </w:r>
      <w:r w:rsidR="00E0084C">
        <w:t>Substantial---</w:t>
      </w:r>
      <w:r w:rsidR="00B063F0" w:rsidRPr="001A6A06">
        <w:t>2NC</w:t>
      </w:r>
    </w:p>
    <w:p w:rsidR="00637D01" w:rsidRPr="00637D01" w:rsidRDefault="00637D01" w:rsidP="00637D01"/>
    <w:p w:rsidR="00B744E7" w:rsidRDefault="00E0084C" w:rsidP="00696E36">
      <w:pPr>
        <w:pStyle w:val="Heading4"/>
      </w:pPr>
      <w:r>
        <w:t xml:space="preserve">They can’t possibly meet our interpretation. The </w:t>
      </w:r>
      <w:r w:rsidR="00637D01">
        <w:t xml:space="preserve">Healthy, Hunger Free Kids </w:t>
      </w:r>
      <w:r w:rsidR="00032907">
        <w:t>Act only created</w:t>
      </w:r>
      <w:r>
        <w:t xml:space="preserve"> $4.5 billion </w:t>
      </w:r>
      <w:r w:rsidR="00032907">
        <w:t>of new spending, through 2020---</w:t>
      </w:r>
      <w:r>
        <w:t xml:space="preserve">that’s </w:t>
      </w:r>
      <w:r w:rsidR="00032907">
        <w:t>Paulson</w:t>
      </w:r>
    </w:p>
    <w:p w:rsidR="00032907" w:rsidRDefault="00032907" w:rsidP="00B744E7"/>
    <w:p w:rsidR="00E0084C" w:rsidRDefault="00E0084C" w:rsidP="00E0084C">
      <w:pPr>
        <w:pStyle w:val="Heading4"/>
      </w:pPr>
      <w:r>
        <w:t>Less than 10% is insubstantial</w:t>
      </w:r>
    </w:p>
    <w:p w:rsidR="00E0084C" w:rsidRDefault="00032907" w:rsidP="00E0084C">
      <w:r w:rsidRPr="00032907">
        <w:t>Alissa</w:t>
      </w:r>
      <w:r>
        <w:rPr>
          <w:rStyle w:val="Style13ptBold"/>
        </w:rPr>
        <w:t xml:space="preserve"> </w:t>
      </w:r>
      <w:r w:rsidR="00E0084C" w:rsidRPr="002E43F2">
        <w:rPr>
          <w:rStyle w:val="Style13ptBold"/>
        </w:rPr>
        <w:t>Mickels 8</w:t>
      </w:r>
      <w:r>
        <w:t xml:space="preserve">, JD from </w:t>
      </w:r>
      <w:r w:rsidR="00E0084C">
        <w:t>Hastings College of Law,</w:t>
      </w:r>
      <w:r>
        <w:t xml:space="preserve"> 7-17-8,</w:t>
      </w:r>
      <w:r w:rsidR="00E0084C">
        <w:t xml:space="preserve"> “Summary of Existing US Law Affecting Four</w:t>
      </w:r>
      <w:r w:rsidR="00E0084C" w:rsidRPr="00F94A61">
        <w:t xml:space="preserve">th Sector Organizations”, </w:t>
      </w:r>
      <w:hyperlink r:id="rId9" w:history="1">
        <w:r w:rsidR="00E0084C" w:rsidRPr="00F94A61">
          <w:t>http://www.fourthsector.net/attachments/7/original/Summary_of_US_Law_Affecting_</w:t>
        </w:r>
        <w:r w:rsidR="00E0084C">
          <w:t xml:space="preserve"> </w:t>
        </w:r>
        <w:r w:rsidR="00E0084C" w:rsidRPr="00F94A61">
          <w:t>FS.pdf?1229493187</w:t>
        </w:r>
      </w:hyperlink>
    </w:p>
    <w:p w:rsidR="00E0084C" w:rsidRDefault="00E0084C" w:rsidP="00E0084C">
      <w:pPr>
        <w:rPr>
          <w:sz w:val="16"/>
        </w:rPr>
      </w:pPr>
      <w:r w:rsidRPr="00032907">
        <w:rPr>
          <w:rStyle w:val="StyleUnderline"/>
        </w:rPr>
        <w:t>Substantial v. insubstantial:</w:t>
      </w:r>
      <w:r w:rsidRPr="008A2FF5">
        <w:rPr>
          <w:sz w:val="16"/>
        </w:rPr>
        <w:t xml:space="preserve"> Modern courts consider competition with commercial firms as “strong evidence of a substantial nonexempt purpose.” Living Faith, Inc. v. Comm’r, 60 T.C.M. 710, 713 (1990). </w:t>
      </w:r>
      <w:r w:rsidRPr="00032907">
        <w:rPr>
          <w:rStyle w:val="StyleUnderline"/>
        </w:rPr>
        <w:t>Although the</w:t>
      </w:r>
      <w:r w:rsidRPr="008A2FF5">
        <w:rPr>
          <w:sz w:val="16"/>
        </w:rPr>
        <w:t xml:space="preserve"> tax  </w:t>
      </w:r>
      <w:r w:rsidRPr="00032907">
        <w:rPr>
          <w:rStyle w:val="StyleUnderline"/>
        </w:rPr>
        <w:t>court has held that the definition</w:t>
      </w:r>
      <w:r w:rsidRPr="002E43F2">
        <w:rPr>
          <w:rStyle w:val="TitleChar"/>
        </w:rPr>
        <w:t xml:space="preserve"> of insubstantial is </w:t>
      </w:r>
      <w:r w:rsidRPr="002E43F2">
        <w:rPr>
          <w:rStyle w:val="Emphasis"/>
        </w:rPr>
        <w:t>fact specific</w:t>
      </w:r>
      <w:r w:rsidRPr="002E43F2">
        <w:rPr>
          <w:rStyle w:val="TitleChar"/>
        </w:rPr>
        <w:t xml:space="preserve">, it has found  that </w:t>
      </w:r>
      <w:r w:rsidRPr="00E0084C">
        <w:rPr>
          <w:rStyle w:val="Emphasis"/>
          <w:highlight w:val="yellow"/>
        </w:rPr>
        <w:t>less than ten percent</w:t>
      </w:r>
      <w:r w:rsidRPr="002E43F2">
        <w:rPr>
          <w:rStyle w:val="TitleChar"/>
        </w:rPr>
        <w:t xml:space="preserve"> of</w:t>
      </w:r>
      <w:r w:rsidRPr="008A2FF5">
        <w:rPr>
          <w:sz w:val="16"/>
        </w:rPr>
        <w:t xml:space="preserve"> a charity’s total </w:t>
      </w:r>
      <w:r w:rsidRPr="002E43F2">
        <w:rPr>
          <w:rStyle w:val="TitleChar"/>
        </w:rPr>
        <w:t xml:space="preserve">efforts </w:t>
      </w:r>
      <w:r w:rsidRPr="00E0084C">
        <w:rPr>
          <w:rStyle w:val="TitleChar"/>
          <w:highlight w:val="yellow"/>
        </w:rPr>
        <w:t xml:space="preserve">is </w:t>
      </w:r>
      <w:r w:rsidRPr="00E0084C">
        <w:rPr>
          <w:rStyle w:val="Emphasis"/>
          <w:highlight w:val="yellow"/>
        </w:rPr>
        <w:t>“insubstantial”</w:t>
      </w:r>
      <w:r w:rsidRPr="00E0084C">
        <w:rPr>
          <w:sz w:val="16"/>
        </w:rPr>
        <w:t>,</w:t>
      </w:r>
      <w:r w:rsidRPr="008A2FF5">
        <w:rPr>
          <w:sz w:val="16"/>
        </w:rPr>
        <w:t xml:space="preserve">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B1099F" w:rsidRDefault="00B1099F" w:rsidP="00B744E7"/>
    <w:p w:rsidR="00144861" w:rsidRDefault="00E0084C" w:rsidP="00E0084C">
      <w:pPr>
        <w:pStyle w:val="Heading3"/>
      </w:pPr>
      <w:r>
        <w:t>Violation---Increase---2NC</w:t>
      </w:r>
    </w:p>
    <w:p w:rsidR="00E0084C" w:rsidRDefault="00E0084C" w:rsidP="00696E36">
      <w:pPr>
        <w:pStyle w:val="Heading4"/>
      </w:pPr>
      <w:r>
        <w:t xml:space="preserve">The plan doesn’t </w:t>
      </w:r>
      <w:r w:rsidR="00696E36">
        <w:t>increase</w:t>
      </w:r>
      <w:r>
        <w:t xml:space="preserve"> anything! The act was passed in 2010 and the plan doesn’t mandate changing the funding levels or regulations </w:t>
      </w:r>
    </w:p>
    <w:p w:rsidR="00E0084C" w:rsidRDefault="00E0084C" w:rsidP="00696E36"/>
    <w:p w:rsidR="00696E36" w:rsidRDefault="00696E36" w:rsidP="00696E36">
      <w:pPr>
        <w:pStyle w:val="Heading4"/>
      </w:pPr>
      <w:r>
        <w:t xml:space="preserve">Factually, it expired in 2015 but </w:t>
      </w:r>
      <w:r w:rsidR="00032907">
        <w:t>it’s</w:t>
      </w:r>
      <w:r>
        <w:t xml:space="preserve"> still funded via appropriations bills</w:t>
      </w:r>
    </w:p>
    <w:p w:rsidR="00696E36" w:rsidRPr="00696E36" w:rsidRDefault="004501F5" w:rsidP="00696E36">
      <w:r w:rsidRPr="004501F5">
        <w:rPr>
          <w:rStyle w:val="Style13ptBold"/>
        </w:rPr>
        <w:t>The Fence Post 17</w:t>
      </w:r>
      <w:r>
        <w:t>, nationwide agricultural newspaper, 5-23-17, “Trump budget cuts SNAP, crop insurance, conservation, rural development; imposes FSIS, APHIS, GIPSA, AMS user fees,” http://www.thefencepost.com/news/trump-budget-cuts-snap-crop-insurance-conservation-rural-development-imposes-fsis-aphis-gipsa-ams-user-fees/</w:t>
      </w:r>
    </w:p>
    <w:p w:rsidR="00E0084C" w:rsidRPr="00696E36" w:rsidRDefault="00E0084C" w:rsidP="00696E36">
      <w:r w:rsidRPr="004501F5">
        <w:rPr>
          <w:sz w:val="16"/>
        </w:rPr>
        <w:t xml:space="preserve">In his briefing, Mulvaney did not mention child nutrition programs, which include school meals, the special supplemental nutrition assistance program for women, infants and children, and other smaller programs. But he said </w:t>
      </w:r>
      <w:r w:rsidRPr="00696E36">
        <w:rPr>
          <w:rStyle w:val="StyleUnderline"/>
        </w:rPr>
        <w:t>the administration takes a dim view of programs that Congress has not reauthorized.</w:t>
      </w:r>
      <w:r w:rsidRPr="004501F5">
        <w:rPr>
          <w:sz w:val="16"/>
        </w:rPr>
        <w:t xml:space="preserve"> </w:t>
      </w:r>
      <w:r w:rsidRPr="00696E36">
        <w:rPr>
          <w:rStyle w:val="StyleUnderline"/>
        </w:rPr>
        <w:t xml:space="preserve">The </w:t>
      </w:r>
      <w:r w:rsidRPr="00696E36">
        <w:rPr>
          <w:rStyle w:val="StyleUnderline"/>
          <w:highlight w:val="yellow"/>
        </w:rPr>
        <w:t>authorization for</w:t>
      </w:r>
      <w:r w:rsidRPr="00696E36">
        <w:rPr>
          <w:rStyle w:val="StyleUnderline"/>
        </w:rPr>
        <w:t xml:space="preserve"> child nutrition programs from the 2010 </w:t>
      </w:r>
      <w:r w:rsidRPr="00696E36">
        <w:rPr>
          <w:rStyle w:val="StyleUnderline"/>
          <w:highlight w:val="yellow"/>
        </w:rPr>
        <w:t>Healthy Hunger-Free Kids Act expired in 2015 and Congress has been unable to</w:t>
      </w:r>
      <w:r w:rsidRPr="00696E36">
        <w:rPr>
          <w:rStyle w:val="StyleUnderline"/>
        </w:rPr>
        <w:t xml:space="preserve"> reach agreement to </w:t>
      </w:r>
      <w:r w:rsidRPr="00696E36">
        <w:rPr>
          <w:rStyle w:val="StyleUnderline"/>
          <w:highlight w:val="yellow"/>
        </w:rPr>
        <w:t>reauthorize it</w:t>
      </w:r>
      <w:r w:rsidRPr="004501F5">
        <w:rPr>
          <w:sz w:val="16"/>
        </w:rPr>
        <w:t>.</w:t>
      </w:r>
      <w:r w:rsidR="004501F5" w:rsidRPr="004501F5">
        <w:rPr>
          <w:sz w:val="12"/>
        </w:rPr>
        <w:t>¶</w:t>
      </w:r>
      <w:r w:rsidR="004501F5" w:rsidRPr="004501F5">
        <w:rPr>
          <w:sz w:val="16"/>
        </w:rPr>
        <w:t xml:space="preserve"> </w:t>
      </w:r>
      <w:r w:rsidRPr="00696E36">
        <w:rPr>
          <w:rStyle w:val="Emphasis"/>
          <w:highlight w:val="yellow"/>
        </w:rPr>
        <w:t>The</w:t>
      </w:r>
      <w:r w:rsidRPr="00696E36">
        <w:rPr>
          <w:rStyle w:val="Emphasis"/>
        </w:rPr>
        <w:t xml:space="preserve"> child nutrition </w:t>
      </w:r>
      <w:r w:rsidRPr="00696E36">
        <w:rPr>
          <w:rStyle w:val="Emphasis"/>
          <w:highlight w:val="yellow"/>
        </w:rPr>
        <w:t>programs continue under appropriations bills</w:t>
      </w:r>
      <w:r w:rsidRPr="004501F5">
        <w:rPr>
          <w:sz w:val="16"/>
        </w:rPr>
        <w:t xml:space="preserve">. </w:t>
      </w:r>
      <w:r w:rsidRPr="00696E36">
        <w:rPr>
          <w:rStyle w:val="StyleUnderline"/>
        </w:rPr>
        <w:t>But</w:t>
      </w:r>
      <w:r w:rsidRPr="004501F5">
        <w:rPr>
          <w:sz w:val="16"/>
        </w:rPr>
        <w:t xml:space="preserve"> Mulvaney said </w:t>
      </w:r>
      <w:r w:rsidRPr="00696E36">
        <w:rPr>
          <w:rStyle w:val="StyleUnderline"/>
        </w:rPr>
        <w:t>the administration is taking "a really, really hard look at unauthorized programs," which amount to $300 billion in spending</w:t>
      </w:r>
      <w:r w:rsidRPr="004501F5">
        <w:rPr>
          <w:sz w:val="16"/>
        </w:rPr>
        <w:t>.</w:t>
      </w:r>
    </w:p>
    <w:p w:rsidR="004501F5" w:rsidRPr="00E0084C" w:rsidRDefault="004501F5" w:rsidP="00E0084C"/>
    <w:p w:rsidR="001D7475" w:rsidRPr="001A6A06" w:rsidRDefault="001D7475" w:rsidP="001D7475">
      <w:pPr>
        <w:pStyle w:val="Heading3"/>
      </w:pPr>
      <w:r w:rsidRPr="001A6A06">
        <w:t>AT: Plan Text = Solves</w:t>
      </w:r>
    </w:p>
    <w:p w:rsidR="001D7475" w:rsidRPr="001A6A06" w:rsidRDefault="00B063F0" w:rsidP="001D7475">
      <w:pPr>
        <w:pStyle w:val="Heading4"/>
      </w:pPr>
      <w:r w:rsidRPr="001A6A06">
        <w:t>H</w:t>
      </w:r>
      <w:r w:rsidR="001D7475" w:rsidRPr="001A6A06">
        <w:t xml:space="preserve">old them to the explanation of the plan text--- </w:t>
      </w:r>
      <w:r w:rsidRPr="001A6A06">
        <w:t>that’s them most predictable</w:t>
      </w:r>
      <w:r w:rsidR="001D7475" w:rsidRPr="001A6A06">
        <w:t>---</w:t>
      </w:r>
      <w:r w:rsidRPr="001A6A06">
        <w:t>anything else means we must debate</w:t>
      </w:r>
      <w:r w:rsidR="001D7475" w:rsidRPr="001A6A06">
        <w:t xml:space="preserve"> an infinite number of ways that the judge could </w:t>
      </w:r>
      <w:r w:rsidR="001D7475" w:rsidRPr="001A6A06">
        <w:rPr>
          <w:i/>
        </w:rPr>
        <w:t>interpret</w:t>
      </w:r>
      <w:r w:rsidR="001D7475" w:rsidRPr="001A6A06">
        <w:t xml:space="preserve"> the plan text instead of the aff’s articulation and evidence</w:t>
      </w:r>
    </w:p>
    <w:p w:rsidR="00391B04" w:rsidRPr="001A6A06" w:rsidRDefault="00391B04" w:rsidP="00391B04"/>
    <w:p w:rsidR="00391B04" w:rsidRPr="001A6A06" w:rsidRDefault="00B063F0" w:rsidP="00391B04">
      <w:pPr>
        <w:pStyle w:val="Heading4"/>
      </w:pPr>
      <w:r w:rsidRPr="001A6A06">
        <w:t>“Checks abuse” arguments destroy</w:t>
      </w:r>
      <w:r w:rsidR="00391B04" w:rsidRPr="001A6A06">
        <w:t xml:space="preserve"> </w:t>
      </w:r>
      <w:r w:rsidRPr="001A6A06">
        <w:t>topicality debates---</w:t>
      </w:r>
      <w:r w:rsidR="00391B04" w:rsidRPr="001A6A06">
        <w:t xml:space="preserve">every plan </w:t>
      </w:r>
      <w:r w:rsidRPr="001A6A06">
        <w:t>includes</w:t>
      </w:r>
      <w:r w:rsidR="00391B04" w:rsidRPr="001A6A06">
        <w:t xml:space="preserve"> language from the resolution---</w:t>
      </w:r>
      <w:r w:rsidRPr="001A6A06">
        <w:t>testing what plan</w:t>
      </w:r>
      <w:r w:rsidR="00F0445F" w:rsidRPr="001A6A06">
        <w:t xml:space="preserve"> language</w:t>
      </w:r>
      <w:r w:rsidRPr="001A6A06">
        <w:t xml:space="preserve"> means in practice is the only way to set bounds on the topic</w:t>
      </w:r>
    </w:p>
    <w:p w:rsidR="00B063F0" w:rsidRPr="001A6A06" w:rsidRDefault="00B063F0" w:rsidP="00B063F0"/>
    <w:p w:rsidR="006D6BBE" w:rsidRDefault="00ED18DE" w:rsidP="006D6BBE">
      <w:pPr>
        <w:pStyle w:val="Heading1"/>
      </w:pPr>
      <w:r>
        <w:t>Aff Answers</w:t>
      </w:r>
    </w:p>
    <w:p w:rsidR="00914F9F" w:rsidRPr="00914F9F" w:rsidRDefault="00914F9F" w:rsidP="00914F9F"/>
    <w:p w:rsidR="001A6A06" w:rsidRDefault="001A6A06" w:rsidP="001A6A06">
      <w:pPr>
        <w:pStyle w:val="Heading2"/>
      </w:pPr>
      <w:r w:rsidRPr="001A6A06">
        <w:t>T</w:t>
      </w:r>
      <w:r w:rsidR="006436C5">
        <w:t xml:space="preserve"> –</w:t>
      </w:r>
      <w:r w:rsidRPr="001A6A06">
        <w:t xml:space="preserve"> Substantial</w:t>
      </w:r>
      <w:r w:rsidR="006436C5">
        <w:t xml:space="preserve"> Answers</w:t>
      </w:r>
    </w:p>
    <w:p w:rsidR="00914F9F" w:rsidRDefault="00914F9F" w:rsidP="00914F9F"/>
    <w:p w:rsidR="007724A5" w:rsidRDefault="007724A5" w:rsidP="001A6A06">
      <w:pPr>
        <w:pStyle w:val="Heading3"/>
      </w:pPr>
      <w:r>
        <w:t>T – Substantial</w:t>
      </w:r>
      <w:r w:rsidR="006436C5">
        <w:t>---2AC</w:t>
      </w:r>
    </w:p>
    <w:p w:rsidR="00914F9F" w:rsidRPr="00914F9F" w:rsidRDefault="00914F9F" w:rsidP="00914F9F"/>
    <w:p w:rsidR="006436C5" w:rsidRDefault="007724A5" w:rsidP="006436C5">
      <w:pPr>
        <w:pStyle w:val="Heading4"/>
      </w:pPr>
      <w:r>
        <w:t>We meet---</w:t>
      </w:r>
      <w:r w:rsidR="006436C5">
        <w:t>spending will rise by 26% in the next eight years</w:t>
      </w:r>
    </w:p>
    <w:p w:rsidR="006436C5" w:rsidRDefault="006436C5" w:rsidP="006436C5">
      <w:r w:rsidRPr="006436C5">
        <w:rPr>
          <w:rStyle w:val="Style13ptBold"/>
        </w:rPr>
        <w:t>C</w:t>
      </w:r>
      <w:r>
        <w:t xml:space="preserve">ongressional </w:t>
      </w:r>
      <w:r w:rsidRPr="006436C5">
        <w:rPr>
          <w:rStyle w:val="Style13ptBold"/>
        </w:rPr>
        <w:t>B</w:t>
      </w:r>
      <w:r>
        <w:t xml:space="preserve">udget </w:t>
      </w:r>
      <w:r w:rsidRPr="006436C5">
        <w:rPr>
          <w:rStyle w:val="Style13ptBold"/>
        </w:rPr>
        <w:t>O</w:t>
      </w:r>
      <w:r>
        <w:t xml:space="preserve">ffice </w:t>
      </w:r>
      <w:r w:rsidRPr="006436C5">
        <w:rPr>
          <w:rStyle w:val="Style13ptBold"/>
        </w:rPr>
        <w:t>15</w:t>
      </w:r>
      <w:r>
        <w:t xml:space="preserve">, 9-25-15, “Child Nutrition Programs: Spending and Policy Options,” </w:t>
      </w:r>
      <w:hyperlink r:id="rId10" w:anchor="section3" w:history="1">
        <w:r w:rsidR="00CC243E" w:rsidRPr="00A85639">
          <w:rPr>
            <w:rStyle w:val="Hyperlink"/>
          </w:rPr>
          <w:t>https://www.cbo.gov/publication/50737#section3</w:t>
        </w:r>
      </w:hyperlink>
    </w:p>
    <w:p w:rsidR="007724A5" w:rsidRPr="006436C5" w:rsidRDefault="00F152AA" w:rsidP="007724A5">
      <w:pPr>
        <w:rPr>
          <w:sz w:val="16"/>
        </w:rPr>
      </w:pPr>
      <w:r w:rsidRPr="006436C5">
        <w:rPr>
          <w:rStyle w:val="StyleUnderline"/>
          <w:highlight w:val="yellow"/>
        </w:rPr>
        <w:t>Population growth, higher reimbursement rates, policy changes,</w:t>
      </w:r>
      <w:r w:rsidRPr="006436C5">
        <w:rPr>
          <w:rStyle w:val="StyleUnderline"/>
        </w:rPr>
        <w:t xml:space="preserve"> and other factors </w:t>
      </w:r>
      <w:r w:rsidRPr="006436C5">
        <w:rPr>
          <w:rStyle w:val="Emphasis"/>
          <w:highlight w:val="yellow"/>
        </w:rPr>
        <w:t>more than doubled spending</w:t>
      </w:r>
      <w:r w:rsidRPr="006436C5">
        <w:rPr>
          <w:rStyle w:val="StyleUnderline"/>
        </w:rPr>
        <w:t xml:space="preserve"> in real terms</w:t>
      </w:r>
      <w:r w:rsidRPr="006436C5">
        <w:rPr>
          <w:sz w:val="16"/>
        </w:rPr>
        <w:t xml:space="preserve"> (meaning that values are adjusted for inflation) </w:t>
      </w:r>
      <w:r w:rsidRPr="006436C5">
        <w:rPr>
          <w:rStyle w:val="StyleUnderline"/>
          <w:highlight w:val="yellow"/>
        </w:rPr>
        <w:t xml:space="preserve">on child nutrition </w:t>
      </w:r>
      <w:r w:rsidRPr="006436C5">
        <w:rPr>
          <w:rStyle w:val="StyleUnderline"/>
        </w:rPr>
        <w:t xml:space="preserve">programs </w:t>
      </w:r>
      <w:r w:rsidRPr="006436C5">
        <w:rPr>
          <w:rStyle w:val="StyleUnderline"/>
          <w:highlight w:val="yellow"/>
        </w:rPr>
        <w:t xml:space="preserve">from 1990 to 2014. Continued increases </w:t>
      </w:r>
      <w:r w:rsidRPr="006436C5">
        <w:rPr>
          <w:rStyle w:val="StyleUnderline"/>
        </w:rPr>
        <w:t xml:space="preserve">in food prices and demographic changes </w:t>
      </w:r>
      <w:r w:rsidRPr="006436C5">
        <w:rPr>
          <w:rStyle w:val="StyleUnderline"/>
          <w:highlight w:val="yellow"/>
        </w:rPr>
        <w:t xml:space="preserve">are expected </w:t>
      </w:r>
      <w:r w:rsidRPr="006436C5">
        <w:rPr>
          <w:rStyle w:val="StyleUnderline"/>
        </w:rPr>
        <w:t xml:space="preserve">to contribute to further growth in spending on child nutrition programs. </w:t>
      </w:r>
      <w:r w:rsidRPr="006436C5">
        <w:rPr>
          <w:rStyle w:val="StyleUnderline"/>
          <w:highlight w:val="yellow"/>
        </w:rPr>
        <w:t>Under current law</w:t>
      </w:r>
      <w:r w:rsidRPr="006436C5">
        <w:rPr>
          <w:rStyle w:val="StyleUnderline"/>
        </w:rPr>
        <w:t xml:space="preserve">, the Congressional Budget Office projects, </w:t>
      </w:r>
      <w:r w:rsidRPr="006436C5">
        <w:rPr>
          <w:rStyle w:val="StyleUnderline"/>
          <w:highlight w:val="yellow"/>
        </w:rPr>
        <w:t>spending would rise to</w:t>
      </w:r>
      <w:r w:rsidRPr="006436C5">
        <w:rPr>
          <w:rStyle w:val="StyleUnderline"/>
        </w:rPr>
        <w:t xml:space="preserve"> about </w:t>
      </w:r>
      <w:r w:rsidRPr="006436C5">
        <w:rPr>
          <w:rStyle w:val="StyleUnderline"/>
          <w:highlight w:val="yellow"/>
        </w:rPr>
        <w:t>$31 billion</w:t>
      </w:r>
      <w:r w:rsidRPr="006436C5">
        <w:rPr>
          <w:sz w:val="16"/>
        </w:rPr>
        <w:t xml:space="preserve"> in nominal dollars </w:t>
      </w:r>
      <w:r w:rsidRPr="006436C5">
        <w:rPr>
          <w:rStyle w:val="StyleUnderline"/>
          <w:highlight w:val="yellow"/>
        </w:rPr>
        <w:t>by 2025</w:t>
      </w:r>
      <w:r w:rsidRPr="006436C5">
        <w:rPr>
          <w:sz w:val="16"/>
        </w:rPr>
        <w:t xml:space="preserve">. Adjusted for expected inflation, </w:t>
      </w:r>
      <w:r w:rsidRPr="006436C5">
        <w:rPr>
          <w:rStyle w:val="StyleUnderline"/>
        </w:rPr>
        <w:t xml:space="preserve">that value represents </w:t>
      </w:r>
      <w:r w:rsidRPr="006436C5">
        <w:rPr>
          <w:rStyle w:val="StyleUnderline"/>
          <w:highlight w:val="yellow"/>
        </w:rPr>
        <w:t xml:space="preserve">an </w:t>
      </w:r>
      <w:r w:rsidRPr="006436C5">
        <w:rPr>
          <w:rStyle w:val="Emphasis"/>
          <w:highlight w:val="yellow"/>
        </w:rPr>
        <w:t>increase of 26 percent</w:t>
      </w:r>
      <w:r w:rsidRPr="006436C5">
        <w:rPr>
          <w:rStyle w:val="StyleUnderline"/>
        </w:rPr>
        <w:t xml:space="preserve"> over 2014 spending</w:t>
      </w:r>
      <w:r w:rsidRPr="006436C5">
        <w:rPr>
          <w:sz w:val="16"/>
        </w:rPr>
        <w:t>.</w:t>
      </w:r>
    </w:p>
    <w:p w:rsidR="00F152AA" w:rsidRDefault="00F152AA" w:rsidP="007724A5"/>
    <w:p w:rsidR="0047106C" w:rsidRDefault="0047106C" w:rsidP="00CF1A70">
      <w:pPr>
        <w:pStyle w:val="Heading4"/>
      </w:pPr>
      <w:r>
        <w:t>We meet---</w:t>
      </w:r>
      <w:r w:rsidR="00CF1A70">
        <w:t xml:space="preserve">reauthorization includes </w:t>
      </w:r>
      <w:r w:rsidR="00CF1A70">
        <w:rPr>
          <w:i/>
        </w:rPr>
        <w:t xml:space="preserve">increasing </w:t>
      </w:r>
      <w:r w:rsidR="00CF1A70">
        <w:t>funding</w:t>
      </w:r>
    </w:p>
    <w:p w:rsidR="00CF1A70" w:rsidRPr="00CF1A70" w:rsidRDefault="00CF1A70" w:rsidP="00CF1A70">
      <w:r>
        <w:t xml:space="preserve">Nathanael </w:t>
      </w:r>
      <w:r w:rsidRPr="00CF1A70">
        <w:rPr>
          <w:rStyle w:val="Style13ptBold"/>
        </w:rPr>
        <w:t>Johnson 15</w:t>
      </w:r>
      <w:r>
        <w:t>, senior writer for Grist, 10-2-15, “Congress just missed a chance to help hungry kids. Here’s what happened,” http://grist.org/politics/congress-just-missed-a-chance-to-help-hungry-kids-heres-what-happened/</w:t>
      </w:r>
    </w:p>
    <w:p w:rsidR="00CF1A70" w:rsidRPr="00CF1A70" w:rsidRDefault="00CF1A70" w:rsidP="00CF1A70">
      <w:r w:rsidRPr="00CF1A70">
        <w:rPr>
          <w:rStyle w:val="StyleUnderline"/>
          <w:highlight w:val="yellow"/>
        </w:rPr>
        <w:t>Sept. 30 was the deadline</w:t>
      </w:r>
      <w:r w:rsidRPr="00CF1A70">
        <w:rPr>
          <w:rStyle w:val="StyleUnderline"/>
        </w:rPr>
        <w:t xml:space="preserve"> for Congress </w:t>
      </w:r>
      <w:r w:rsidRPr="00CF1A70">
        <w:rPr>
          <w:rStyle w:val="StyleUnderline"/>
          <w:highlight w:val="yellow"/>
        </w:rPr>
        <w:t>to reauthorize</w:t>
      </w:r>
      <w:r w:rsidRPr="00CF1A70">
        <w:rPr>
          <w:rStyle w:val="StyleUnderline"/>
        </w:rPr>
        <w:t xml:space="preserve"> the Healthy, Hunger Free Kids Act — the school lunch law. </w:t>
      </w:r>
      <w:r w:rsidRPr="00CF1A70">
        <w:rPr>
          <w:rStyle w:val="StyleUnderline"/>
          <w:highlight w:val="yellow"/>
        </w:rPr>
        <w:t>Congress didn’t</w:t>
      </w:r>
      <w:r w:rsidRPr="00CF1A70">
        <w:rPr>
          <w:rStyle w:val="StyleUnderline"/>
        </w:rPr>
        <w:t xml:space="preserve"> do so.</w:t>
      </w:r>
      <w:r w:rsidRPr="00CF1A70">
        <w:rPr>
          <w:sz w:val="16"/>
        </w:rPr>
        <w:t xml:space="preserve"> Here’s what that means, why it matters, and what could happen next.</w:t>
      </w:r>
      <w:r w:rsidRPr="00CF1A70">
        <w:rPr>
          <w:sz w:val="12"/>
        </w:rPr>
        <w:t>¶</w:t>
      </w:r>
      <w:r w:rsidRPr="00CF1A70">
        <w:rPr>
          <w:sz w:val="16"/>
        </w:rPr>
        <w:t xml:space="preserve"> What is this law?</w:t>
      </w:r>
      <w:r w:rsidRPr="00CF1A70">
        <w:rPr>
          <w:sz w:val="12"/>
        </w:rPr>
        <w:t>¶</w:t>
      </w:r>
      <w:r w:rsidRPr="00CF1A70">
        <w:rPr>
          <w:sz w:val="16"/>
        </w:rPr>
        <w:t xml:space="preserve"> Legislators concerned about obesity and hunger passed the Healthy, Hunger Free Kids Act in 2010. It amended the original school lunch law from 1945, providing more money for food and setting stricter nutritional standards. It also provided some support for schools to tap into local food systems.</w:t>
      </w:r>
      <w:r w:rsidRPr="00CF1A70">
        <w:rPr>
          <w:sz w:val="12"/>
        </w:rPr>
        <w:t>¶</w:t>
      </w:r>
      <w:r w:rsidRPr="00CF1A70">
        <w:rPr>
          <w:sz w:val="16"/>
        </w:rPr>
        <w:t xml:space="preserve"> Michelle Obama and the School Nutrition Association — a group representing cafeteria workers and school lunch coordinators — championed the bill. But the SNA and Obama have turned from allies to foes as they differed on interpreting the law’s mandates. The SNA has said that the law’s requirements for reducing salt and increasing whole grains are so strict that some kids have stopped eating the lunches, while Obama’s team has argued that we need to take bold steps to improve America’s diet.</w:t>
      </w:r>
      <w:r w:rsidRPr="00CF1A70">
        <w:rPr>
          <w:sz w:val="12"/>
        </w:rPr>
        <w:t>¶</w:t>
      </w:r>
      <w:r w:rsidRPr="00CF1A70">
        <w:rPr>
          <w:sz w:val="16"/>
        </w:rPr>
        <w:t xml:space="preserve"> </w:t>
      </w:r>
      <w:r w:rsidRPr="00CF1A70">
        <w:rPr>
          <w:rStyle w:val="StyleUnderline"/>
        </w:rPr>
        <w:t>Congress blew past the deadline — what happens now</w:t>
      </w:r>
      <w:r w:rsidRPr="00CF1A70">
        <w:rPr>
          <w:sz w:val="16"/>
        </w:rPr>
        <w:t>?</w:t>
      </w:r>
      <w:r w:rsidRPr="00CF1A70">
        <w:rPr>
          <w:sz w:val="12"/>
        </w:rPr>
        <w:t>¶</w:t>
      </w:r>
      <w:r w:rsidRPr="00CF1A70">
        <w:rPr>
          <w:sz w:val="16"/>
        </w:rPr>
        <w:t xml:space="preserve"> </w:t>
      </w:r>
      <w:r w:rsidRPr="00CF1A70">
        <w:rPr>
          <w:rStyle w:val="StyleUnderline"/>
        </w:rPr>
        <w:t>Nothing</w:t>
      </w:r>
      <w:r w:rsidRPr="00CF1A70">
        <w:rPr>
          <w:sz w:val="16"/>
        </w:rPr>
        <w:t xml:space="preserve">! </w:t>
      </w:r>
      <w:r w:rsidRPr="00CF1A70">
        <w:rPr>
          <w:rStyle w:val="StyleUnderline"/>
        </w:rPr>
        <w:t>The funding for the existing programs will continue, and the deadlines for meeting the law’s requirements will stand as they are</w:t>
      </w:r>
      <w:r w:rsidRPr="00CF1A70">
        <w:rPr>
          <w:sz w:val="16"/>
        </w:rPr>
        <w:t xml:space="preserve">. The reauthorization deadline is basically a reminder to lawmakers that they should look closely at the school lunch program and see what needs to be done. </w:t>
      </w:r>
      <w:r w:rsidRPr="00CF1A70">
        <w:rPr>
          <w:rStyle w:val="StyleUnderline"/>
        </w:rPr>
        <w:t>But both the SNA, and</w:t>
      </w:r>
      <w:r w:rsidRPr="00CF1A70">
        <w:rPr>
          <w:sz w:val="16"/>
        </w:rPr>
        <w:t xml:space="preserve"> the </w:t>
      </w:r>
      <w:r w:rsidRPr="00CF1A70">
        <w:rPr>
          <w:rStyle w:val="StyleUnderline"/>
        </w:rPr>
        <w:t xml:space="preserve">various </w:t>
      </w:r>
      <w:r w:rsidRPr="00CF1A70">
        <w:rPr>
          <w:rStyle w:val="StyleUnderline"/>
          <w:highlight w:val="yellow"/>
        </w:rPr>
        <w:t>food advocacy groups</w:t>
      </w:r>
      <w:r w:rsidRPr="00CF1A70">
        <w:rPr>
          <w:sz w:val="16"/>
        </w:rPr>
        <w:t xml:space="preserve"> I talked to, </w:t>
      </w:r>
      <w:r w:rsidRPr="00CF1A70">
        <w:rPr>
          <w:rStyle w:val="StyleUnderline"/>
          <w:highlight w:val="yellow"/>
        </w:rPr>
        <w:t>want</w:t>
      </w:r>
      <w:r w:rsidRPr="00CF1A70">
        <w:rPr>
          <w:rStyle w:val="StyleUnderline"/>
        </w:rPr>
        <w:t xml:space="preserve"> a </w:t>
      </w:r>
      <w:r w:rsidRPr="00CF1A70">
        <w:rPr>
          <w:rStyle w:val="StyleUnderline"/>
          <w:highlight w:val="yellow"/>
        </w:rPr>
        <w:t>reauthorization</w:t>
      </w:r>
      <w:r w:rsidRPr="00CF1A70">
        <w:rPr>
          <w:rStyle w:val="StyleUnderline"/>
        </w:rPr>
        <w:t xml:space="preserve">, and see it as </w:t>
      </w:r>
      <w:r w:rsidRPr="00CF1A70">
        <w:rPr>
          <w:rStyle w:val="StyleUnderline"/>
          <w:highlight w:val="yellow"/>
        </w:rPr>
        <w:t xml:space="preserve">an </w:t>
      </w:r>
      <w:r w:rsidRPr="00CF1A70">
        <w:rPr>
          <w:rStyle w:val="Emphasis"/>
          <w:highlight w:val="yellow"/>
        </w:rPr>
        <w:t>opportunity to increase funding</w:t>
      </w:r>
      <w:r w:rsidRPr="00CF1A70">
        <w:rPr>
          <w:sz w:val="16"/>
        </w:rPr>
        <w:t>. If this pinchpenny Congress doesn’t go for that — or does nothing, which is its favorite answer to all questions — then the law just stands as is.</w:t>
      </w:r>
    </w:p>
    <w:p w:rsidR="0047106C" w:rsidRDefault="0047106C" w:rsidP="007724A5"/>
    <w:p w:rsidR="00F152AA" w:rsidRPr="006A3D7D" w:rsidRDefault="00F152AA" w:rsidP="00F152AA">
      <w:pPr>
        <w:pStyle w:val="Heading4"/>
      </w:pPr>
      <w:r>
        <w:t xml:space="preserve">C/I---substantial means considerable </w:t>
      </w:r>
    </w:p>
    <w:p w:rsidR="00F152AA" w:rsidRPr="005B1E98" w:rsidRDefault="00F152AA" w:rsidP="00F152AA">
      <w:r w:rsidRPr="005B1E98">
        <w:rPr>
          <w:rStyle w:val="Style13ptBold"/>
        </w:rPr>
        <w:t>Prost 04</w:t>
      </w:r>
      <w:r w:rsidRPr="005B1E98">
        <w:t>, 6/18/2004, Committee for Fairly Traded Venezuelan Cement, Plaintiff-appellant, v. United States, Defendant-appellee, Andcemex Venezuela, S.a.c.a. ("vencemos"), Defendant-appellee, 372 F.3d 1284 (Fed. Cir. 2004), http://law.justia.com/cases/federal/appellate-courts/F3/372/1284/593395/</w:t>
      </w:r>
    </w:p>
    <w:p w:rsidR="00F152AA" w:rsidRPr="006A3D7D" w:rsidRDefault="00F152AA" w:rsidP="00F152AA">
      <w:pPr>
        <w:rPr>
          <w:sz w:val="20"/>
        </w:rPr>
      </w:pPr>
      <w:r>
        <w:rPr>
          <w:sz w:val="20"/>
        </w:rPr>
        <w:t xml:space="preserve">SAA = Statement of Administrative Action during the Uruguay Round </w:t>
      </w:r>
    </w:p>
    <w:p w:rsidR="00F152AA" w:rsidRPr="005B1E98" w:rsidRDefault="00F152AA" w:rsidP="00F152AA">
      <w:pPr>
        <w:rPr>
          <w:sz w:val="16"/>
        </w:rPr>
      </w:pPr>
      <w:r w:rsidRPr="005B1E98">
        <w:rPr>
          <w:sz w:val="16"/>
        </w:rPr>
        <w:t xml:space="preserve">The URAA and the SAA neither amend nor refine the language of § 1677(4)(C).  In fact, they merely suggest, without disqualifying other alternatives, </w:t>
      </w:r>
      <w:r w:rsidRPr="005B1E98">
        <w:rPr>
          <w:rStyle w:val="StyleUnderline"/>
        </w:rPr>
        <w:t>a</w:t>
      </w:r>
      <w:r w:rsidRPr="005B1E98">
        <w:rPr>
          <w:sz w:val="16"/>
        </w:rPr>
        <w:t xml:space="preserve"> “clearly higher/</w:t>
      </w:r>
      <w:r w:rsidRPr="005B1E98">
        <w:rPr>
          <w:rStyle w:val="StyleUnderline"/>
        </w:rPr>
        <w:t>substantial proportion” approach.  Indeed, the SAA specifically mentions that no “precise mathematical formula” or “‘benchmark’ proportion” is to</w:t>
      </w:r>
      <w:r w:rsidRPr="005B1E98">
        <w:rPr>
          <w:rStyle w:val="StyleUnderline"/>
          <w:sz w:val="20"/>
        </w:rPr>
        <w:t xml:space="preserve"> be used</w:t>
      </w:r>
      <w:r w:rsidRPr="005B1E98">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6A3D7D">
        <w:rPr>
          <w:rStyle w:val="StyleUnderline"/>
          <w:sz w:val="20"/>
          <w:highlight w:val="yellow"/>
        </w:rPr>
        <w:t xml:space="preserve">The word “substantial” </w:t>
      </w:r>
      <w:r w:rsidRPr="005B1E98">
        <w:rPr>
          <w:rStyle w:val="StyleUnderline"/>
          <w:sz w:val="20"/>
        </w:rPr>
        <w:t xml:space="preserve">generally </w:t>
      </w:r>
      <w:r w:rsidRPr="006A3D7D">
        <w:rPr>
          <w:rStyle w:val="StyleUnderline"/>
          <w:sz w:val="20"/>
          <w:highlight w:val="yellow"/>
        </w:rPr>
        <w:t>means “</w:t>
      </w:r>
      <w:r w:rsidRPr="006A3D7D">
        <w:rPr>
          <w:rStyle w:val="Emphasis"/>
          <w:sz w:val="20"/>
          <w:highlight w:val="yellow"/>
        </w:rPr>
        <w:t xml:space="preserve">considerable </w:t>
      </w:r>
      <w:r w:rsidRPr="005B1E98">
        <w:rPr>
          <w:rStyle w:val="Emphasis"/>
          <w:sz w:val="20"/>
        </w:rPr>
        <w:t>in amount, value or worth</w:t>
      </w:r>
      <w:r w:rsidRPr="005B1E98">
        <w:rPr>
          <w:sz w:val="16"/>
        </w:rPr>
        <w:t>.”  Webster’s Third New International Dictionary 2280 (1993</w:t>
      </w:r>
      <w:r w:rsidRPr="006A3D7D">
        <w:rPr>
          <w:rStyle w:val="StyleUnderline"/>
          <w:sz w:val="20"/>
        </w:rPr>
        <w:t xml:space="preserve">).  </w:t>
      </w:r>
      <w:r w:rsidRPr="006A3D7D">
        <w:rPr>
          <w:rStyle w:val="StyleUnderline"/>
          <w:sz w:val="20"/>
          <w:highlight w:val="yellow"/>
        </w:rPr>
        <w:t xml:space="preserve">It </w:t>
      </w:r>
      <w:r w:rsidRPr="006A3D7D">
        <w:rPr>
          <w:rStyle w:val="Emphasis"/>
          <w:sz w:val="20"/>
          <w:highlight w:val="yellow"/>
        </w:rPr>
        <w:t>does not imply</w:t>
      </w:r>
      <w:r w:rsidRPr="006A3D7D">
        <w:rPr>
          <w:rStyle w:val="StyleUnderline"/>
          <w:sz w:val="20"/>
          <w:highlight w:val="yellow"/>
        </w:rPr>
        <w:t xml:space="preserve"> a specific number </w:t>
      </w:r>
      <w:r w:rsidRPr="005B1E98">
        <w:rPr>
          <w:rStyle w:val="StyleUnderline"/>
          <w:sz w:val="20"/>
        </w:rPr>
        <w:t>or cut-off.</w:t>
      </w:r>
      <w:r w:rsidRPr="006A3D7D">
        <w:rPr>
          <w:rStyle w:val="StyleUnderline"/>
          <w:sz w:val="20"/>
        </w:rPr>
        <w:t xml:space="preserve">  What may be substantial in one situation may not be in another situation</w:t>
      </w:r>
      <w:r w:rsidRPr="005B1E98">
        <w:rPr>
          <w:sz w:val="16"/>
        </w:rPr>
        <w:t xml:space="preserve">.  </w:t>
      </w:r>
      <w:r w:rsidRPr="006A3D7D">
        <w:rPr>
          <w:rStyle w:val="StyleUnderline"/>
          <w:sz w:val="20"/>
        </w:rPr>
        <w:t xml:space="preserve">The very breadth of the term “substantial” </w:t>
      </w:r>
      <w:r w:rsidRPr="005B1E98">
        <w:rPr>
          <w:sz w:val="16"/>
        </w:rPr>
        <w:t xml:space="preserve">undercuts the CFTVC’s argument that Congress spoke clearly in establishing a standard for the Commission’s regional antidumping and countervailing duty analyses.  It therefore </w:t>
      </w:r>
      <w:r w:rsidRPr="006A3D7D">
        <w:rPr>
          <w:rStyle w:val="StyleUnderline"/>
          <w:sz w:val="20"/>
        </w:rPr>
        <w:t>supports the conclusion that the Commission is owed deference in its interpretation</w:t>
      </w:r>
      <w:r w:rsidRPr="005B1E98">
        <w:rPr>
          <w:sz w:val="16"/>
        </w:rPr>
        <w:t xml:space="preserve"> of “substantial proportion.”  The Commission clearly embarked on its analysis having been given considerable leeway to interpret a particularly broad term.</w:t>
      </w:r>
    </w:p>
    <w:p w:rsidR="007724A5" w:rsidRDefault="007724A5" w:rsidP="007724A5"/>
    <w:p w:rsidR="00E768C3" w:rsidRDefault="00E768C3" w:rsidP="00E768C3">
      <w:pPr>
        <w:pStyle w:val="Heading4"/>
      </w:pPr>
      <w:r>
        <w:t>Vote Aff:</w:t>
      </w:r>
    </w:p>
    <w:p w:rsidR="00E768C3" w:rsidRDefault="00E768C3" w:rsidP="007724A5"/>
    <w:p w:rsidR="007724A5" w:rsidRDefault="00F152AA" w:rsidP="00E768C3">
      <w:pPr>
        <w:pStyle w:val="Heading4"/>
        <w:numPr>
          <w:ilvl w:val="0"/>
          <w:numId w:val="16"/>
        </w:numPr>
      </w:pPr>
      <w:r>
        <w:t>Reject quantitative definitions---they’re ar</w:t>
      </w:r>
      <w:r w:rsidR="007724A5">
        <w:t>bitrary---</w:t>
      </w:r>
      <w:r w:rsidR="00E768C3">
        <w:t>the neg will</w:t>
      </w:r>
      <w:r w:rsidR="007724A5">
        <w:t xml:space="preserve"> always shift goal posts to ensure </w:t>
      </w:r>
      <w:r w:rsidR="00E768C3">
        <w:t>the best links</w:t>
      </w:r>
    </w:p>
    <w:p w:rsidR="007724A5" w:rsidRDefault="007724A5" w:rsidP="007724A5"/>
    <w:p w:rsidR="007724A5" w:rsidRDefault="007724A5" w:rsidP="00E768C3">
      <w:pPr>
        <w:pStyle w:val="Heading4"/>
        <w:numPr>
          <w:ilvl w:val="0"/>
          <w:numId w:val="16"/>
        </w:numPr>
      </w:pPr>
      <w:r>
        <w:t>Destroys aff ground---</w:t>
      </w:r>
      <w:r w:rsidR="00E768C3">
        <w:t xml:space="preserve">locks </w:t>
      </w:r>
      <w:r>
        <w:t xml:space="preserve">affs </w:t>
      </w:r>
      <w:r w:rsidR="00E768C3">
        <w:t>into the largest changes which</w:t>
      </w:r>
      <w:r>
        <w:t xml:space="preserve"> aren’t feasible---</w:t>
      </w:r>
      <w:r w:rsidR="00E768C3">
        <w:t xml:space="preserve">collapses mechanism innovation, that’s the </w:t>
      </w:r>
      <w:r>
        <w:t xml:space="preserve">best internal link to education especially at </w:t>
      </w:r>
      <w:r w:rsidR="00E768C3">
        <w:t xml:space="preserve">the </w:t>
      </w:r>
      <w:r>
        <w:t>beginning of the year</w:t>
      </w:r>
    </w:p>
    <w:p w:rsidR="007724A5" w:rsidRDefault="007724A5" w:rsidP="007724A5"/>
    <w:p w:rsidR="007724A5" w:rsidRDefault="007724A5" w:rsidP="00E768C3">
      <w:pPr>
        <w:pStyle w:val="Heading4"/>
        <w:numPr>
          <w:ilvl w:val="0"/>
          <w:numId w:val="16"/>
        </w:numPr>
      </w:pPr>
      <w:r>
        <w:t>Literature and clear solvency advocates checks small aff proliferation</w:t>
      </w:r>
    </w:p>
    <w:p w:rsidR="007724A5" w:rsidRDefault="007724A5" w:rsidP="007724A5"/>
    <w:p w:rsidR="007724A5" w:rsidRPr="006E2E39" w:rsidRDefault="007724A5" w:rsidP="00E768C3">
      <w:pPr>
        <w:pStyle w:val="Heading4"/>
        <w:numPr>
          <w:ilvl w:val="0"/>
          <w:numId w:val="16"/>
        </w:numPr>
      </w:pPr>
      <w:r>
        <w:t xml:space="preserve">Reasonability---competing interpretations over incentivizes going for T </w:t>
      </w:r>
    </w:p>
    <w:p w:rsidR="007724A5" w:rsidRDefault="007724A5" w:rsidP="007724A5"/>
    <w:p w:rsidR="007724A5" w:rsidRDefault="007724A5" w:rsidP="007724A5"/>
    <w:p w:rsidR="007724A5" w:rsidRPr="007724A5" w:rsidRDefault="007724A5" w:rsidP="007724A5"/>
    <w:p w:rsidR="001A6A06" w:rsidRDefault="001A6A06" w:rsidP="001A6A06">
      <w:pPr>
        <w:pStyle w:val="Heading3"/>
      </w:pPr>
      <w:r w:rsidRPr="001A6A06">
        <w:t>CI—Large Amount</w:t>
      </w:r>
    </w:p>
    <w:p w:rsidR="00914F9F" w:rsidRPr="00914F9F" w:rsidRDefault="00914F9F" w:rsidP="00914F9F"/>
    <w:p w:rsidR="00F152AA" w:rsidRDefault="00F152AA" w:rsidP="00F152AA">
      <w:pPr>
        <w:pStyle w:val="Heading4"/>
      </w:pPr>
      <w:r>
        <w:t>Counter-interpretation---substantial means a large amount</w:t>
      </w:r>
    </w:p>
    <w:p w:rsidR="00F152AA" w:rsidRPr="001A6A06" w:rsidRDefault="00F152AA" w:rsidP="00F152AA">
      <w:pPr>
        <w:rPr>
          <w:rStyle w:val="Style13ptBold"/>
        </w:rPr>
      </w:pPr>
      <w:r w:rsidRPr="001A6A06">
        <w:rPr>
          <w:rStyle w:val="Style13ptBold"/>
        </w:rPr>
        <w:t>Dictionary.com 12</w:t>
      </w:r>
    </w:p>
    <w:p w:rsidR="00F152AA" w:rsidRPr="001A6A06" w:rsidRDefault="00F152AA" w:rsidP="00F152AA">
      <w:pPr>
        <w:rPr>
          <w:sz w:val="14"/>
        </w:rPr>
      </w:pPr>
      <w:r w:rsidRPr="001A6A06">
        <w:rPr>
          <w:rStyle w:val="StyleUnderline"/>
          <w:highlight w:val="yellow"/>
        </w:rPr>
        <w:t>sub·stan·tial</w:t>
      </w:r>
      <w:r w:rsidRPr="001A6A06">
        <w:rPr>
          <w:sz w:val="14"/>
        </w:rPr>
        <w:t>  [suhb-stan-shuhl]  Show IPA adjective 1</w:t>
      </w:r>
      <w:r w:rsidRPr="001A6A06">
        <w:rPr>
          <w:rStyle w:val="StyleUnderline"/>
        </w:rPr>
        <w:t xml:space="preserve">. </w:t>
      </w:r>
      <w:r w:rsidRPr="001A6A06">
        <w:rPr>
          <w:rStyle w:val="StyleUnderline"/>
          <w:highlight w:val="yellow"/>
        </w:rPr>
        <w:t>of</w:t>
      </w:r>
      <w:r w:rsidRPr="001A6A06">
        <w:rPr>
          <w:rStyle w:val="StyleUnderline"/>
        </w:rPr>
        <w:t xml:space="preserve"> ample or </w:t>
      </w:r>
      <w:r w:rsidRPr="001A6A06">
        <w:rPr>
          <w:rStyle w:val="StyleUnderline"/>
          <w:highlight w:val="yellow"/>
        </w:rPr>
        <w:t>considerable amount</w:t>
      </w:r>
      <w:r w:rsidRPr="001A6A06">
        <w:rPr>
          <w:sz w:val="14"/>
        </w:rPr>
        <w:t xml:space="preserve">, quantity, size, etc.: a substantial sum of money. </w:t>
      </w:r>
    </w:p>
    <w:p w:rsidR="001A6A06" w:rsidRPr="001A6A06" w:rsidRDefault="001A6A06" w:rsidP="001A6A06"/>
    <w:p w:rsidR="001A6A06" w:rsidRPr="001A6A06" w:rsidRDefault="001A6A06" w:rsidP="001A6A06">
      <w:pPr>
        <w:pStyle w:val="Heading3"/>
      </w:pPr>
      <w:r w:rsidRPr="001A6A06">
        <w:t>CI—Qualitative</w:t>
      </w:r>
    </w:p>
    <w:p w:rsidR="001A6A06" w:rsidRPr="001A6A06" w:rsidRDefault="001A6A06" w:rsidP="001A6A06"/>
    <w:p w:rsidR="001A6A06" w:rsidRPr="001A6A06" w:rsidRDefault="001A6A06" w:rsidP="001A6A06">
      <w:pPr>
        <w:pStyle w:val="Heading4"/>
      </w:pPr>
      <w:r w:rsidRPr="001A6A06">
        <w:t xml:space="preserve">Substantial is qualitative not quantitative </w:t>
      </w:r>
    </w:p>
    <w:p w:rsidR="001A6A06" w:rsidRPr="001A6A06" w:rsidRDefault="001A6A06" w:rsidP="001A6A06">
      <w:r w:rsidRPr="001A6A06">
        <w:t xml:space="preserve">H. Beau </w:t>
      </w:r>
      <w:r w:rsidRPr="001A6A06">
        <w:rPr>
          <w:rStyle w:val="Style13ptBold"/>
        </w:rPr>
        <w:t>Baez 6</w:t>
      </w:r>
      <w:r w:rsidRPr="001A6A06">
        <w:t xml:space="preserve">, Assistant Professor of Law, Liberty University School of Law, Seattle University Law Review Spring, 2006 29 Seattle Univ. L. R. 581 </w:t>
      </w:r>
    </w:p>
    <w:p w:rsidR="001A6A06" w:rsidRPr="001A6A06" w:rsidRDefault="001A6A06" w:rsidP="001A6A06">
      <w:pPr>
        <w:rPr>
          <w:sz w:val="10"/>
        </w:rPr>
      </w:pPr>
      <w:r w:rsidRPr="001A6A06">
        <w:rPr>
          <w:sz w:val="10"/>
        </w:rPr>
        <w:t xml:space="preserve">The Supreme Court has interpreted the Commerce Clause to prohibit state actions that discriminate against or unduly burden interstate commerce as part of its Negative Commerce Clause jurisprudence. n83 A state's attempt to tax out-of-state companies may be seen as such a burden if, among other things, n84 the tax is applied to a company that does not have "substantial nexus" with the taxing state. n85 Expressly rejecting a facts-and-circumstances test, which would have weighed various factors, the Quill Court instead created a simple bright-line test measured by physical presence in a state. n86 The Quill Court held that the physical presence of a company in the taxing state satisfies the Commerce Clause substantial nexus test. n87 </w:t>
      </w:r>
      <w:r w:rsidRPr="001A6A06">
        <w:rPr>
          <w:u w:val="single"/>
        </w:rPr>
        <w:t>Unfortunately, lower courts have found some ambiguity</w:t>
      </w:r>
      <w:r w:rsidRPr="001A6A06">
        <w:rPr>
          <w:sz w:val="10"/>
        </w:rPr>
        <w:t xml:space="preserve"> in Quill, </w:t>
      </w:r>
      <w:r w:rsidRPr="001A6A06">
        <w:rPr>
          <w:u w:val="single"/>
        </w:rPr>
        <w:t>and have struggled to apply the bright-line to the facts of real cases</w:t>
      </w:r>
      <w:r w:rsidRPr="001A6A06">
        <w:rPr>
          <w:sz w:val="10"/>
        </w:rPr>
        <w:t>. n88</w:t>
      </w:r>
      <w:r w:rsidRPr="001A6A06">
        <w:rPr>
          <w:sz w:val="12"/>
        </w:rPr>
        <w:t>¶</w:t>
      </w:r>
      <w:r w:rsidRPr="001A6A06">
        <w:rPr>
          <w:sz w:val="10"/>
        </w:rPr>
        <w:t xml:space="preserve"> Admittedly, part of </w:t>
      </w:r>
      <w:r w:rsidRPr="001A6A06">
        <w:rPr>
          <w:u w:val="single"/>
        </w:rPr>
        <w:t xml:space="preserve">the </w:t>
      </w:r>
      <w:r w:rsidRPr="001A6A06">
        <w:rPr>
          <w:highlight w:val="yellow"/>
          <w:u w:val="single"/>
        </w:rPr>
        <w:t xml:space="preserve">confusion lies in </w:t>
      </w:r>
      <w:r w:rsidRPr="001A6A06">
        <w:rPr>
          <w:u w:val="single"/>
        </w:rPr>
        <w:t xml:space="preserve">the name given to the legal requirement by the Quill Court: "substantial nexus." </w:t>
      </w:r>
      <w:r w:rsidRPr="001A6A06">
        <w:rPr>
          <w:highlight w:val="yellow"/>
          <w:u w:val="single"/>
        </w:rPr>
        <w:t xml:space="preserve">The word "substantial" </w:t>
      </w:r>
      <w:r w:rsidRPr="001A6A06">
        <w:rPr>
          <w:u w:val="single"/>
        </w:rPr>
        <w:t>connotes weighing of factors</w:t>
      </w:r>
      <w:r w:rsidRPr="001A6A06">
        <w:rPr>
          <w:sz w:val="10"/>
        </w:rPr>
        <w:t>, yet the Court attached a bright-line test to the legal phrase "substantial nexus." Thus, we have a legal requirement that requires a company to have substantial nexus with a state before it can be subjected to a state's regulatory use tax authority, but [*596] that legal requirement is determined by a bright-line physical presence test.</w:t>
      </w:r>
      <w:r w:rsidRPr="001A6A06">
        <w:rPr>
          <w:sz w:val="12"/>
        </w:rPr>
        <w:t>¶</w:t>
      </w:r>
      <w:r w:rsidRPr="001A6A06">
        <w:rPr>
          <w:sz w:val="10"/>
        </w:rPr>
        <w:t xml:space="preserve"> </w:t>
      </w:r>
      <w:r w:rsidRPr="001A6A06">
        <w:rPr>
          <w:highlight w:val="yellow"/>
          <w:u w:val="single"/>
        </w:rPr>
        <w:t>This lack of clarity</w:t>
      </w:r>
      <w:r w:rsidRPr="001A6A06">
        <w:rPr>
          <w:u w:val="single"/>
        </w:rPr>
        <w:t xml:space="preserve"> by the Court </w:t>
      </w:r>
      <w:r w:rsidRPr="001A6A06">
        <w:rPr>
          <w:highlight w:val="yellow"/>
          <w:u w:val="single"/>
        </w:rPr>
        <w:t>is not new</w:t>
      </w:r>
      <w:r w:rsidRPr="001A6A06">
        <w:rPr>
          <w:u w:val="single"/>
        </w:rPr>
        <w:t>. Before Quill, the Court referred to the "substantial nexus" n89 requirement alternatively as "sufficient nexus," n90 "sufficiently connected," n91 "requisite nexus," n92 "necessary basis," n93 "sufficient relation," n94 "necessary nexus," n95 "adequate nexus," n96 "obvious nexus," n97 "clear and sufficient nexus</w:t>
      </w:r>
      <w:r w:rsidRPr="001A6A06">
        <w:rPr>
          <w:sz w:val="10"/>
        </w:rPr>
        <w:t xml:space="preserve">," n98 and Chief Justice Rehnquist's colorful phrase "nexus aplenty." n99 However, even after Quill -- the seminal nexus case of the last twenty-five years -- </w:t>
      </w:r>
      <w:r w:rsidRPr="001A6A06">
        <w:rPr>
          <w:highlight w:val="yellow"/>
          <w:u w:val="single"/>
        </w:rPr>
        <w:t xml:space="preserve">the Court has continued describing </w:t>
      </w:r>
      <w:r w:rsidRPr="001A6A06">
        <w:rPr>
          <w:u w:val="single"/>
        </w:rPr>
        <w:t>the "</w:t>
      </w:r>
      <w:r w:rsidRPr="001A6A06">
        <w:rPr>
          <w:highlight w:val="yellow"/>
          <w:u w:val="single"/>
        </w:rPr>
        <w:t xml:space="preserve">substantial </w:t>
      </w:r>
      <w:r w:rsidRPr="001A6A06">
        <w:rPr>
          <w:u w:val="single"/>
        </w:rPr>
        <w:t xml:space="preserve">nexus" requirement </w:t>
      </w:r>
      <w:r w:rsidRPr="001A6A06">
        <w:rPr>
          <w:highlight w:val="yellow"/>
          <w:u w:val="single"/>
        </w:rPr>
        <w:t>in different ways</w:t>
      </w:r>
      <w:r w:rsidRPr="001A6A06">
        <w:rPr>
          <w:sz w:val="10"/>
        </w:rPr>
        <w:t>, such as "adequate nexus," n100 "sufficient nexus," n101 "Commerce Clause nexus," n102 "nexus aplenty" n103 (this phrase is apparently just too good for the Justices to let go), and, in one of its most recent state tax cases, "minimal connection." n104 These interchangeable phrases suggest that the phrase "substantial nexus" in Quill is the Court's shorthand for Commerce Clause nexus -- any substantive meaning of the phrase must be found in the case law and not in the phrase "substantial nexus" itself. n105</w:t>
      </w:r>
      <w:r w:rsidRPr="001A6A06">
        <w:rPr>
          <w:sz w:val="12"/>
        </w:rPr>
        <w:t>¶</w:t>
      </w:r>
      <w:r w:rsidRPr="001A6A06">
        <w:rPr>
          <w:sz w:val="10"/>
        </w:rPr>
        <w:t xml:space="preserve"> </w:t>
      </w:r>
      <w:r w:rsidRPr="001A6A06">
        <w:rPr>
          <w:sz w:val="10"/>
          <w:szCs w:val="16"/>
        </w:rPr>
        <w:t>The Quill Court likewise lacks clarity when it describes the due process minimum contacts test: "due process nexus analysis requires that we ask whether an individual's connections with a State are substantial enough to legitimate the State's exercise of power over him." n106 It is curious that the Court describes the due process minimum contacts test as requiring substantial contacts; n107 a threshold that is easily met by most companies doing business across state lines. Since the Court spent so [*597] much time explaining that there are two separate nexus tests, it would be odd for the Court to then define them similarly.</w:t>
      </w:r>
      <w:r w:rsidRPr="001A6A06">
        <w:rPr>
          <w:sz w:val="12"/>
        </w:rPr>
        <w:t>¶</w:t>
      </w:r>
      <w:r w:rsidRPr="001A6A06">
        <w:rPr>
          <w:sz w:val="10"/>
        </w:rPr>
        <w:t xml:space="preserve"> </w:t>
      </w:r>
      <w:r w:rsidRPr="001A6A06">
        <w:rPr>
          <w:u w:val="single"/>
        </w:rPr>
        <w:t xml:space="preserve">Examining </w:t>
      </w:r>
      <w:r w:rsidRPr="001A6A06">
        <w:rPr>
          <w:highlight w:val="yellow"/>
          <w:u w:val="single"/>
        </w:rPr>
        <w:t xml:space="preserve">the legal definition of "substantial" provides </w:t>
      </w:r>
      <w:r w:rsidRPr="001A6A06">
        <w:rPr>
          <w:u w:val="single"/>
        </w:rPr>
        <w:t xml:space="preserve">some </w:t>
      </w:r>
      <w:r w:rsidRPr="001A6A06">
        <w:rPr>
          <w:highlight w:val="yellow"/>
          <w:u w:val="single"/>
        </w:rPr>
        <w:t xml:space="preserve">light </w:t>
      </w:r>
      <w:r w:rsidRPr="001A6A06">
        <w:rPr>
          <w:u w:val="single"/>
        </w:rPr>
        <w:t>as to what the Court meant by "substantial nexus"</w:t>
      </w:r>
      <w:r w:rsidRPr="001A6A06">
        <w:rPr>
          <w:sz w:val="10"/>
        </w:rPr>
        <w:t xml:space="preserve"> in Quill. </w:t>
      </w:r>
      <w:r w:rsidRPr="001A6A06">
        <w:rPr>
          <w:highlight w:val="yellow"/>
          <w:u w:val="single"/>
        </w:rPr>
        <w:t>Black's Law</w:t>
      </w:r>
      <w:r w:rsidRPr="001A6A06">
        <w:rPr>
          <w:u w:val="single"/>
        </w:rPr>
        <w:t xml:space="preserve"> </w:t>
      </w:r>
      <w:r w:rsidRPr="001A6A06">
        <w:rPr>
          <w:sz w:val="10"/>
        </w:rPr>
        <w:t xml:space="preserve">Dictionary </w:t>
      </w:r>
      <w:r w:rsidRPr="001A6A06">
        <w:rPr>
          <w:u w:val="single"/>
        </w:rPr>
        <w:t>defines "substantial" as "belonging to substance; actually existing; real; not seeming or imaginary; not illusive; solid; true; veritable."</w:t>
      </w:r>
      <w:r w:rsidRPr="001A6A06">
        <w:rPr>
          <w:sz w:val="10"/>
        </w:rPr>
        <w:t xml:space="preserve"> n108 </w:t>
      </w:r>
      <w:r w:rsidRPr="001A6A06">
        <w:rPr>
          <w:u w:val="single"/>
        </w:rPr>
        <w:t xml:space="preserve">This </w:t>
      </w:r>
      <w:r w:rsidRPr="001A6A06">
        <w:rPr>
          <w:sz w:val="10"/>
        </w:rPr>
        <w:t xml:space="preserve">legal </w:t>
      </w:r>
      <w:r w:rsidRPr="001A6A06">
        <w:rPr>
          <w:u w:val="single"/>
        </w:rPr>
        <w:t xml:space="preserve">definition </w:t>
      </w:r>
      <w:r w:rsidRPr="001A6A06">
        <w:rPr>
          <w:highlight w:val="yellow"/>
          <w:u w:val="single"/>
        </w:rPr>
        <w:t>furnishes evidence that "</w:t>
      </w:r>
      <w:r w:rsidRPr="001A6A06">
        <w:rPr>
          <w:b/>
          <w:highlight w:val="yellow"/>
          <w:u w:val="single"/>
          <w:bdr w:val="single" w:sz="4" w:space="0" w:color="auto"/>
        </w:rPr>
        <w:t xml:space="preserve">substantial" is defined qualitatively, not quantitatively. </w:t>
      </w:r>
      <w:r w:rsidRPr="001A6A06">
        <w:rPr>
          <w:u w:val="single"/>
        </w:rPr>
        <w:t>Webster's</w:t>
      </w:r>
      <w:r w:rsidRPr="001A6A06">
        <w:rPr>
          <w:sz w:val="10"/>
        </w:rPr>
        <w:t xml:space="preserve"> Dictionary </w:t>
      </w:r>
      <w:r w:rsidRPr="001A6A06">
        <w:rPr>
          <w:u w:val="single"/>
        </w:rPr>
        <w:t>also lends support to the qualitative nature of the word by defining its primary meaning as "consisting of or relating to substance</w:t>
      </w:r>
      <w:r w:rsidRPr="001A6A06">
        <w:rPr>
          <w:sz w:val="10"/>
        </w:rPr>
        <w:t xml:space="preserve">; not imaginary or illusory: real, true; important, essential," n109 </w:t>
      </w:r>
      <w:r w:rsidRPr="001A6A06">
        <w:rPr>
          <w:highlight w:val="yellow"/>
          <w:u w:val="single"/>
        </w:rPr>
        <w:t xml:space="preserve">while </w:t>
      </w:r>
      <w:r w:rsidRPr="001A6A06">
        <w:rPr>
          <w:u w:val="single"/>
        </w:rPr>
        <w:t>the notion of "</w:t>
      </w:r>
      <w:r w:rsidRPr="001A6A06">
        <w:rPr>
          <w:highlight w:val="yellow"/>
          <w:u w:val="single"/>
        </w:rPr>
        <w:t>substantial" as quantitative is</w:t>
      </w:r>
      <w:r w:rsidRPr="001A6A06">
        <w:rPr>
          <w:u w:val="single"/>
        </w:rPr>
        <w:t xml:space="preserve"> relegated to a </w:t>
      </w:r>
      <w:r w:rsidRPr="001A6A06">
        <w:rPr>
          <w:highlight w:val="yellow"/>
          <w:u w:val="single"/>
        </w:rPr>
        <w:t xml:space="preserve">secondary </w:t>
      </w:r>
      <w:r w:rsidRPr="001A6A06">
        <w:rPr>
          <w:u w:val="single"/>
        </w:rPr>
        <w:t>meaning</w:t>
      </w:r>
      <w:r w:rsidRPr="001A6A06">
        <w:rPr>
          <w:sz w:val="10"/>
        </w:rPr>
        <w:t xml:space="preserve"> of the word. n110</w:t>
      </w:r>
      <w:r w:rsidRPr="001A6A06">
        <w:rPr>
          <w:sz w:val="12"/>
        </w:rPr>
        <w:t>¶</w:t>
      </w:r>
      <w:r w:rsidRPr="001A6A06">
        <w:rPr>
          <w:sz w:val="10"/>
        </w:rPr>
        <w:t xml:space="preserve"> </w:t>
      </w:r>
      <w:r w:rsidRPr="001A6A06">
        <w:rPr>
          <w:sz w:val="10"/>
          <w:szCs w:val="16"/>
        </w:rPr>
        <w:t>Though the phrase "substantial nexus" is amorphous, Quill does attempt to provide guidance for Commerce Clause nexus by providing a test that examines qualitative contacts that do and do not create nexus (i.e., the bright-line physical presence test). Specifically, the Quill Court eliminates any room for quantitative nexus speculation because its bright-line test "firmly establishes the boundaries of legitimate state authority." n111 A "substantial nexus" test that looks primarily at the quantity of contacts ignores both the bright-line test as well as the Court's explicit rejection of "tests with more contextual balancing inquiries." n112 The Court was aware that it could have established a facts-and-circumstances test (i.e., a test where the number of contacts is weighed); however, the Court refused to do so after extensive discussion of the topic. n113 A brightline test is "artificial at its edges . . . [however] this artificiality . . . is more than offset by the benefits of a clear rule." n114 If a business has contacts that fall on one side of the state line they have nexus, while if their contacts are on the other side of the state line there is no nexus. This is a simple and clear rule that does not take into account factors like the number of contacts or the type of contact (e.g., solicitation, technical support, or training).</w:t>
      </w:r>
      <w:r w:rsidRPr="001A6A06">
        <w:rPr>
          <w:sz w:val="12"/>
          <w:szCs w:val="16"/>
        </w:rPr>
        <w:t>¶</w:t>
      </w:r>
      <w:r w:rsidRPr="001A6A06">
        <w:rPr>
          <w:sz w:val="10"/>
          <w:szCs w:val="16"/>
        </w:rPr>
        <w:t xml:space="preserve"> </w:t>
      </w:r>
      <w:r w:rsidRPr="001A6A06">
        <w:rPr>
          <w:u w:val="single"/>
        </w:rPr>
        <w:t xml:space="preserve">Given the history and context of the phrases used by the Court to describe Commerce Clause nexus, </w:t>
      </w:r>
      <w:r w:rsidRPr="001A6A06">
        <w:rPr>
          <w:highlight w:val="yellow"/>
          <w:u w:val="single"/>
        </w:rPr>
        <w:t>it is useless to try to discern any</w:t>
      </w:r>
      <w:r w:rsidRPr="001A6A06">
        <w:rPr>
          <w:u w:val="single"/>
        </w:rPr>
        <w:t xml:space="preserve"> substantive </w:t>
      </w:r>
      <w:r w:rsidRPr="001A6A06">
        <w:rPr>
          <w:highlight w:val="yellow"/>
          <w:u w:val="single"/>
        </w:rPr>
        <w:t xml:space="preserve">meaning from </w:t>
      </w:r>
      <w:r w:rsidRPr="001A6A06">
        <w:rPr>
          <w:u w:val="single"/>
        </w:rPr>
        <w:t>the phrases "</w:t>
      </w:r>
      <w:r w:rsidRPr="001A6A06">
        <w:rPr>
          <w:highlight w:val="yellow"/>
          <w:u w:val="single"/>
        </w:rPr>
        <w:t xml:space="preserve">substantial </w:t>
      </w:r>
      <w:r w:rsidRPr="001A6A06">
        <w:rPr>
          <w:u w:val="single"/>
        </w:rPr>
        <w:t>nexus,"</w:t>
      </w:r>
      <w:r w:rsidRPr="001A6A06">
        <w:rPr>
          <w:sz w:val="10"/>
        </w:rPr>
        <w:t xml:space="preserve"> "sufficient nexus," or "nexus aplenty" themselves. Should state tax jurisdiction debates be relegated to a tit-for-tat where those that want to avoid nexus [*598] use the phrase "substantial nexus" while those wanting to create nexus rely on the phrases "sufficient nexus" or "minimal contacts?" </w:t>
      </w:r>
      <w:r w:rsidRPr="001A6A06">
        <w:rPr>
          <w:b/>
          <w:highlight w:val="yellow"/>
          <w:u w:val="single"/>
          <w:bdr w:val="single" w:sz="4" w:space="0" w:color="auto"/>
        </w:rPr>
        <w:t>Only</w:t>
      </w:r>
      <w:r w:rsidRPr="001A6A06">
        <w:rPr>
          <w:b/>
          <w:u w:val="single"/>
          <w:bdr w:val="single" w:sz="4" w:space="0" w:color="auto"/>
        </w:rPr>
        <w:t xml:space="preserve"> modern-day </w:t>
      </w:r>
      <w:r w:rsidRPr="001A6A06">
        <w:rPr>
          <w:b/>
          <w:highlight w:val="yellow"/>
          <w:u w:val="single"/>
          <w:bdr w:val="single" w:sz="4" w:space="0" w:color="auto"/>
        </w:rPr>
        <w:t>sophists</w:t>
      </w:r>
      <w:r w:rsidRPr="001A6A06">
        <w:rPr>
          <w:b/>
          <w:u w:val="single"/>
          <w:bdr w:val="single" w:sz="4" w:space="0" w:color="auto"/>
        </w:rPr>
        <w:t xml:space="preserve"> n115 </w:t>
      </w:r>
      <w:r w:rsidRPr="001A6A06">
        <w:rPr>
          <w:b/>
          <w:highlight w:val="yellow"/>
          <w:u w:val="single"/>
          <w:bdr w:val="single" w:sz="4" w:space="0" w:color="auto"/>
        </w:rPr>
        <w:t>would</w:t>
      </w:r>
      <w:r w:rsidRPr="001A6A06">
        <w:rPr>
          <w:b/>
          <w:u w:val="single"/>
          <w:bdr w:val="single" w:sz="4" w:space="0" w:color="auto"/>
        </w:rPr>
        <w:t xml:space="preserve"> seriously </w:t>
      </w:r>
      <w:r w:rsidRPr="001A6A06">
        <w:rPr>
          <w:b/>
          <w:highlight w:val="yellow"/>
          <w:u w:val="single"/>
          <w:bdr w:val="single" w:sz="4" w:space="0" w:color="auto"/>
        </w:rPr>
        <w:t>contend</w:t>
      </w:r>
      <w:r w:rsidRPr="001A6A06">
        <w:rPr>
          <w:b/>
          <w:u w:val="single"/>
          <w:bdr w:val="single" w:sz="4" w:space="0" w:color="auto"/>
        </w:rPr>
        <w:t xml:space="preserve"> that </w:t>
      </w:r>
      <w:r w:rsidRPr="001A6A06">
        <w:rPr>
          <w:b/>
          <w:highlight w:val="yellow"/>
          <w:u w:val="single"/>
          <w:bdr w:val="single" w:sz="4" w:space="0" w:color="auto"/>
        </w:rPr>
        <w:t>such debate would be useful.</w:t>
      </w:r>
      <w:r w:rsidRPr="001A6A06">
        <w:rPr>
          <w:sz w:val="10"/>
        </w:rPr>
        <w:t xml:space="preserve"> n116 In the end it is case law that animates the concept of Commerce Clause nexus; out-of-context discussions</w:t>
      </w:r>
    </w:p>
    <w:p w:rsidR="001A6A06" w:rsidRPr="001A6A06" w:rsidRDefault="001A6A06" w:rsidP="001A6A06">
      <w:pPr>
        <w:pStyle w:val="Heading3"/>
      </w:pPr>
      <w:r w:rsidRPr="001A6A06">
        <w:t>Reasonability</w:t>
      </w:r>
    </w:p>
    <w:p w:rsidR="001A6A06" w:rsidRPr="001A6A06" w:rsidRDefault="001A6A06" w:rsidP="001A6A06"/>
    <w:p w:rsidR="001A6A06" w:rsidRPr="001A6A06" w:rsidRDefault="001A6A06" w:rsidP="003219AD">
      <w:pPr>
        <w:pStyle w:val="Heading4"/>
        <w:rPr>
          <w:rFonts w:eastAsia="Times New Roman"/>
        </w:rPr>
      </w:pPr>
      <w:r w:rsidRPr="001A6A06">
        <w:rPr>
          <w:rFonts w:eastAsia="Times New Roman"/>
          <w:u w:val="single"/>
        </w:rPr>
        <w:t>Reasonability</w:t>
      </w:r>
      <w:r w:rsidRPr="001A6A06">
        <w:rPr>
          <w:rFonts w:eastAsia="Times New Roman"/>
        </w:rPr>
        <w:t xml:space="preserve"> is uniquely applicable to determining whether an aff is substantial</w:t>
      </w:r>
    </w:p>
    <w:p w:rsidR="001A6A06" w:rsidRPr="001A6A06" w:rsidRDefault="001A6A06" w:rsidP="001A6A06">
      <w:r w:rsidRPr="001A6A06">
        <w:t xml:space="preserve">Linda </w:t>
      </w:r>
      <w:r w:rsidRPr="001A6A06">
        <w:rPr>
          <w:rStyle w:val="Style13ptBold"/>
        </w:rPr>
        <w:t>Stadler 93</w:t>
      </w:r>
      <w:r w:rsidRPr="001A6A06">
        <w:t xml:space="preserve"> “NOTE: Corrosion Proof Fittings v. EPA: Asbestos in the Fifth Circuit--A Battle of Unreasonableness ” Tulane Environmental Law Journal Summer, 1993 6 Tul. Envtl. L.J. 423</w:t>
      </w:r>
    </w:p>
    <w:p w:rsidR="001A6A06" w:rsidRPr="001A6A06" w:rsidRDefault="001A6A06" w:rsidP="001A6A06">
      <w:pPr>
        <w:pStyle w:val="cardtext"/>
        <w:ind w:left="0"/>
        <w:rPr>
          <w:sz w:val="12"/>
        </w:rPr>
      </w:pPr>
      <w:r w:rsidRPr="001A6A06">
        <w:rPr>
          <w:sz w:val="12"/>
        </w:rPr>
        <w:t xml:space="preserve">n3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1A6A06">
        <w:rPr>
          <w:highlight w:val="yellow"/>
          <w:u w:val="single"/>
        </w:rPr>
        <w:t xml:space="preserve">The substantial </w:t>
      </w:r>
      <w:r w:rsidRPr="001A6A06">
        <w:rPr>
          <w:u w:val="single"/>
        </w:rPr>
        <w:t xml:space="preserve">evidence </w:t>
      </w:r>
      <w:r w:rsidRPr="001A6A06">
        <w:rPr>
          <w:highlight w:val="yellow"/>
          <w:u w:val="single"/>
        </w:rPr>
        <w:t xml:space="preserve">standard does </w:t>
      </w:r>
      <w:r w:rsidRPr="001A6A06">
        <w:rPr>
          <w:sz w:val="12"/>
        </w:rPr>
        <w:t xml:space="preserve">however </w:t>
      </w:r>
      <w:r w:rsidRPr="001A6A06">
        <w:rPr>
          <w:highlight w:val="yellow"/>
          <w:u w:val="single"/>
        </w:rPr>
        <w:t xml:space="preserve">possess </w:t>
      </w:r>
      <w:r w:rsidRPr="001A6A06">
        <w:rPr>
          <w:u w:val="single"/>
        </w:rPr>
        <w:t xml:space="preserve">some </w:t>
      </w:r>
      <w:r w:rsidRPr="001A6A06">
        <w:rPr>
          <w:highlight w:val="yellow"/>
          <w:u w:val="single"/>
        </w:rPr>
        <w:t>ambiguity as to the definition of "substantial.</w:t>
      </w:r>
      <w:r w:rsidRPr="001A6A06">
        <w:rPr>
          <w:u w:val="single"/>
        </w:rPr>
        <w:t>"</w:t>
      </w:r>
      <w:r w:rsidRPr="001A6A06">
        <w:rPr>
          <w:sz w:val="12"/>
        </w:rPr>
        <w:t xml:space="preserve"> See, e.g., Chemical Mfrs. Ass'n v. EPA, 899 F.2d 344, 359 (5th Cir. 1990) (stating that "</w:t>
      </w:r>
      <w:r w:rsidRPr="001A6A06">
        <w:rPr>
          <w:highlight w:val="yellow"/>
          <w:u w:val="single"/>
        </w:rPr>
        <w:t>'substantial' is</w:t>
      </w:r>
      <w:r w:rsidRPr="001A6A06">
        <w:rPr>
          <w:u w:val="single"/>
        </w:rPr>
        <w:t xml:space="preserve"> an </w:t>
      </w:r>
      <w:r w:rsidRPr="001A6A06">
        <w:rPr>
          <w:b/>
          <w:bCs/>
          <w:highlight w:val="yellow"/>
          <w:u w:val="single"/>
          <w:bdr w:val="single" w:sz="4" w:space="0" w:color="000000" w:frame="1"/>
        </w:rPr>
        <w:t>inherently imprecise</w:t>
      </w:r>
      <w:r w:rsidRPr="001A6A06">
        <w:rPr>
          <w:highlight w:val="yellow"/>
          <w:u w:val="single"/>
        </w:rPr>
        <w:t xml:space="preserve"> </w:t>
      </w:r>
      <w:r w:rsidRPr="001A6A06">
        <w:rPr>
          <w:u w:val="single"/>
        </w:rPr>
        <w:t>word</w:t>
      </w:r>
      <w:r w:rsidRPr="001A6A06">
        <w:rPr>
          <w:sz w:val="12"/>
        </w:rPr>
        <w:t xml:space="preserve">"). However, </w:t>
      </w:r>
      <w:r w:rsidRPr="001A6A06">
        <w:rPr>
          <w:highlight w:val="yellow"/>
          <w:u w:val="single"/>
        </w:rPr>
        <w:t xml:space="preserve">'substantial' is generally </w:t>
      </w:r>
      <w:r w:rsidRPr="001A6A06">
        <w:rPr>
          <w:b/>
          <w:bCs/>
          <w:highlight w:val="yellow"/>
          <w:u w:val="single"/>
          <w:bdr w:val="single" w:sz="4" w:space="0" w:color="000000" w:frame="1"/>
        </w:rPr>
        <w:t>held to a reasonableness</w:t>
      </w:r>
      <w:r w:rsidRPr="001A6A06">
        <w:rPr>
          <w:highlight w:val="yellow"/>
          <w:u w:val="single"/>
        </w:rPr>
        <w:t xml:space="preserve"> standard, i.e., would a </w:t>
      </w:r>
      <w:r w:rsidRPr="001A6A06">
        <w:rPr>
          <w:b/>
          <w:bCs/>
          <w:highlight w:val="yellow"/>
          <w:u w:val="single"/>
          <w:bdr w:val="single" w:sz="4" w:space="0" w:color="000000" w:frame="1"/>
        </w:rPr>
        <w:t>reasonable mind</w:t>
      </w:r>
      <w:r w:rsidRPr="001A6A06">
        <w:rPr>
          <w:highlight w:val="yellow"/>
          <w:u w:val="single"/>
        </w:rPr>
        <w:t xml:space="preserve"> accept it as adequate </w:t>
      </w:r>
      <w:r w:rsidRPr="001A6A06">
        <w:rPr>
          <w:u w:val="single"/>
        </w:rPr>
        <w:t>to support a conclusion</w:t>
      </w:r>
      <w:r w:rsidRPr="001A6A06">
        <w:rPr>
          <w:sz w:val="12"/>
        </w:rPr>
        <w:t>. E.g., Consolidated Edison Co. v. NLRB, 305 U.S. 197, 229 (1938).</w:t>
      </w:r>
    </w:p>
    <w:p w:rsidR="001A6A06" w:rsidRPr="001A6A06" w:rsidRDefault="001A6A06" w:rsidP="001A6A06"/>
    <w:p w:rsidR="001A6A06" w:rsidRDefault="001A6A06" w:rsidP="001A6A06">
      <w:pPr>
        <w:pStyle w:val="Heading3"/>
      </w:pPr>
      <w:r w:rsidRPr="001A6A06">
        <w:t>1AR – Substantial = Arbitrary</w:t>
      </w:r>
    </w:p>
    <w:p w:rsidR="00914F9F" w:rsidRPr="00914F9F" w:rsidRDefault="00914F9F" w:rsidP="00914F9F"/>
    <w:p w:rsidR="001A6A06" w:rsidRPr="001A6A06" w:rsidRDefault="001A6A06" w:rsidP="001A6A06">
      <w:pPr>
        <w:pStyle w:val="Heading4"/>
      </w:pPr>
      <w:r w:rsidRPr="001A6A06">
        <w:t>No definition of substantial—their interp is arbitrary</w:t>
      </w:r>
    </w:p>
    <w:p w:rsidR="001A6A06" w:rsidRPr="001A6A06" w:rsidRDefault="001A6A06" w:rsidP="001A6A06">
      <w:r w:rsidRPr="001A6A06">
        <w:t xml:space="preserve">David </w:t>
      </w:r>
      <w:r w:rsidRPr="001A6A06">
        <w:rPr>
          <w:rStyle w:val="Style13ptBold"/>
        </w:rPr>
        <w:t>Jakubowitz 4</w:t>
      </w:r>
      <w:r w:rsidRPr="001A6A06">
        <w:t xml:space="preserve"> * J.D. Candidate, St. John's University School of Law, NOTE: "HELP, I'VE FALLEN AND CAN'T GET UP!" NEW YORK'S APPLICATION OF THE SUBSTANTIAL FACTOR TEST, Spring, 2004 18 St. John's J.L. Comm. 593 lexis</w:t>
      </w:r>
    </w:p>
    <w:p w:rsidR="001A6A06" w:rsidRPr="001A6A06" w:rsidRDefault="001A6A06" w:rsidP="001A6A06">
      <w:pPr>
        <w:pStyle w:val="card"/>
        <w:ind w:left="0"/>
        <w:rPr>
          <w:rFonts w:ascii="Georgia" w:hAnsi="Georgia"/>
          <w:sz w:val="16"/>
        </w:rPr>
      </w:pPr>
      <w:r w:rsidRPr="001A6A06">
        <w:rPr>
          <w:rFonts w:ascii="Georgia" w:hAnsi="Georgia"/>
          <w:sz w:val="16"/>
        </w:rPr>
        <w:t xml:space="preserve">As a consequence, </w:t>
      </w:r>
      <w:r w:rsidRPr="001A6A06">
        <w:rPr>
          <w:rFonts w:ascii="Georgia" w:hAnsi="Georgia"/>
          <w:highlight w:val="yellow"/>
        </w:rPr>
        <w:t>no clear legal standard exists on how to interpret "substantial" and the determination of substantial</w:t>
      </w:r>
      <w:r w:rsidRPr="001A6A06">
        <w:rPr>
          <w:rFonts w:ascii="Georgia" w:hAnsi="Georgia"/>
        </w:rPr>
        <w:t xml:space="preserve"> factor </w:t>
      </w:r>
      <w:r w:rsidRPr="001A6A06">
        <w:rPr>
          <w:rFonts w:ascii="Georgia" w:hAnsi="Georgia"/>
          <w:highlight w:val="yellow"/>
        </w:rPr>
        <w:t>is based solely on</w:t>
      </w:r>
      <w:r w:rsidRPr="001A6A06">
        <w:rPr>
          <w:rFonts w:ascii="Georgia" w:hAnsi="Georgia"/>
        </w:rPr>
        <w:t xml:space="preserve"> the varying </w:t>
      </w:r>
      <w:r w:rsidRPr="001A6A06">
        <w:rPr>
          <w:rFonts w:ascii="Georgia" w:hAnsi="Georgia"/>
          <w:highlight w:val="yellow"/>
        </w:rPr>
        <w:t>subjective lay-opinions</w:t>
      </w:r>
      <w:r w:rsidRPr="001A6A06">
        <w:rPr>
          <w:rFonts w:ascii="Georgia" w:hAnsi="Georgia"/>
        </w:rPr>
        <w:t xml:space="preserve"> of jurors</w:t>
      </w:r>
      <w:r w:rsidRPr="001A6A06">
        <w:rPr>
          <w:rFonts w:ascii="Georgia" w:hAnsi="Georgia"/>
          <w:sz w:val="16"/>
        </w:rPr>
        <w:t xml:space="preserve">. n134 Therefore, in the interests of honesty and accuracy, </w:t>
      </w:r>
      <w:r w:rsidRPr="001A6A06">
        <w:rPr>
          <w:rFonts w:ascii="Georgia" w:hAnsi="Georgia"/>
          <w:highlight w:val="yellow"/>
        </w:rPr>
        <w:t>the "substantial factor" test should be renamed the "subjective factor</w:t>
      </w:r>
      <w:r w:rsidRPr="001A6A06">
        <w:rPr>
          <w:rFonts w:ascii="Georgia" w:hAnsi="Georgia"/>
          <w:sz w:val="16"/>
          <w:highlight w:val="yellow"/>
        </w:rPr>
        <w:t>"</w:t>
      </w:r>
      <w:r w:rsidRPr="001A6A06">
        <w:rPr>
          <w:rFonts w:ascii="Georgia" w:hAnsi="Georgia"/>
          <w:sz w:val="16"/>
        </w:rPr>
        <w:t xml:space="preserve"> test in order to more precisely describe the process of how causation is analyzed. n135</w:t>
      </w:r>
    </w:p>
    <w:p w:rsidR="001A6A06" w:rsidRPr="001A6A06" w:rsidRDefault="001A6A06" w:rsidP="001A6A06">
      <w:pPr>
        <w:pStyle w:val="Heading4"/>
      </w:pPr>
      <w:r w:rsidRPr="001A6A06">
        <w:t>Substantial is arbitrary – prefer reasonability</w:t>
      </w:r>
    </w:p>
    <w:p w:rsidR="001A6A06" w:rsidRPr="001A6A06" w:rsidRDefault="001A6A06" w:rsidP="001A6A06">
      <w:pPr>
        <w:pStyle w:val="tag"/>
      </w:pPr>
      <w:r w:rsidRPr="001A6A06">
        <w:t xml:space="preserve">U.S. Third Circuit Court of Appeals 5 </w:t>
      </w:r>
      <w:r w:rsidRPr="001A6A06">
        <w:rPr>
          <w:b w:val="0"/>
          <w:sz w:val="16"/>
          <w:szCs w:val="16"/>
        </w:rPr>
        <w:t xml:space="preserve">[ Before AMBRO, VAN ANTWERPEN, and STAPLETON, Circuit Judges, Opinion of the Court </w:t>
      </w:r>
      <w:r w:rsidR="00B121DA" w:rsidRPr="001A6A06">
        <w:rPr>
          <w:b w:val="0"/>
          <w:sz w:val="16"/>
          <w:szCs w:val="16"/>
        </w:rPr>
        <w:t>in Interfaith</w:t>
      </w:r>
      <w:r w:rsidRPr="001A6A06">
        <w:rPr>
          <w:b w:val="0"/>
          <w:sz w:val="16"/>
          <w:szCs w:val="16"/>
        </w:rPr>
        <w:t xml:space="preserve"> Community Organization v. Honeywell International, Inc, Feb 18 http://openjurist.org/399/f3d/248/interfaith-community-organization-v-honeywell-international-inc]</w:t>
      </w:r>
    </w:p>
    <w:p w:rsidR="001A6A06" w:rsidRPr="00B121DA" w:rsidRDefault="001A6A06" w:rsidP="001A6A06">
      <w:pPr>
        <w:pStyle w:val="card"/>
        <w:ind w:left="0"/>
        <w:rPr>
          <w:rFonts w:ascii="Georgia" w:hAnsi="Georgia"/>
          <w:sz w:val="16"/>
          <w:u w:val="none"/>
        </w:rPr>
      </w:pPr>
      <w:r w:rsidRPr="001A6A06">
        <w:rPr>
          <w:rFonts w:ascii="Georgia" w:hAnsi="Georgia"/>
        </w:rPr>
        <w:t>This</w:t>
      </w:r>
      <w:r w:rsidRPr="00B121DA">
        <w:rPr>
          <w:rFonts w:ascii="Georgia" w:hAnsi="Georgia"/>
          <w:sz w:val="16"/>
          <w:u w:val="none"/>
        </w:rPr>
        <w:t xml:space="preserve"> approach, we believe, </w:t>
      </w:r>
      <w:r w:rsidRPr="001A6A06">
        <w:rPr>
          <w:rFonts w:ascii="Georgia" w:hAnsi="Georgia"/>
        </w:rPr>
        <w:t>is most faithful to the statutory language, especially as to the word "substantial."</w:t>
      </w:r>
      <w:r w:rsidRPr="00B121DA">
        <w:rPr>
          <w:rFonts w:ascii="Georgia" w:hAnsi="Georgia"/>
          <w:sz w:val="16"/>
          <w:u w:val="none"/>
        </w:rPr>
        <w:t xml:space="preserve"> See, e.g., United States v. Union Corp., 259 F.Supp.2d 356, 399-400 (E.D.Pa.2003) (observing that </w:t>
      </w:r>
      <w:r w:rsidRPr="001A6A06">
        <w:rPr>
          <w:rFonts w:ascii="Georgia" w:hAnsi="Georgia"/>
        </w:rPr>
        <w:t>RCRA's "</w:t>
      </w:r>
      <w:r w:rsidRPr="001A6A06">
        <w:rPr>
          <w:rFonts w:ascii="Georgia" w:hAnsi="Georgia"/>
          <w:highlight w:val="yellow"/>
        </w:rPr>
        <w:t>substantial</w:t>
      </w:r>
      <w:r w:rsidRPr="001A6A06">
        <w:rPr>
          <w:rFonts w:ascii="Georgia" w:hAnsi="Georgia"/>
        </w:rPr>
        <w:t>" requirement "`</w:t>
      </w:r>
      <w:r w:rsidRPr="001A6A06">
        <w:rPr>
          <w:rFonts w:ascii="Georgia" w:hAnsi="Georgia"/>
          <w:b/>
          <w:highlight w:val="yellow"/>
          <w:bdr w:val="single" w:sz="4" w:space="0" w:color="auto"/>
        </w:rPr>
        <w:t>does not require quantification</w:t>
      </w:r>
      <w:r w:rsidRPr="001A6A06">
        <w:rPr>
          <w:rFonts w:ascii="Georgia" w:hAnsi="Georgia"/>
          <w:highlight w:val="yellow"/>
        </w:rPr>
        <w:t xml:space="preserve"> </w:t>
      </w:r>
      <w:r w:rsidRPr="001A6A06">
        <w:rPr>
          <w:rFonts w:ascii="Georgia" w:hAnsi="Georgia"/>
        </w:rPr>
        <w:t xml:space="preserve">of the endangerment (e.g., proof that a certain number of persons will be exposed ... </w:t>
      </w:r>
      <w:r w:rsidRPr="001A6A06">
        <w:rPr>
          <w:rFonts w:ascii="Georgia" w:hAnsi="Georgia"/>
          <w:highlight w:val="yellow"/>
        </w:rPr>
        <w:t xml:space="preserve">or </w:t>
      </w:r>
      <w:r w:rsidRPr="001A6A06">
        <w:rPr>
          <w:rFonts w:ascii="Georgia" w:hAnsi="Georgia"/>
        </w:rPr>
        <w:t xml:space="preserve">that a water supply will be contaminated to </w:t>
      </w:r>
      <w:r w:rsidRPr="001A6A06">
        <w:rPr>
          <w:rFonts w:ascii="Georgia" w:hAnsi="Georgia"/>
          <w:highlight w:val="yellow"/>
        </w:rPr>
        <w:t>a specific degree</w:t>
      </w:r>
      <w:r w:rsidRPr="001A6A06">
        <w:rPr>
          <w:rFonts w:ascii="Georgia" w:hAnsi="Georgia"/>
        </w:rPr>
        <w:t>)</w:t>
      </w:r>
      <w:r w:rsidRPr="00B121DA">
        <w:rPr>
          <w:rFonts w:ascii="Georgia" w:hAnsi="Georgia"/>
          <w:sz w:val="16"/>
          <w:u w:val="none"/>
        </w:rPr>
        <w:t xml:space="preserve">'") (quoting United States v. Conservation Chemical Co., 619 F.Supp. 162, 194 (W.D.Mo.1985)). For the reasons we discuss infra, we believe that </w:t>
      </w:r>
      <w:r w:rsidRPr="001A6A06">
        <w:rPr>
          <w:rFonts w:ascii="Georgia" w:hAnsi="Georgia"/>
          <w:highlight w:val="yellow"/>
        </w:rPr>
        <w:t>decisions</w:t>
      </w:r>
      <w:r w:rsidRPr="00B121DA">
        <w:rPr>
          <w:rFonts w:ascii="Georgia" w:hAnsi="Georgia"/>
          <w:sz w:val="16"/>
          <w:u w:val="none"/>
        </w:rPr>
        <w:t xml:space="preserve"> such as </w:t>
      </w:r>
      <w:r w:rsidRPr="001A6A06">
        <w:rPr>
          <w:rFonts w:ascii="Georgia" w:hAnsi="Georgia"/>
        </w:rPr>
        <w:t>Parker</w:t>
      </w:r>
      <w:r w:rsidRPr="00B121DA">
        <w:rPr>
          <w:rFonts w:ascii="Georgia" w:hAnsi="Georgia"/>
          <w:sz w:val="16"/>
          <w:u w:val="none"/>
        </w:rPr>
        <w:t xml:space="preserve">, Cox, Union Corp., </w:t>
      </w:r>
      <w:r w:rsidRPr="001A6A06">
        <w:rPr>
          <w:rFonts w:ascii="Georgia" w:hAnsi="Georgia"/>
        </w:rPr>
        <w:t xml:space="preserve">and Conservation Chemical </w:t>
      </w:r>
      <w:r w:rsidRPr="001A6A06">
        <w:rPr>
          <w:rFonts w:ascii="Georgia" w:hAnsi="Georgia"/>
          <w:highlight w:val="yellow"/>
        </w:rPr>
        <w:t xml:space="preserve">define "substantial" in a manner </w:t>
      </w:r>
      <w:r w:rsidRPr="001A6A06">
        <w:rPr>
          <w:rFonts w:ascii="Georgia" w:hAnsi="Georgia"/>
          <w:b/>
          <w:highlight w:val="yellow"/>
          <w:bdr w:val="single" w:sz="4" w:space="0" w:color="auto"/>
        </w:rPr>
        <w:t xml:space="preserve">consistent with </w:t>
      </w:r>
      <w:r w:rsidRPr="001A6A06">
        <w:rPr>
          <w:rFonts w:ascii="Georgia" w:hAnsi="Georgia"/>
          <w:b/>
          <w:bdr w:val="single" w:sz="4" w:space="0" w:color="auto"/>
        </w:rPr>
        <w:t xml:space="preserve">the </w:t>
      </w:r>
      <w:r w:rsidRPr="001A6A06">
        <w:rPr>
          <w:rFonts w:ascii="Georgia" w:hAnsi="Georgia"/>
          <w:b/>
          <w:highlight w:val="yellow"/>
          <w:bdr w:val="single" w:sz="4" w:space="0" w:color="auto"/>
        </w:rPr>
        <w:t>statutory language</w:t>
      </w:r>
      <w:r w:rsidRPr="001A6A06">
        <w:rPr>
          <w:rFonts w:ascii="Georgia" w:hAnsi="Georgia"/>
        </w:rPr>
        <w:t xml:space="preserve">, the </w:t>
      </w:r>
      <w:r w:rsidRPr="001A6A06">
        <w:rPr>
          <w:rFonts w:ascii="Georgia" w:hAnsi="Georgia"/>
          <w:b/>
          <w:highlight w:val="yellow"/>
          <w:bdr w:val="single" w:sz="4" w:space="0" w:color="auto"/>
        </w:rPr>
        <w:t>legislative history</w:t>
      </w:r>
      <w:r w:rsidRPr="001A6A06">
        <w:rPr>
          <w:rFonts w:ascii="Georgia" w:hAnsi="Georgia"/>
          <w:highlight w:val="yellow"/>
        </w:rPr>
        <w:t xml:space="preserve">, and the </w:t>
      </w:r>
      <w:r w:rsidRPr="001A6A06">
        <w:rPr>
          <w:rFonts w:ascii="Georgia" w:hAnsi="Georgia"/>
          <w:b/>
          <w:highlight w:val="yellow"/>
          <w:bdr w:val="single" w:sz="4" w:space="0" w:color="auto"/>
        </w:rPr>
        <w:t>plain meaning of that word</w:t>
      </w:r>
      <w:r w:rsidRPr="00B121DA">
        <w:rPr>
          <w:rFonts w:ascii="Georgia" w:hAnsi="Georgia"/>
          <w:sz w:val="16"/>
          <w:u w:val="none"/>
        </w:rPr>
        <w:t>. See, e.g., Cox, 256 F.3d at 300 (stating that "an endangerment is `substantial' if it is `serious'"); Union Corp., 259 F.Supp.2d at 400 (stating that a RCRA "</w:t>
      </w:r>
      <w:r w:rsidRPr="00B121DA">
        <w:rPr>
          <w:rFonts w:ascii="Georgia" w:hAnsi="Georgia"/>
        </w:rPr>
        <w:t xml:space="preserve">endangerment is substantial if there is some </w:t>
      </w:r>
      <w:r w:rsidRPr="00B121DA">
        <w:rPr>
          <w:rFonts w:ascii="Georgia" w:hAnsi="Georgia"/>
          <w:b/>
          <w:bdr w:val="single" w:sz="4" w:space="0" w:color="auto"/>
        </w:rPr>
        <w:t>reasonable</w:t>
      </w:r>
      <w:r w:rsidRPr="00B121DA">
        <w:rPr>
          <w:rFonts w:ascii="Georgia" w:hAnsi="Georgia"/>
        </w:rPr>
        <w:t xml:space="preserve"> cause for concern</w:t>
      </w:r>
      <w:r w:rsidRPr="00B121DA">
        <w:rPr>
          <w:rFonts w:ascii="Georgia" w:hAnsi="Georgia"/>
          <w:sz w:val="16"/>
          <w:u w:val="none"/>
        </w:rPr>
        <w:t xml:space="preserve"> that someone or something may be exposed to a risk of harm ... </w:t>
      </w:r>
      <w:r w:rsidRPr="00B121DA">
        <w:rPr>
          <w:rFonts w:ascii="Georgia" w:hAnsi="Georgia"/>
        </w:rPr>
        <w:t>if remedial action is not taken.</w:t>
      </w:r>
      <w:r w:rsidRPr="00B121DA">
        <w:rPr>
          <w:rFonts w:ascii="Georgia" w:hAnsi="Georgia"/>
          <w:sz w:val="16"/>
          <w:u w:val="none"/>
        </w:rPr>
        <w:t xml:space="preserve">") (internal quotation omitted). We do not disagree that, given RCRA's language and purpose, Congress must have intended that "if an error is to be </w:t>
      </w:r>
      <w:r w:rsidRPr="00B121DA">
        <w:rPr>
          <w:rFonts w:ascii="Georgia" w:hAnsi="Georgia"/>
          <w:sz w:val="16"/>
          <w:szCs w:val="16"/>
          <w:u w:val="none"/>
        </w:rPr>
        <w:t>made in applying the endangerment standard, the error must be made in favor of protecting public health, welfare and the environment." Conservation Chemical, 619 F.Supp. at 194.</w:t>
      </w:r>
      <w:r w:rsidRPr="001A6A06">
        <w:rPr>
          <w:rFonts w:ascii="Georgia" w:hAnsi="Georgia"/>
          <w:sz w:val="12"/>
          <w:szCs w:val="16"/>
        </w:rPr>
        <w:t>¶</w:t>
      </w:r>
      <w:r w:rsidRPr="00B121DA">
        <w:rPr>
          <w:rFonts w:ascii="Georgia" w:hAnsi="Georgia"/>
          <w:sz w:val="16"/>
          <w:szCs w:val="16"/>
          <w:u w:val="none"/>
        </w:rPr>
        <w:t xml:space="preserve"> Here, the District Court added four additional requirements to the endangerment showing. These held plaintiffs to a higher than needed showing for success on the merits under § 6972(a)(1)(B). The additional requirements were as follows:</w:t>
      </w:r>
      <w:r w:rsidRPr="001A6A06">
        <w:rPr>
          <w:rFonts w:ascii="Georgia" w:hAnsi="Georgia"/>
          <w:sz w:val="12"/>
          <w:szCs w:val="16"/>
        </w:rPr>
        <w:t>¶</w:t>
      </w:r>
      <w:r w:rsidRPr="00B121DA">
        <w:rPr>
          <w:rFonts w:ascii="Georgia" w:hAnsi="Georgia"/>
          <w:sz w:val="16"/>
          <w:szCs w:val="16"/>
          <w:u w:val="none"/>
        </w:rPr>
        <w:t xml:space="preserve"> [A] site "may present an imminent and substantial endangerment" within the meaning of RCRA where: (1) there is a potential population at risk; (2) the contaminant at issue is a RCRA "solid" or "hazardous waste"; (3) the contaminant is present at levels above that considered acceptable by the state; and (4) there is a pathway for current and/or future exposure.</w:t>
      </w:r>
      <w:r w:rsidRPr="001A6A06">
        <w:rPr>
          <w:rFonts w:ascii="Georgia" w:hAnsi="Georgia"/>
          <w:sz w:val="12"/>
          <w:szCs w:val="16"/>
        </w:rPr>
        <w:t>¶</w:t>
      </w:r>
      <w:r w:rsidRPr="00B121DA">
        <w:rPr>
          <w:rFonts w:ascii="Georgia" w:hAnsi="Georgia"/>
          <w:sz w:val="16"/>
          <w:szCs w:val="16"/>
          <w:u w:val="none"/>
        </w:rPr>
        <w:t xml:space="preserve"> 263 F.Supp.2d at 838.</w:t>
      </w:r>
      <w:r w:rsidRPr="001A6A06">
        <w:rPr>
          <w:rFonts w:ascii="Georgia" w:hAnsi="Georgia"/>
          <w:sz w:val="12"/>
          <w:szCs w:val="16"/>
        </w:rPr>
        <w:t>¶</w:t>
      </w:r>
      <w:r w:rsidRPr="00B121DA">
        <w:rPr>
          <w:rFonts w:ascii="Georgia" w:hAnsi="Georgia"/>
          <w:sz w:val="16"/>
          <w:szCs w:val="16"/>
          <w:u w:val="none"/>
        </w:rPr>
        <w:t xml:space="preserve"> At least two of these requirements are irreconcilable with § 6972(a)(1)(B).5 The first requirement requires a "population," but § 6972(a)(1)(B)'s disjunctive phrasing, "or environment</w:t>
      </w:r>
      <w:r w:rsidRPr="00B121DA">
        <w:rPr>
          <w:rFonts w:ascii="Georgia" w:hAnsi="Georgia"/>
          <w:sz w:val="16"/>
          <w:u w:val="none"/>
        </w:rPr>
        <w:t xml:space="preserve">," means a living population is not required for success on the merits, as we discuss infra. </w:t>
      </w:r>
      <w:r w:rsidRPr="001A6A06">
        <w:rPr>
          <w:rFonts w:ascii="Georgia" w:hAnsi="Georgia"/>
          <w:highlight w:val="yellow"/>
        </w:rPr>
        <w:t>The</w:t>
      </w:r>
      <w:r w:rsidRPr="00B121DA">
        <w:rPr>
          <w:rFonts w:ascii="Georgia" w:hAnsi="Georgia"/>
          <w:sz w:val="16"/>
          <w:highlight w:val="yellow"/>
          <w:u w:val="none"/>
        </w:rPr>
        <w:t xml:space="preserve"> </w:t>
      </w:r>
      <w:r w:rsidRPr="00B121DA">
        <w:rPr>
          <w:rFonts w:ascii="Georgia" w:hAnsi="Georgia"/>
          <w:sz w:val="16"/>
          <w:u w:val="none"/>
        </w:rPr>
        <w:t xml:space="preserve">third </w:t>
      </w:r>
      <w:r w:rsidRPr="001A6A06">
        <w:rPr>
          <w:rFonts w:ascii="Georgia" w:hAnsi="Georgia"/>
          <w:highlight w:val="yellow"/>
        </w:rPr>
        <w:t>requirement</w:t>
      </w:r>
      <w:r w:rsidRPr="00B121DA">
        <w:rPr>
          <w:rFonts w:ascii="Georgia" w:hAnsi="Georgia"/>
          <w:sz w:val="16"/>
          <w:u w:val="none"/>
        </w:rPr>
        <w:t xml:space="preserve">, apparently intended by the District Court </w:t>
      </w:r>
      <w:r w:rsidRPr="001A6A06">
        <w:rPr>
          <w:rFonts w:ascii="Georgia" w:hAnsi="Georgia"/>
          <w:highlight w:val="yellow"/>
        </w:rPr>
        <w:t xml:space="preserve">to give quantitative meaning to </w:t>
      </w:r>
      <w:r w:rsidRPr="001A6A06">
        <w:rPr>
          <w:rFonts w:ascii="Georgia" w:hAnsi="Georgia"/>
        </w:rPr>
        <w:t>the word "</w:t>
      </w:r>
      <w:r w:rsidRPr="001A6A06">
        <w:rPr>
          <w:rFonts w:ascii="Georgia" w:hAnsi="Georgia"/>
          <w:highlight w:val="yellow"/>
        </w:rPr>
        <w:t>substantial</w:t>
      </w:r>
      <w:r w:rsidRPr="00B121DA">
        <w:rPr>
          <w:rFonts w:ascii="Georgia" w:hAnsi="Georgia"/>
          <w:sz w:val="16"/>
          <w:u w:val="none"/>
        </w:rPr>
        <w:t xml:space="preserve">" in § 6972(a)(1)(B), </w:t>
      </w:r>
      <w:r w:rsidRPr="001A6A06">
        <w:rPr>
          <w:rFonts w:ascii="Georgia" w:hAnsi="Georgia"/>
          <w:highlight w:val="yellow"/>
        </w:rPr>
        <w:t xml:space="preserve">is </w:t>
      </w:r>
      <w:r w:rsidRPr="001A6A06">
        <w:rPr>
          <w:rFonts w:ascii="Georgia" w:hAnsi="Georgia"/>
        </w:rPr>
        <w:t xml:space="preserve">similarly </w:t>
      </w:r>
      <w:r w:rsidRPr="001A6A06">
        <w:rPr>
          <w:rFonts w:ascii="Georgia" w:hAnsi="Georgia"/>
          <w:highlight w:val="yellow"/>
        </w:rPr>
        <w:t xml:space="preserve">without support. </w:t>
      </w:r>
      <w:r w:rsidRPr="001A6A06">
        <w:rPr>
          <w:rFonts w:ascii="Georgia" w:hAnsi="Georgia"/>
        </w:rPr>
        <w:t>The word "substantial" is not defined by the statute or its legislative history.</w:t>
      </w:r>
      <w:r w:rsidRPr="00B121DA">
        <w:rPr>
          <w:rFonts w:ascii="Georgia" w:hAnsi="Georgia"/>
          <w:sz w:val="16"/>
          <w:u w:val="none"/>
        </w:rPr>
        <w:t xml:space="preserve"> </w:t>
      </w:r>
      <w:r w:rsidRPr="001A6A06">
        <w:rPr>
          <w:rFonts w:ascii="Georgia" w:hAnsi="Georgia"/>
          <w:b/>
          <w:highlight w:val="yellow"/>
          <w:bdr w:val="single" w:sz="4" w:space="0" w:color="auto"/>
        </w:rPr>
        <w:t>Turning to a dictionary</w:t>
      </w:r>
      <w:r w:rsidRPr="001A6A06">
        <w:rPr>
          <w:rFonts w:ascii="Georgia" w:hAnsi="Georgia"/>
          <w:highlight w:val="yellow"/>
        </w:rPr>
        <w:t xml:space="preserve">, </w:t>
      </w:r>
      <w:r w:rsidRPr="001A6A06">
        <w:rPr>
          <w:rFonts w:ascii="Georgia" w:hAnsi="Georgia"/>
        </w:rPr>
        <w:t>we find that "</w:t>
      </w:r>
      <w:r w:rsidRPr="001A6A06">
        <w:rPr>
          <w:rFonts w:ascii="Georgia" w:hAnsi="Georgia"/>
          <w:highlight w:val="yellow"/>
        </w:rPr>
        <w:t>substantial" means "having substance</w:t>
      </w:r>
      <w:r w:rsidRPr="001A6A06">
        <w:rPr>
          <w:rFonts w:ascii="Georgia" w:hAnsi="Georgia"/>
        </w:rPr>
        <w:t xml:space="preserve">" and "not imaginary"; </w:t>
      </w:r>
      <w:r w:rsidRPr="001A6A06">
        <w:rPr>
          <w:rFonts w:ascii="Georgia" w:hAnsi="Georgia"/>
          <w:b/>
          <w:bdr w:val="single" w:sz="4" w:space="0" w:color="auto"/>
        </w:rPr>
        <w:t>only as the last of several definitions</w:t>
      </w:r>
      <w:r w:rsidRPr="001A6A06">
        <w:rPr>
          <w:rFonts w:ascii="Georgia" w:hAnsi="Georgia"/>
        </w:rPr>
        <w:t xml:space="preserve"> does the dictionary offer "of considerable size or amount."</w:t>
      </w:r>
      <w:r w:rsidRPr="00B121DA">
        <w:rPr>
          <w:rFonts w:ascii="Georgia" w:hAnsi="Georgia"/>
          <w:sz w:val="16"/>
          <w:u w:val="none"/>
        </w:rPr>
        <w:t xml:space="preserve"> Webster's New Universal Unabridged Dictionary 1817 (2d ed.1983). </w:t>
      </w:r>
      <w:r w:rsidRPr="001A6A06">
        <w:rPr>
          <w:rFonts w:ascii="Georgia" w:hAnsi="Georgia"/>
          <w:highlight w:val="yellow"/>
        </w:rPr>
        <w:t xml:space="preserve">These definitions </w:t>
      </w:r>
      <w:r w:rsidRPr="001A6A06">
        <w:rPr>
          <w:rFonts w:ascii="Georgia" w:hAnsi="Georgia"/>
          <w:b/>
          <w:highlight w:val="yellow"/>
          <w:bdr w:val="single" w:sz="4" w:space="0" w:color="auto"/>
        </w:rPr>
        <w:t xml:space="preserve">do not support one particular </w:t>
      </w:r>
      <w:r w:rsidRPr="001A6A06">
        <w:rPr>
          <w:rFonts w:ascii="Georgia" w:hAnsi="Georgia"/>
          <w:b/>
          <w:bdr w:val="single" w:sz="4" w:space="0" w:color="auto"/>
        </w:rPr>
        <w:t xml:space="preserve">type of </w:t>
      </w:r>
      <w:r w:rsidRPr="001A6A06">
        <w:rPr>
          <w:rFonts w:ascii="Georgia" w:hAnsi="Georgia"/>
          <w:b/>
          <w:highlight w:val="yellow"/>
          <w:bdr w:val="single" w:sz="4" w:space="0" w:color="auto"/>
        </w:rPr>
        <w:t>quantification measurement</w:t>
      </w:r>
      <w:r w:rsidRPr="001A6A06">
        <w:rPr>
          <w:rFonts w:ascii="Georgia" w:hAnsi="Georgia"/>
          <w:b/>
          <w:bdr w:val="single" w:sz="4" w:space="0" w:color="auto"/>
        </w:rPr>
        <w:t>,</w:t>
      </w:r>
      <w:r w:rsidRPr="00B121DA">
        <w:rPr>
          <w:rFonts w:ascii="Georgia" w:hAnsi="Georgia"/>
          <w:sz w:val="16"/>
          <w:u w:val="none"/>
        </w:rPr>
        <w:t xml:space="preserve"> such as the District Court's requirement that there be an exceedence of state standards. Honeywell, tacitly following Cox, 256 F.3d at 300, equates "</w:t>
      </w:r>
      <w:r w:rsidRPr="001A6A06">
        <w:rPr>
          <w:rFonts w:ascii="Georgia" w:hAnsi="Georgia"/>
        </w:rPr>
        <w:t>substantial</w:t>
      </w:r>
      <w:r w:rsidRPr="00B121DA">
        <w:rPr>
          <w:rFonts w:ascii="Georgia" w:hAnsi="Georgia"/>
          <w:sz w:val="16"/>
          <w:u w:val="none"/>
        </w:rPr>
        <w:t xml:space="preserve">" with "serious," which also </w:t>
      </w:r>
      <w:r w:rsidRPr="001A6A06">
        <w:rPr>
          <w:rFonts w:ascii="Georgia" w:hAnsi="Georgia"/>
        </w:rPr>
        <w:t>does not support one particular type of quantification measurement</w:t>
      </w:r>
      <w:r w:rsidRPr="00B121DA">
        <w:rPr>
          <w:rFonts w:ascii="Georgia" w:hAnsi="Georgia"/>
          <w:sz w:val="16"/>
          <w:u w:val="none"/>
        </w:rPr>
        <w:t>. As noted, the word "substantial" is not defined by the statute or its legislative history, and we have not found any binding authority which stands contrary to this analysis. It is thus difficult to see how § 6972(a)(1)(B) justifies the kind of hurdle created by the District Court's third quantitative requirement — let alone the even higher requirements for "substantial" that Honeywell argues for, without citation.</w:t>
      </w:r>
    </w:p>
    <w:p w:rsidR="001A6A06" w:rsidRPr="00B121DA" w:rsidRDefault="001A6A06" w:rsidP="001A6A06"/>
    <w:p w:rsidR="006D6BBE" w:rsidRPr="001A6A06" w:rsidRDefault="006D6BBE" w:rsidP="006D6BBE"/>
    <w:p w:rsidR="00B744E7" w:rsidRPr="001A6A06" w:rsidRDefault="00B744E7" w:rsidP="00B744E7"/>
    <w:sectPr w:rsidR="00B744E7" w:rsidRPr="001A6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Calibri Light">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3BC4010"/>
    <w:multiLevelType w:val="hybridMultilevel"/>
    <w:tmpl w:val="C7208EB6"/>
    <w:lvl w:ilvl="0" w:tplc="74AA0F7E">
      <w:start w:val="1084"/>
      <w:numFmt w:val="bullet"/>
      <w:lvlText w:val="-"/>
      <w:lvlJc w:val="left"/>
      <w:pPr>
        <w:ind w:left="1080" w:hanging="360"/>
      </w:pPr>
      <w:rPr>
        <w:rFonts w:ascii="Georgia" w:eastAsiaTheme="minorHAnsi" w:hAnsi="Georg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BB66D01"/>
    <w:multiLevelType w:val="hybridMultilevel"/>
    <w:tmpl w:val="50F67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B91715"/>
    <w:multiLevelType w:val="hybridMultilevel"/>
    <w:tmpl w:val="5D944D7C"/>
    <w:lvl w:ilvl="0" w:tplc="93A0FF30">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5142D4"/>
    <w:multiLevelType w:val="hybridMultilevel"/>
    <w:tmpl w:val="18B2D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8F14DA"/>
    <w:multiLevelType w:val="hybridMultilevel"/>
    <w:tmpl w:val="6D9C5A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BC44475"/>
    <w:multiLevelType w:val="hybridMultilevel"/>
    <w:tmpl w:val="F3244E66"/>
    <w:lvl w:ilvl="0" w:tplc="082A8F32">
      <w:start w:val="108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6F0117"/>
    <w:multiLevelType w:val="hybridMultilevel"/>
    <w:tmpl w:val="8ECA8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C664FFF"/>
    <w:multiLevelType w:val="hybridMultilevel"/>
    <w:tmpl w:val="44BAF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7"/>
  </w:num>
  <w:num w:numId="14">
    <w:abstractNumId w:val="14"/>
  </w:num>
  <w:num w:numId="15">
    <w:abstractNumId w:val="16"/>
  </w:num>
  <w:num w:numId="16">
    <w:abstractNumId w:val="13"/>
  </w:num>
  <w:num w:numId="17">
    <w:abstractNumId w:val="1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79949020368"/>
    <w:docVar w:name="VerbatimVersion" w:val="5.1"/>
  </w:docVars>
  <w:rsids>
    <w:rsidRoot w:val="00E309AD"/>
    <w:rsid w:val="000139A3"/>
    <w:rsid w:val="00021DB6"/>
    <w:rsid w:val="00032907"/>
    <w:rsid w:val="000433C9"/>
    <w:rsid w:val="0005285B"/>
    <w:rsid w:val="0009128F"/>
    <w:rsid w:val="00095D79"/>
    <w:rsid w:val="000A44D7"/>
    <w:rsid w:val="000B6AD4"/>
    <w:rsid w:val="00100833"/>
    <w:rsid w:val="00104529"/>
    <w:rsid w:val="00105942"/>
    <w:rsid w:val="00107396"/>
    <w:rsid w:val="00141B41"/>
    <w:rsid w:val="00144861"/>
    <w:rsid w:val="00144A4C"/>
    <w:rsid w:val="0017621E"/>
    <w:rsid w:val="00176AB0"/>
    <w:rsid w:val="00177B7D"/>
    <w:rsid w:val="0018322D"/>
    <w:rsid w:val="001A6A06"/>
    <w:rsid w:val="001B5776"/>
    <w:rsid w:val="001B749E"/>
    <w:rsid w:val="001D7475"/>
    <w:rsid w:val="001E527A"/>
    <w:rsid w:val="001F78CE"/>
    <w:rsid w:val="00234F12"/>
    <w:rsid w:val="00251FC7"/>
    <w:rsid w:val="00263942"/>
    <w:rsid w:val="00273584"/>
    <w:rsid w:val="002855A7"/>
    <w:rsid w:val="002B146A"/>
    <w:rsid w:val="002B2277"/>
    <w:rsid w:val="002B4F72"/>
    <w:rsid w:val="002B5E17"/>
    <w:rsid w:val="00314A7F"/>
    <w:rsid w:val="00315690"/>
    <w:rsid w:val="00316B75"/>
    <w:rsid w:val="003219AD"/>
    <w:rsid w:val="00325646"/>
    <w:rsid w:val="003460F2"/>
    <w:rsid w:val="0038158C"/>
    <w:rsid w:val="003902BA"/>
    <w:rsid w:val="00391B04"/>
    <w:rsid w:val="003A09E2"/>
    <w:rsid w:val="003B16BC"/>
    <w:rsid w:val="00407037"/>
    <w:rsid w:val="00431922"/>
    <w:rsid w:val="004501F5"/>
    <w:rsid w:val="00456EFB"/>
    <w:rsid w:val="004605D6"/>
    <w:rsid w:val="0047106C"/>
    <w:rsid w:val="004C60E8"/>
    <w:rsid w:val="004E3579"/>
    <w:rsid w:val="004E728B"/>
    <w:rsid w:val="004F39E0"/>
    <w:rsid w:val="00517E29"/>
    <w:rsid w:val="00537BD5"/>
    <w:rsid w:val="00562269"/>
    <w:rsid w:val="0057268A"/>
    <w:rsid w:val="005A6960"/>
    <w:rsid w:val="005D2912"/>
    <w:rsid w:val="006065BD"/>
    <w:rsid w:val="006152CC"/>
    <w:rsid w:val="00632329"/>
    <w:rsid w:val="00637D01"/>
    <w:rsid w:val="006436C5"/>
    <w:rsid w:val="00645FA9"/>
    <w:rsid w:val="00647866"/>
    <w:rsid w:val="00665003"/>
    <w:rsid w:val="00670BAE"/>
    <w:rsid w:val="00683BC1"/>
    <w:rsid w:val="00696E36"/>
    <w:rsid w:val="006A2AD0"/>
    <w:rsid w:val="006A2D8E"/>
    <w:rsid w:val="006C2375"/>
    <w:rsid w:val="006D4ECC"/>
    <w:rsid w:val="006D6BBE"/>
    <w:rsid w:val="0071408B"/>
    <w:rsid w:val="00722258"/>
    <w:rsid w:val="007243E5"/>
    <w:rsid w:val="00741AFF"/>
    <w:rsid w:val="00742E18"/>
    <w:rsid w:val="00766EA0"/>
    <w:rsid w:val="007724A5"/>
    <w:rsid w:val="007758D1"/>
    <w:rsid w:val="00781E0B"/>
    <w:rsid w:val="00784C1C"/>
    <w:rsid w:val="00784D10"/>
    <w:rsid w:val="007966A2"/>
    <w:rsid w:val="007A2226"/>
    <w:rsid w:val="007F1ECD"/>
    <w:rsid w:val="007F5B66"/>
    <w:rsid w:val="00823A1C"/>
    <w:rsid w:val="00845B9D"/>
    <w:rsid w:val="008503AD"/>
    <w:rsid w:val="00860984"/>
    <w:rsid w:val="008A0A00"/>
    <w:rsid w:val="008B3ECB"/>
    <w:rsid w:val="008B4E85"/>
    <w:rsid w:val="008C14ED"/>
    <w:rsid w:val="008C1B2E"/>
    <w:rsid w:val="008F224A"/>
    <w:rsid w:val="009072E7"/>
    <w:rsid w:val="00914F9F"/>
    <w:rsid w:val="0091627E"/>
    <w:rsid w:val="0097032B"/>
    <w:rsid w:val="009A3B88"/>
    <w:rsid w:val="009D2EAD"/>
    <w:rsid w:val="009D54B2"/>
    <w:rsid w:val="009E1922"/>
    <w:rsid w:val="009F7ED2"/>
    <w:rsid w:val="00A75507"/>
    <w:rsid w:val="00A75C96"/>
    <w:rsid w:val="00A93661"/>
    <w:rsid w:val="00A95652"/>
    <w:rsid w:val="00A96328"/>
    <w:rsid w:val="00A97C70"/>
    <w:rsid w:val="00AC0AB8"/>
    <w:rsid w:val="00B063F0"/>
    <w:rsid w:val="00B103CC"/>
    <w:rsid w:val="00B1099F"/>
    <w:rsid w:val="00B121DA"/>
    <w:rsid w:val="00B33C6D"/>
    <w:rsid w:val="00B4508F"/>
    <w:rsid w:val="00B55AD5"/>
    <w:rsid w:val="00B744E7"/>
    <w:rsid w:val="00B8057C"/>
    <w:rsid w:val="00B82ED8"/>
    <w:rsid w:val="00BB5418"/>
    <w:rsid w:val="00BD5356"/>
    <w:rsid w:val="00BD6238"/>
    <w:rsid w:val="00BE7ADA"/>
    <w:rsid w:val="00BF593B"/>
    <w:rsid w:val="00BF773A"/>
    <w:rsid w:val="00BF7E81"/>
    <w:rsid w:val="00C13773"/>
    <w:rsid w:val="00C17CC8"/>
    <w:rsid w:val="00C24535"/>
    <w:rsid w:val="00C343E3"/>
    <w:rsid w:val="00C44010"/>
    <w:rsid w:val="00C83417"/>
    <w:rsid w:val="00C9604F"/>
    <w:rsid w:val="00CA19AA"/>
    <w:rsid w:val="00CA24E2"/>
    <w:rsid w:val="00CC243E"/>
    <w:rsid w:val="00CC5298"/>
    <w:rsid w:val="00CC63FD"/>
    <w:rsid w:val="00CD736E"/>
    <w:rsid w:val="00CD798D"/>
    <w:rsid w:val="00CE161E"/>
    <w:rsid w:val="00CF1A70"/>
    <w:rsid w:val="00CF20C0"/>
    <w:rsid w:val="00CF59A8"/>
    <w:rsid w:val="00D325A9"/>
    <w:rsid w:val="00D36A8A"/>
    <w:rsid w:val="00D61409"/>
    <w:rsid w:val="00D6691E"/>
    <w:rsid w:val="00D71170"/>
    <w:rsid w:val="00D80CF8"/>
    <w:rsid w:val="00D97CB6"/>
    <w:rsid w:val="00DA1C92"/>
    <w:rsid w:val="00DA25D4"/>
    <w:rsid w:val="00DA6538"/>
    <w:rsid w:val="00DE6548"/>
    <w:rsid w:val="00E0084C"/>
    <w:rsid w:val="00E15E75"/>
    <w:rsid w:val="00E309AD"/>
    <w:rsid w:val="00E45184"/>
    <w:rsid w:val="00E5262C"/>
    <w:rsid w:val="00E72D98"/>
    <w:rsid w:val="00E768C3"/>
    <w:rsid w:val="00EA5555"/>
    <w:rsid w:val="00EC7DC4"/>
    <w:rsid w:val="00ED18DE"/>
    <w:rsid w:val="00ED30CF"/>
    <w:rsid w:val="00ED7FA5"/>
    <w:rsid w:val="00F0445F"/>
    <w:rsid w:val="00F152AA"/>
    <w:rsid w:val="00F176EF"/>
    <w:rsid w:val="00F20F8F"/>
    <w:rsid w:val="00F45E10"/>
    <w:rsid w:val="00F46AFE"/>
    <w:rsid w:val="00F47C21"/>
    <w:rsid w:val="00F6364A"/>
    <w:rsid w:val="00F8771D"/>
    <w:rsid w:val="00F9113A"/>
    <w:rsid w:val="00FB1B56"/>
    <w:rsid w:val="00FD6F73"/>
    <w:rsid w:val="00FE12D9"/>
    <w:rsid w:val="00FE2546"/>
    <w:rsid w:val="00FF4D62"/>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Georgia"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D5356"/>
  </w:style>
  <w:style w:type="paragraph" w:styleId="Heading1">
    <w:name w:val="heading 1"/>
    <w:aliases w:val="Pocket"/>
    <w:basedOn w:val="Normal"/>
    <w:next w:val="Normal"/>
    <w:link w:val="Heading1Char"/>
    <w:qFormat/>
    <w:rsid w:val="00BD53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53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D53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D53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D535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D535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D535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BD5356"/>
    <w:rPr>
      <w:rFonts w:eastAsiaTheme="majorEastAsia" w:cstheme="majorBidi"/>
      <w:b/>
      <w:iCs/>
      <w:sz w:val="26"/>
    </w:rPr>
  </w:style>
  <w:style w:type="character" w:styleId="Emphasis">
    <w:name w:val="Emphasis"/>
    <w:aliases w:val="Evidence,Minimized,minimized,Highlighted,tag2,Size 10,emphasis in card,Underlined,CD Card,ED - Tag,emphasis,Emphasis!!,small,Bold Underline,Qualifications,normal card text,Shrunk,qualifications in card,qualifications,bold underline,Box,Style1,s"/>
    <w:basedOn w:val="DefaultParagraphFont"/>
    <w:link w:val="Emphasis1"/>
    <w:uiPriority w:val="7"/>
    <w:qFormat/>
    <w:rsid w:val="00BD5356"/>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D535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BD5356"/>
    <w:rPr>
      <w:b w:val="0"/>
      <w:sz w:val="22"/>
      <w:u w:val="single"/>
    </w:rPr>
  </w:style>
  <w:style w:type="character" w:styleId="Hyperlink">
    <w:name w:val="Hyperlink"/>
    <w:basedOn w:val="DefaultParagraphFont"/>
    <w:uiPriority w:val="99"/>
    <w:unhideWhenUsed/>
    <w:rsid w:val="00BD5356"/>
    <w:rPr>
      <w:color w:val="auto"/>
      <w:u w:val="none"/>
    </w:rPr>
  </w:style>
  <w:style w:type="character" w:styleId="FollowedHyperlink">
    <w:name w:val="FollowedHyperlink"/>
    <w:basedOn w:val="DefaultParagraphFont"/>
    <w:uiPriority w:val="99"/>
    <w:semiHidden/>
    <w:unhideWhenUsed/>
    <w:rsid w:val="00BD5356"/>
    <w:rPr>
      <w:color w:val="auto"/>
      <w:u w:val="non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locked/>
    <w:rsid w:val="001D7475"/>
    <w:rPr>
      <w:b/>
      <w:kern w:val="32"/>
      <w:sz w:val="24"/>
    </w:rPr>
  </w:style>
  <w:style w:type="paragraph" w:customStyle="1" w:styleId="tag">
    <w:name w:val="tag"/>
    <w:aliases w:val="No Spacing1,No Spacing111,No Spacing11,No Spacing112,No Spacing2,Debate Text,Read stuff,No Spacing3,No Spacing1121,Tag and Cite,nonunderlined,Tags,No Spacing1111,tags,Dont use,Very Small Text,No Spacing111112"/>
    <w:basedOn w:val="Normal"/>
    <w:link w:val="tagChar"/>
    <w:qFormat/>
    <w:rsid w:val="001D7475"/>
    <w:rPr>
      <w:b/>
      <w:kern w:val="32"/>
      <w:sz w:val="24"/>
    </w:rPr>
  </w:style>
  <w:style w:type="paragraph" w:styleId="ListParagraph">
    <w:name w:val="List Paragraph"/>
    <w:basedOn w:val="Normal"/>
    <w:uiPriority w:val="99"/>
    <w:unhideWhenUsed/>
    <w:qFormat/>
    <w:rsid w:val="00517E29"/>
    <w:pPr>
      <w:ind w:left="720"/>
      <w:contextualSpacing/>
    </w:pPr>
  </w:style>
  <w:style w:type="paragraph" w:customStyle="1" w:styleId="card">
    <w:name w:val="card"/>
    <w:basedOn w:val="Normal"/>
    <w:next w:val="Normal"/>
    <w:link w:val="cardChar"/>
    <w:qFormat/>
    <w:rsid w:val="001A6A06"/>
    <w:pPr>
      <w:ind w:left="288" w:right="288"/>
    </w:pPr>
    <w:rPr>
      <w:rFonts w:asciiTheme="minorHAnsi" w:hAnsiTheme="minorHAnsi"/>
      <w:u w:val="single"/>
    </w:rPr>
  </w:style>
  <w:style w:type="character" w:customStyle="1" w:styleId="cardChar">
    <w:name w:val="card Char"/>
    <w:link w:val="card"/>
    <w:locked/>
    <w:rsid w:val="001A6A06"/>
    <w:rPr>
      <w:rFonts w:asciiTheme="minorHAnsi" w:hAnsiTheme="minorHAnsi"/>
      <w:u w:val="single"/>
    </w:rPr>
  </w:style>
  <w:style w:type="character" w:customStyle="1" w:styleId="cardtextChar">
    <w:name w:val="card text Char"/>
    <w:basedOn w:val="DefaultParagraphFont"/>
    <w:link w:val="cardtext"/>
    <w:locked/>
    <w:rsid w:val="001A6A06"/>
  </w:style>
  <w:style w:type="paragraph" w:customStyle="1" w:styleId="cardtext">
    <w:name w:val="card text"/>
    <w:basedOn w:val="Normal"/>
    <w:link w:val="cardtextChar"/>
    <w:qFormat/>
    <w:rsid w:val="001A6A06"/>
    <w:pPr>
      <w:ind w:left="288" w:right="288"/>
    </w:pPr>
  </w:style>
  <w:style w:type="paragraph" w:customStyle="1" w:styleId="Emphasis1">
    <w:name w:val="Emphasis1"/>
    <w:basedOn w:val="Normal"/>
    <w:link w:val="Emphasis"/>
    <w:autoRedefine/>
    <w:uiPriority w:val="7"/>
    <w:qFormat/>
    <w:rsid w:val="00F152A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CC243E"/>
    <w:rPr>
      <w:color w:val="808080"/>
      <w:shd w:val="clear" w:color="auto" w:fill="E6E6E6"/>
    </w:rPr>
  </w:style>
  <w:style w:type="character" w:customStyle="1" w:styleId="TitleChar">
    <w:name w:val="Title Char"/>
    <w:basedOn w:val="DefaultParagraphFont"/>
    <w:link w:val="Title"/>
    <w:uiPriority w:val="6"/>
    <w:qFormat/>
    <w:rsid w:val="00431922"/>
    <w:rPr>
      <w:sz w:val="20"/>
      <w:u w:val="single"/>
    </w:rPr>
  </w:style>
  <w:style w:type="paragraph" w:styleId="Title">
    <w:name w:val="Title"/>
    <w:basedOn w:val="Normal"/>
    <w:next w:val="Normal"/>
    <w:link w:val="TitleChar"/>
    <w:uiPriority w:val="6"/>
    <w:qFormat/>
    <w:rsid w:val="00431922"/>
    <w:pPr>
      <w:outlineLvl w:val="0"/>
    </w:pPr>
    <w:rPr>
      <w:sz w:val="20"/>
      <w:u w:val="single"/>
    </w:rPr>
  </w:style>
  <w:style w:type="character" w:customStyle="1" w:styleId="TitleChar1">
    <w:name w:val="Title Char1"/>
    <w:basedOn w:val="DefaultParagraphFont"/>
    <w:uiPriority w:val="99"/>
    <w:semiHidden/>
    <w:rsid w:val="00431922"/>
    <w:rPr>
      <w:rFonts w:asciiTheme="majorHAnsi" w:eastAsiaTheme="majorEastAsia" w:hAnsiTheme="majorHAnsi" w:cstheme="majorBidi"/>
      <w:spacing w:val="-10"/>
      <w:kern w:val="28"/>
      <w:sz w:val="56"/>
      <w:szCs w:val="56"/>
    </w:rPr>
  </w:style>
  <w:style w:type="paragraph" w:customStyle="1" w:styleId="textbold">
    <w:name w:val="text bold"/>
    <w:basedOn w:val="Normal"/>
    <w:uiPriority w:val="7"/>
    <w:qFormat/>
    <w:rsid w:val="00E0084C"/>
    <w:pPr>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ED7FA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D7FA5"/>
    <w:rPr>
      <w:rFonts w:ascii="Lucida Grande" w:hAnsi="Lucida Grande" w:cs="Lucida Grande"/>
      <w:sz w:val="18"/>
      <w:szCs w:val="18"/>
    </w:rPr>
  </w:style>
  <w:style w:type="paragraph" w:styleId="DocumentMap">
    <w:name w:val="Document Map"/>
    <w:basedOn w:val="Normal"/>
    <w:link w:val="DocumentMapChar"/>
    <w:uiPriority w:val="99"/>
    <w:semiHidden/>
    <w:unhideWhenUsed/>
    <w:rsid w:val="00ED7FA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D7FA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Georgia"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D5356"/>
  </w:style>
  <w:style w:type="paragraph" w:styleId="Heading1">
    <w:name w:val="heading 1"/>
    <w:aliases w:val="Pocket"/>
    <w:basedOn w:val="Normal"/>
    <w:next w:val="Normal"/>
    <w:link w:val="Heading1Char"/>
    <w:qFormat/>
    <w:rsid w:val="00BD53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53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D53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D53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D535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D535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D535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BD5356"/>
    <w:rPr>
      <w:rFonts w:eastAsiaTheme="majorEastAsia" w:cstheme="majorBidi"/>
      <w:b/>
      <w:iCs/>
      <w:sz w:val="26"/>
    </w:rPr>
  </w:style>
  <w:style w:type="character" w:styleId="Emphasis">
    <w:name w:val="Emphasis"/>
    <w:aliases w:val="Evidence,Minimized,minimized,Highlighted,tag2,Size 10,emphasis in card,Underlined,CD Card,ED - Tag,emphasis,Emphasis!!,small,Bold Underline,Qualifications,normal card text,Shrunk,qualifications in card,qualifications,bold underline,Box,Style1,s"/>
    <w:basedOn w:val="DefaultParagraphFont"/>
    <w:link w:val="Emphasis1"/>
    <w:uiPriority w:val="7"/>
    <w:qFormat/>
    <w:rsid w:val="00BD5356"/>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D535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BD5356"/>
    <w:rPr>
      <w:b w:val="0"/>
      <w:sz w:val="22"/>
      <w:u w:val="single"/>
    </w:rPr>
  </w:style>
  <w:style w:type="character" w:styleId="Hyperlink">
    <w:name w:val="Hyperlink"/>
    <w:basedOn w:val="DefaultParagraphFont"/>
    <w:uiPriority w:val="99"/>
    <w:unhideWhenUsed/>
    <w:rsid w:val="00BD5356"/>
    <w:rPr>
      <w:color w:val="auto"/>
      <w:u w:val="none"/>
    </w:rPr>
  </w:style>
  <w:style w:type="character" w:styleId="FollowedHyperlink">
    <w:name w:val="FollowedHyperlink"/>
    <w:basedOn w:val="DefaultParagraphFont"/>
    <w:uiPriority w:val="99"/>
    <w:semiHidden/>
    <w:unhideWhenUsed/>
    <w:rsid w:val="00BD5356"/>
    <w:rPr>
      <w:color w:val="auto"/>
      <w:u w:val="non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locked/>
    <w:rsid w:val="001D7475"/>
    <w:rPr>
      <w:b/>
      <w:kern w:val="32"/>
      <w:sz w:val="24"/>
    </w:rPr>
  </w:style>
  <w:style w:type="paragraph" w:customStyle="1" w:styleId="tag">
    <w:name w:val="tag"/>
    <w:aliases w:val="No Spacing1,No Spacing111,No Spacing11,No Spacing112,No Spacing2,Debate Text,Read stuff,No Spacing3,No Spacing1121,Tag and Cite,nonunderlined,Tags,No Spacing1111,tags,Dont use,Very Small Text,No Spacing111112"/>
    <w:basedOn w:val="Normal"/>
    <w:link w:val="tagChar"/>
    <w:qFormat/>
    <w:rsid w:val="001D7475"/>
    <w:rPr>
      <w:b/>
      <w:kern w:val="32"/>
      <w:sz w:val="24"/>
    </w:rPr>
  </w:style>
  <w:style w:type="paragraph" w:styleId="ListParagraph">
    <w:name w:val="List Paragraph"/>
    <w:basedOn w:val="Normal"/>
    <w:uiPriority w:val="99"/>
    <w:unhideWhenUsed/>
    <w:qFormat/>
    <w:rsid w:val="00517E29"/>
    <w:pPr>
      <w:ind w:left="720"/>
      <w:contextualSpacing/>
    </w:pPr>
  </w:style>
  <w:style w:type="paragraph" w:customStyle="1" w:styleId="card">
    <w:name w:val="card"/>
    <w:basedOn w:val="Normal"/>
    <w:next w:val="Normal"/>
    <w:link w:val="cardChar"/>
    <w:qFormat/>
    <w:rsid w:val="001A6A06"/>
    <w:pPr>
      <w:ind w:left="288" w:right="288"/>
    </w:pPr>
    <w:rPr>
      <w:rFonts w:asciiTheme="minorHAnsi" w:hAnsiTheme="minorHAnsi"/>
      <w:u w:val="single"/>
    </w:rPr>
  </w:style>
  <w:style w:type="character" w:customStyle="1" w:styleId="cardChar">
    <w:name w:val="card Char"/>
    <w:link w:val="card"/>
    <w:locked/>
    <w:rsid w:val="001A6A06"/>
    <w:rPr>
      <w:rFonts w:asciiTheme="minorHAnsi" w:hAnsiTheme="minorHAnsi"/>
      <w:u w:val="single"/>
    </w:rPr>
  </w:style>
  <w:style w:type="character" w:customStyle="1" w:styleId="cardtextChar">
    <w:name w:val="card text Char"/>
    <w:basedOn w:val="DefaultParagraphFont"/>
    <w:link w:val="cardtext"/>
    <w:locked/>
    <w:rsid w:val="001A6A06"/>
  </w:style>
  <w:style w:type="paragraph" w:customStyle="1" w:styleId="cardtext">
    <w:name w:val="card text"/>
    <w:basedOn w:val="Normal"/>
    <w:link w:val="cardtextChar"/>
    <w:qFormat/>
    <w:rsid w:val="001A6A06"/>
    <w:pPr>
      <w:ind w:left="288" w:right="288"/>
    </w:pPr>
  </w:style>
  <w:style w:type="paragraph" w:customStyle="1" w:styleId="Emphasis1">
    <w:name w:val="Emphasis1"/>
    <w:basedOn w:val="Normal"/>
    <w:link w:val="Emphasis"/>
    <w:autoRedefine/>
    <w:uiPriority w:val="7"/>
    <w:qFormat/>
    <w:rsid w:val="00F152A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CC243E"/>
    <w:rPr>
      <w:color w:val="808080"/>
      <w:shd w:val="clear" w:color="auto" w:fill="E6E6E6"/>
    </w:rPr>
  </w:style>
  <w:style w:type="character" w:customStyle="1" w:styleId="TitleChar">
    <w:name w:val="Title Char"/>
    <w:basedOn w:val="DefaultParagraphFont"/>
    <w:link w:val="Title"/>
    <w:uiPriority w:val="6"/>
    <w:qFormat/>
    <w:rsid w:val="00431922"/>
    <w:rPr>
      <w:sz w:val="20"/>
      <w:u w:val="single"/>
    </w:rPr>
  </w:style>
  <w:style w:type="paragraph" w:styleId="Title">
    <w:name w:val="Title"/>
    <w:basedOn w:val="Normal"/>
    <w:next w:val="Normal"/>
    <w:link w:val="TitleChar"/>
    <w:uiPriority w:val="6"/>
    <w:qFormat/>
    <w:rsid w:val="00431922"/>
    <w:pPr>
      <w:outlineLvl w:val="0"/>
    </w:pPr>
    <w:rPr>
      <w:sz w:val="20"/>
      <w:u w:val="single"/>
    </w:rPr>
  </w:style>
  <w:style w:type="character" w:customStyle="1" w:styleId="TitleChar1">
    <w:name w:val="Title Char1"/>
    <w:basedOn w:val="DefaultParagraphFont"/>
    <w:uiPriority w:val="99"/>
    <w:semiHidden/>
    <w:rsid w:val="00431922"/>
    <w:rPr>
      <w:rFonts w:asciiTheme="majorHAnsi" w:eastAsiaTheme="majorEastAsia" w:hAnsiTheme="majorHAnsi" w:cstheme="majorBidi"/>
      <w:spacing w:val="-10"/>
      <w:kern w:val="28"/>
      <w:sz w:val="56"/>
      <w:szCs w:val="56"/>
    </w:rPr>
  </w:style>
  <w:style w:type="paragraph" w:customStyle="1" w:styleId="textbold">
    <w:name w:val="text bold"/>
    <w:basedOn w:val="Normal"/>
    <w:uiPriority w:val="7"/>
    <w:qFormat/>
    <w:rsid w:val="00E0084C"/>
    <w:pPr>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ED7FA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D7FA5"/>
    <w:rPr>
      <w:rFonts w:ascii="Lucida Grande" w:hAnsi="Lucida Grande" w:cs="Lucida Grande"/>
      <w:sz w:val="18"/>
      <w:szCs w:val="18"/>
    </w:rPr>
  </w:style>
  <w:style w:type="paragraph" w:styleId="DocumentMap">
    <w:name w:val="Document Map"/>
    <w:basedOn w:val="Normal"/>
    <w:link w:val="DocumentMapChar"/>
    <w:uiPriority w:val="99"/>
    <w:semiHidden/>
    <w:unhideWhenUsed/>
    <w:rsid w:val="00ED7FA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D7FA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1616084">
      <w:bodyDiv w:val="1"/>
      <w:marLeft w:val="0"/>
      <w:marRight w:val="0"/>
      <w:marTop w:val="0"/>
      <w:marBottom w:val="0"/>
      <w:divBdr>
        <w:top w:val="none" w:sz="0" w:space="0" w:color="auto"/>
        <w:left w:val="none" w:sz="0" w:space="0" w:color="auto"/>
        <w:bottom w:val="none" w:sz="0" w:space="0" w:color="auto"/>
        <w:right w:val="none" w:sz="0" w:space="0" w:color="auto"/>
      </w:divBdr>
    </w:div>
    <w:div w:id="213085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hyperlink" Target="http://dictionary.cambridge.org/define.asp?dict=A&amp;key=increase*1+0&amp;ph=on" TargetMode="External"/><Relationship Id="rId9" Type="http://schemas.openxmlformats.org/officeDocument/2006/relationships/hyperlink" Target="http://www.fourthsector.net/attachments/7/original/Summary_of_US_Law_Affecting_FS.pdf?1229493187" TargetMode="External"/><Relationship Id="rId10" Type="http://schemas.openxmlformats.org/officeDocument/2006/relationships/hyperlink" Target="https://www.cbo.gov/publication/507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BB7A8-1B2F-D249-8A61-8348B9BBF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\Users\gabri\AppData\Roaming\Microsoft\Templates\Debate.dotm</Template>
  <TotalTime>0</TotalTime>
  <Pages>8</Pages>
  <Words>6239</Words>
  <Characters>35565</Characters>
  <Application>Microsoft Macintosh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Jankovsky</dc:creator>
  <cp:keywords>5.1.1</cp:keywords>
  <dc:description/>
  <cp:lastModifiedBy>Christina Tallungan</cp:lastModifiedBy>
  <cp:revision>2</cp:revision>
  <dcterms:created xsi:type="dcterms:W3CDTF">2017-07-23T16:07:00Z</dcterms:created>
  <dcterms:modified xsi:type="dcterms:W3CDTF">2017-07-23T16:07:00Z</dcterms:modified>
</cp:coreProperties>
</file>