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FDF53D" w14:textId="75CC4145" w:rsidR="00F963B5" w:rsidRDefault="00E036EA" w:rsidP="00BF4A03">
      <w:pPr>
        <w:pStyle w:val="Heading1"/>
      </w:pPr>
      <w:r>
        <w:t>AFF DEFINITIONS</w:t>
      </w:r>
    </w:p>
    <w:p w14:paraId="5E57C76E" w14:textId="77777777" w:rsidR="00972591" w:rsidRPr="00972591" w:rsidRDefault="00972591" w:rsidP="00972591"/>
    <w:p w14:paraId="0EDCE427" w14:textId="59854A2C" w:rsidR="001E0A77" w:rsidRDefault="001E0A77" w:rsidP="001E0A77">
      <w:r w:rsidRPr="001E0A77">
        <w:t>Resolved: The United States federal government should substantially increase its funding and/or regulation of elementary and/or secondary education in the United States.</w:t>
      </w:r>
    </w:p>
    <w:p w14:paraId="688AA06C" w14:textId="77777777" w:rsidR="00972591" w:rsidRPr="001E0A77" w:rsidRDefault="00972591" w:rsidP="001E0A77"/>
    <w:p w14:paraId="6BB5EE37" w14:textId="77777777" w:rsidR="00E036EA" w:rsidRDefault="00E036EA" w:rsidP="00754D3A">
      <w:pPr>
        <w:pStyle w:val="Heading2"/>
      </w:pPr>
      <w:r>
        <w:rPr>
          <w:rStyle w:val="ital-inline"/>
        </w:rPr>
        <w:lastRenderedPageBreak/>
        <w:t>Resolved:</w:t>
      </w:r>
    </w:p>
    <w:p w14:paraId="3D8091A4" w14:textId="77777777" w:rsidR="00E036EA" w:rsidRDefault="00E036EA" w:rsidP="00E036EA"/>
    <w:p w14:paraId="08601C85" w14:textId="77777777" w:rsidR="00E036EA" w:rsidRDefault="00E036EA" w:rsidP="00E036EA">
      <w:pPr>
        <w:pStyle w:val="Heading4"/>
      </w:pPr>
      <w:r>
        <w:t>“R</w:t>
      </w:r>
      <w:r w:rsidRPr="005453A8">
        <w:t>esolved”</w:t>
      </w:r>
      <w:r>
        <w:t xml:space="preserve"> doesn’t require certainty</w:t>
      </w:r>
    </w:p>
    <w:p w14:paraId="6A32C8EB" w14:textId="77777777" w:rsidR="00E036EA" w:rsidRPr="007A1BCB" w:rsidRDefault="00E036EA" w:rsidP="00E036EA">
      <w:r w:rsidRPr="007A1BCB">
        <w:rPr>
          <w:rStyle w:val="StyleStyleBold12pt"/>
        </w:rPr>
        <w:t>Webster’s 9</w:t>
      </w:r>
      <w:r>
        <w:t xml:space="preserve"> – </w:t>
      </w:r>
      <w:r w:rsidRPr="007A1BCB">
        <w:t xml:space="preserve">Merriam Webster </w:t>
      </w:r>
      <w:r>
        <w:t>200</w:t>
      </w:r>
      <w:r w:rsidRPr="007A1BCB">
        <w:t>9</w:t>
      </w:r>
      <w:r w:rsidRPr="007A1BCB">
        <w:tab/>
      </w:r>
      <w:r w:rsidRPr="007A1BCB">
        <w:tab/>
      </w:r>
    </w:p>
    <w:p w14:paraId="3952DED3" w14:textId="77777777" w:rsidR="00E036EA" w:rsidRPr="00A83E45" w:rsidRDefault="00E036EA" w:rsidP="00E036EA">
      <w:r w:rsidRPr="007A1BCB">
        <w:t>(http://www.merriam-webster.com/dictionary/resolved)</w:t>
      </w:r>
    </w:p>
    <w:p w14:paraId="3B3B1D5E" w14:textId="77777777" w:rsidR="00E036EA" w:rsidRPr="00B87DD5" w:rsidRDefault="00E036EA" w:rsidP="00E036EA">
      <w:r w:rsidRPr="002D23E8">
        <w:rPr>
          <w:sz w:val="16"/>
          <w:szCs w:val="18"/>
        </w:rPr>
        <w:t># Main Entry: 1re·solve # Pronunciation: \ri-ˈ</w:t>
      </w:r>
      <w:r w:rsidRPr="002D23E8">
        <w:rPr>
          <w:rFonts w:cs="Calibri"/>
          <w:sz w:val="16"/>
          <w:szCs w:val="18"/>
        </w:rPr>
        <w:t>zälv, -</w:t>
      </w:r>
      <w:r w:rsidRPr="002D23E8">
        <w:rPr>
          <w:sz w:val="16"/>
          <w:szCs w:val="18"/>
        </w:rPr>
        <w:t>ˈzo</w:t>
      </w:r>
      <w:r w:rsidRPr="002D23E8">
        <w:rPr>
          <w:rFonts w:ascii="Cambria Math" w:hAnsi="Cambria Math" w:cs="Cambria Math"/>
          <w:sz w:val="16"/>
          <w:szCs w:val="18"/>
        </w:rPr>
        <w:t>̇</w:t>
      </w:r>
      <w:r w:rsidRPr="002D23E8">
        <w:rPr>
          <w:sz w:val="16"/>
          <w:szCs w:val="18"/>
        </w:rPr>
        <w:t>lv also -ˈzäv or -ˈzo</w:t>
      </w:r>
      <w:r w:rsidRPr="002D23E8">
        <w:rPr>
          <w:rFonts w:ascii="Cambria Math" w:hAnsi="Cambria Math" w:cs="Cambria Math"/>
          <w:sz w:val="16"/>
          <w:szCs w:val="18"/>
        </w:rPr>
        <w:t>̇</w:t>
      </w:r>
      <w:r w:rsidRPr="002D23E8">
        <w:rPr>
          <w:sz w:val="16"/>
          <w:szCs w:val="18"/>
        </w:rPr>
        <w:t>v\</w:t>
      </w:r>
      <w:r w:rsidRPr="002D23E8">
        <w:rPr>
          <w:rFonts w:cs="Calibri"/>
          <w:sz w:val="16"/>
          <w:szCs w:val="18"/>
        </w:rPr>
        <w:t xml:space="preserve"> </w:t>
      </w:r>
      <w:r w:rsidRPr="002D23E8">
        <w:rPr>
          <w:sz w:val="16"/>
          <w:szCs w:val="18"/>
        </w:rPr>
        <w:t xml:space="preserve"># Function: verb # Inflected Form(s): </w:t>
      </w:r>
      <w:r w:rsidRPr="00E82010">
        <w:rPr>
          <w:rStyle w:val="TitleChar"/>
        </w:rPr>
        <w:t>re·solved</w:t>
      </w:r>
      <w:r w:rsidRPr="002D23E8">
        <w:rPr>
          <w:sz w:val="16"/>
          <w:szCs w:val="18"/>
        </w:rPr>
        <w:t xml:space="preserve">; re·solv·ing 1 : to become separated into component parts; also : to become reduced by dissolving or analysis 2 : to form a resolution : determine 3 : </w:t>
      </w:r>
      <w:r w:rsidRPr="00E82010">
        <w:rPr>
          <w:rStyle w:val="TitleChar"/>
        </w:rPr>
        <w:t>consult, deliberate</w:t>
      </w:r>
      <w:r w:rsidRPr="002D23E8">
        <w:rPr>
          <w:sz w:val="16"/>
          <w:szCs w:val="18"/>
        </w:rPr>
        <w:t xml:space="preserve"> </w:t>
      </w:r>
    </w:p>
    <w:p w14:paraId="65E27B62" w14:textId="77777777" w:rsidR="00E036EA" w:rsidRDefault="00E036EA" w:rsidP="00E036EA"/>
    <w:p w14:paraId="3CA44F72" w14:textId="77777777" w:rsidR="00E036EA" w:rsidRDefault="00E036EA" w:rsidP="00E036EA">
      <w:r>
        <w:t>Or immediacy</w:t>
      </w:r>
    </w:p>
    <w:p w14:paraId="06889106" w14:textId="77777777" w:rsidR="00E036EA" w:rsidRPr="007A1BCB" w:rsidRDefault="00E036EA" w:rsidP="00E036EA">
      <w:r w:rsidRPr="007A1BCB">
        <w:rPr>
          <w:rStyle w:val="StyleStyleBold12pt"/>
        </w:rPr>
        <w:t>PTE 9</w:t>
      </w:r>
      <w:r>
        <w:t xml:space="preserve"> – </w:t>
      </w:r>
      <w:r w:rsidRPr="007A1BCB">
        <w:t>Online</w:t>
      </w:r>
      <w:r>
        <w:t xml:space="preserve"> Plain Text English Dictionary 200</w:t>
      </w:r>
      <w:r w:rsidRPr="007A1BCB">
        <w:t>9</w:t>
      </w:r>
      <w:r w:rsidRPr="007A1BCB">
        <w:tab/>
      </w:r>
    </w:p>
    <w:p w14:paraId="40304708" w14:textId="77777777" w:rsidR="00E036EA" w:rsidRDefault="00E036EA" w:rsidP="00E036EA">
      <w:pPr>
        <w:rPr>
          <w:b/>
          <w:sz w:val="18"/>
          <w:szCs w:val="18"/>
        </w:rPr>
      </w:pPr>
      <w:r w:rsidRPr="007A1BCB">
        <w:t>(http://www.onelook.com/?other=web1913&amp;w=Resolve)</w:t>
      </w:r>
    </w:p>
    <w:p w14:paraId="1721CC0F" w14:textId="77777777" w:rsidR="00E036EA" w:rsidRDefault="00E036EA" w:rsidP="00E036EA">
      <w:pPr>
        <w:rPr>
          <w:sz w:val="16"/>
        </w:rPr>
      </w:pPr>
      <w:r w:rsidRPr="00E82010">
        <w:rPr>
          <w:rStyle w:val="TitleChar"/>
        </w:rPr>
        <w:t>Resolve</w:t>
      </w:r>
      <w:r w:rsidRPr="00DD691E">
        <w:rPr>
          <w:sz w:val="16"/>
        </w:rPr>
        <w:t xml:space="preserve">: “To form a purpose; to make a decision; especially, </w:t>
      </w:r>
      <w:r w:rsidRPr="00E82010">
        <w:rPr>
          <w:rStyle w:val="TitleChar"/>
        </w:rPr>
        <w:t>to determine after reflection</w:t>
      </w:r>
      <w:r w:rsidRPr="00DD691E">
        <w:rPr>
          <w:sz w:val="16"/>
        </w:rPr>
        <w:t xml:space="preserve">; as, to resolve on a better course of life.” </w:t>
      </w:r>
    </w:p>
    <w:p w14:paraId="069E203D" w14:textId="77777777" w:rsidR="00E036EA" w:rsidRPr="00DD691E" w:rsidRDefault="00E036EA" w:rsidP="00E036EA">
      <w:pPr>
        <w:rPr>
          <w:sz w:val="16"/>
        </w:rPr>
      </w:pPr>
    </w:p>
    <w:p w14:paraId="7B476DE4" w14:textId="77777777" w:rsidR="00E036EA" w:rsidRDefault="00E036EA" w:rsidP="00754D3A">
      <w:pPr>
        <w:pStyle w:val="Heading2"/>
      </w:pPr>
      <w:r>
        <w:t xml:space="preserve">Colon: </w:t>
      </w:r>
    </w:p>
    <w:p w14:paraId="7E4FCAB2" w14:textId="77777777" w:rsidR="00E036EA" w:rsidRPr="002760C9" w:rsidRDefault="00E036EA" w:rsidP="00E036EA">
      <w:pPr>
        <w:pStyle w:val="Heading4"/>
      </w:pPr>
      <w:r>
        <w:t>C</w:t>
      </w:r>
      <w:r w:rsidRPr="002760C9">
        <w:t xml:space="preserve">olon is meaningless </w:t>
      </w:r>
      <w:r>
        <w:t>---</w:t>
      </w:r>
      <w:r w:rsidRPr="002760C9">
        <w:t xml:space="preserve"> everything </w:t>
      </w:r>
      <w:r w:rsidRPr="007D2F10">
        <w:rPr>
          <w:u w:val="single"/>
        </w:rPr>
        <w:t>after</w:t>
      </w:r>
      <w:r w:rsidRPr="002760C9">
        <w:t xml:space="preserve"> it is what’s important</w:t>
      </w:r>
    </w:p>
    <w:p w14:paraId="56200D11" w14:textId="77777777" w:rsidR="00E036EA" w:rsidRPr="00A83E45" w:rsidRDefault="00E036EA" w:rsidP="00E036EA">
      <w:r w:rsidRPr="002760C9">
        <w:rPr>
          <w:rStyle w:val="Heading2Char2"/>
        </w:rPr>
        <w:t>Webster’s 00</w:t>
      </w:r>
      <w:r w:rsidRPr="002760C9">
        <w:t xml:space="preserve"> (Guide to Grammar and Writing, </w:t>
      </w:r>
      <w:hyperlink r:id="rId11" w:history="1">
        <w:r w:rsidRPr="002760C9">
          <w:t>http://ccc.commnet.edu/grammar/marks/colon.htm</w:t>
        </w:r>
      </w:hyperlink>
      <w:r w:rsidRPr="002760C9">
        <w:t>)</w:t>
      </w:r>
    </w:p>
    <w:p w14:paraId="26A22F80" w14:textId="77777777" w:rsidR="00E036EA" w:rsidRPr="00A16892" w:rsidRDefault="00E036EA" w:rsidP="00E036EA">
      <w:pPr>
        <w:rPr>
          <w:color w:val="0D0D0D"/>
          <w:sz w:val="16"/>
        </w:rPr>
      </w:pPr>
      <w:r w:rsidRPr="00DD691E">
        <w:rPr>
          <w:color w:val="0D0D0D"/>
          <w:sz w:val="16"/>
        </w:rPr>
        <w:t xml:space="preserve">Use of a colon before a list or an explanation that is preceded by a clause that can stand by itself. Think of the colon as a gate, inviting one to go on… </w:t>
      </w:r>
      <w:r w:rsidRPr="002760C9">
        <w:rPr>
          <w:rStyle w:val="underline"/>
          <w:color w:val="0D0D0D"/>
        </w:rPr>
        <w:t>If the introductory phrase preceding the colon is very brief</w:t>
      </w:r>
      <w:r w:rsidRPr="00DD691E">
        <w:rPr>
          <w:color w:val="0D0D0D"/>
          <w:sz w:val="16"/>
        </w:rPr>
        <w:t xml:space="preserve"> and </w:t>
      </w:r>
      <w:r w:rsidRPr="002760C9">
        <w:rPr>
          <w:rStyle w:val="underline"/>
          <w:color w:val="0D0D0D"/>
        </w:rPr>
        <w:t>the clause following the colon represents the real business of the sentence</w:t>
      </w:r>
      <w:r w:rsidRPr="00DD691E">
        <w:rPr>
          <w:color w:val="0D0D0D"/>
          <w:sz w:val="16"/>
        </w:rPr>
        <w:t>, begin the clause after the colon with a capital letter.</w:t>
      </w:r>
    </w:p>
    <w:p w14:paraId="370511AD" w14:textId="77777777" w:rsidR="00E036EA" w:rsidRDefault="00E036EA" w:rsidP="00E036EA"/>
    <w:p w14:paraId="5883DAF6" w14:textId="77777777" w:rsidR="00E036EA" w:rsidRPr="002760C9" w:rsidRDefault="00E036EA" w:rsidP="00E036EA">
      <w:pPr>
        <w:pStyle w:val="Heading4"/>
      </w:pPr>
      <w:r w:rsidRPr="002760C9">
        <w:t>The colon just elaborates on what the c</w:t>
      </w:r>
      <w:r>
        <w:t>ommunity was resolved to debate</w:t>
      </w:r>
    </w:p>
    <w:p w14:paraId="5573E349" w14:textId="77777777" w:rsidR="00E036EA" w:rsidRPr="00A83E45" w:rsidRDefault="00E036EA" w:rsidP="00E036EA">
      <w:r w:rsidRPr="002760C9">
        <w:rPr>
          <w:rStyle w:val="Heading2Char2"/>
        </w:rPr>
        <w:t>Encarta 7</w:t>
      </w:r>
      <w:r w:rsidRPr="002760C9">
        <w:t xml:space="preserve"> (World Dictionary, </w:t>
      </w:r>
      <w:r>
        <w:t xml:space="preserve">“colon”, </w:t>
      </w:r>
      <w:hyperlink r:id="rId12" w:history="1">
        <w:r w:rsidRPr="002760C9">
          <w:t>http://encarta.msn.com/encnet/features/dictionary/DictionaryResults.aspx?refid=1861</w:t>
        </w:r>
        <w:r>
          <w:t xml:space="preserve"> </w:t>
        </w:r>
        <w:r w:rsidRPr="002760C9">
          <w:t>598666</w:t>
        </w:r>
      </w:hyperlink>
      <w:r w:rsidRPr="002760C9">
        <w:t>)</w:t>
      </w:r>
    </w:p>
    <w:p w14:paraId="59E35224" w14:textId="77777777" w:rsidR="00E036EA" w:rsidRPr="00DD691E" w:rsidRDefault="00E036EA" w:rsidP="00E036EA">
      <w:pPr>
        <w:rPr>
          <w:sz w:val="16"/>
        </w:rPr>
      </w:pPr>
      <w:r w:rsidRPr="00DD691E">
        <w:rPr>
          <w:rStyle w:val="Heading3Char"/>
          <w:sz w:val="16"/>
        </w:rPr>
        <w:t>co·lon</w:t>
      </w:r>
      <w:r w:rsidRPr="00DD691E">
        <w:rPr>
          <w:sz w:val="16"/>
        </w:rPr>
        <w:t xml:space="preserve"> (plural co·lons)</w:t>
      </w:r>
    </w:p>
    <w:p w14:paraId="00D31B21" w14:textId="77777777" w:rsidR="00E036EA" w:rsidRPr="00DD691E" w:rsidRDefault="00E036EA" w:rsidP="00E036EA">
      <w:pPr>
        <w:rPr>
          <w:sz w:val="16"/>
        </w:rPr>
      </w:pPr>
      <w:r w:rsidRPr="00DD691E">
        <w:rPr>
          <w:sz w:val="16"/>
        </w:rPr>
        <w:t>noun </w:t>
      </w:r>
    </w:p>
    <w:p w14:paraId="3DC4719E" w14:textId="77777777" w:rsidR="00E036EA" w:rsidRPr="00DD691E" w:rsidRDefault="00E036EA" w:rsidP="00E036EA">
      <w:pPr>
        <w:rPr>
          <w:sz w:val="16"/>
        </w:rPr>
      </w:pPr>
      <w:r w:rsidRPr="00DD691E">
        <w:rPr>
          <w:sz w:val="16"/>
        </w:rPr>
        <w:t>Definition:</w:t>
      </w:r>
    </w:p>
    <w:p w14:paraId="34478FD2" w14:textId="77777777" w:rsidR="00E036EA" w:rsidRPr="00DD691E" w:rsidRDefault="00E036EA" w:rsidP="00E036EA">
      <w:pPr>
        <w:rPr>
          <w:sz w:val="16"/>
        </w:rPr>
      </w:pPr>
      <w:r w:rsidRPr="00DD691E">
        <w:rPr>
          <w:sz w:val="16"/>
        </w:rPr>
        <w:t xml:space="preserve">1. punctuation mark: the punctuation mark (:) </w:t>
      </w:r>
      <w:r w:rsidRPr="00666984">
        <w:rPr>
          <w:rStyle w:val="TitleChar"/>
        </w:rPr>
        <w:t>used to divide distinct but related sentence components such as clauses in which the second elaborates on the first</w:t>
      </w:r>
      <w:r w:rsidRPr="00DD691E">
        <w:rPr>
          <w:sz w:val="16"/>
        </w:rPr>
        <w:t>, or to introduce a list, quotation, or speech. A colon is sometimes used in U.S. business letters after the salutation. Colons are also used between numbers in statements of proportion or time and Biblical or literary references.</w:t>
      </w:r>
    </w:p>
    <w:p w14:paraId="38652CED" w14:textId="77777777" w:rsidR="00E036EA" w:rsidRDefault="00E036EA" w:rsidP="00754D3A">
      <w:pPr>
        <w:pStyle w:val="Heading2"/>
      </w:pPr>
      <w:r>
        <w:t xml:space="preserve">The: </w:t>
      </w:r>
    </w:p>
    <w:p w14:paraId="1C795E6F" w14:textId="77777777" w:rsidR="00E036EA" w:rsidRPr="00DD691E" w:rsidRDefault="00E036EA" w:rsidP="00E036EA">
      <w:pPr>
        <w:pStyle w:val="Heading4"/>
      </w:pPr>
      <w:r w:rsidRPr="00DD691E">
        <w:t>Means the noun must be interpreted generically</w:t>
      </w:r>
    </w:p>
    <w:p w14:paraId="77289619" w14:textId="77777777" w:rsidR="00E036EA" w:rsidRPr="00DD691E" w:rsidRDefault="00E036EA" w:rsidP="00E036EA">
      <w:r w:rsidRPr="00DD691E">
        <w:rPr>
          <w:rStyle w:val="Heading2Char2"/>
        </w:rPr>
        <w:t>Webster’s 9</w:t>
      </w:r>
      <w:r w:rsidRPr="00DD691E">
        <w:t xml:space="preserve"> (Merriam-Webster’s Online Dictionary, “The”, http://www.merriam-webster.com/dictionary/the)</w:t>
      </w:r>
    </w:p>
    <w:p w14:paraId="6B132BC0" w14:textId="77777777" w:rsidR="00E036EA" w:rsidRDefault="00E036EA" w:rsidP="00E036EA">
      <w:pPr>
        <w:rPr>
          <w:rStyle w:val="vi"/>
          <w:sz w:val="16"/>
        </w:rPr>
      </w:pPr>
      <w:r w:rsidRPr="00DD691E">
        <w:rPr>
          <w:rStyle w:val="senselabelstart"/>
          <w:sz w:val="16"/>
        </w:rPr>
        <w:t>3 a</w:t>
      </w:r>
      <w:r w:rsidRPr="00DD691E">
        <w:rPr>
          <w:rStyle w:val="sensecontent"/>
          <w:sz w:val="16"/>
        </w:rPr>
        <w:t>—</w:t>
      </w:r>
      <w:r w:rsidRPr="00DD691E">
        <w:rPr>
          <w:rStyle w:val="TitleChar"/>
        </w:rPr>
        <w:t xml:space="preserve">used as a function word before a </w:t>
      </w:r>
      <w:r w:rsidRPr="00DD691E">
        <w:rPr>
          <w:rStyle w:val="Emphasis"/>
        </w:rPr>
        <w:t>singular noun</w:t>
      </w:r>
      <w:r w:rsidRPr="00DD691E">
        <w:rPr>
          <w:rStyle w:val="TitleChar"/>
        </w:rPr>
        <w:t xml:space="preserve"> to indicate that the noun is to be understood </w:t>
      </w:r>
      <w:r w:rsidRPr="00DD691E">
        <w:rPr>
          <w:rStyle w:val="Emphasis"/>
        </w:rPr>
        <w:t>generically</w:t>
      </w:r>
      <w:r w:rsidRPr="00DD691E">
        <w:rPr>
          <w:rStyle w:val="TitleChar"/>
        </w:rPr>
        <w:t xml:space="preserve"> &lt;the dog is a domestic animal</w:t>
      </w:r>
      <w:r w:rsidRPr="00DD691E">
        <w:rPr>
          <w:rStyle w:val="vi"/>
          <w:sz w:val="16"/>
        </w:rPr>
        <w:t>&gt;</w:t>
      </w:r>
      <w:r w:rsidRPr="00DD691E">
        <w:rPr>
          <w:sz w:val="16"/>
        </w:rPr>
        <w:t xml:space="preserve"> </w:t>
      </w:r>
      <w:r w:rsidRPr="00DD691E">
        <w:rPr>
          <w:rStyle w:val="senselabel"/>
          <w:sz w:val="16"/>
        </w:rPr>
        <w:t>b</w:t>
      </w:r>
      <w:r w:rsidRPr="00DD691E">
        <w:rPr>
          <w:rStyle w:val="sensecontent"/>
          <w:sz w:val="16"/>
        </w:rPr>
        <w:t xml:space="preserve">—used as a function word before a singular substantivized adjective to indicate an abstract idea </w:t>
      </w:r>
      <w:r w:rsidRPr="00DD691E">
        <w:rPr>
          <w:rStyle w:val="vi"/>
          <w:sz w:val="16"/>
        </w:rPr>
        <w:t xml:space="preserve">&lt;an essay on </w:t>
      </w:r>
      <w:r w:rsidRPr="00DD691E">
        <w:rPr>
          <w:rStyle w:val="Emphasis"/>
        </w:rPr>
        <w:t>the</w:t>
      </w:r>
      <w:r w:rsidRPr="00DD691E">
        <w:rPr>
          <w:rStyle w:val="vi"/>
          <w:sz w:val="16"/>
        </w:rPr>
        <w:t xml:space="preserve"> sublime&gt;</w:t>
      </w:r>
    </w:p>
    <w:p w14:paraId="0F14AE74" w14:textId="7529D910" w:rsidR="00E036EA" w:rsidRDefault="00E036EA" w:rsidP="00754D3A">
      <w:pPr>
        <w:pStyle w:val="Heading2"/>
      </w:pPr>
      <w:bookmarkStart w:id="0" w:name="_Toc205492272"/>
      <w:bookmarkStart w:id="1" w:name="_Toc233173601"/>
      <w:r>
        <w:t>Federal Government</w:t>
      </w:r>
      <w:bookmarkEnd w:id="0"/>
      <w:bookmarkEnd w:id="1"/>
      <w:r w:rsidR="00754D3A">
        <w:t>:</w:t>
      </w:r>
    </w:p>
    <w:p w14:paraId="277547B9" w14:textId="77777777" w:rsidR="00E036EA" w:rsidRDefault="00E036EA" w:rsidP="00E036EA">
      <w:pPr>
        <w:pStyle w:val="Heading4"/>
      </w:pPr>
      <w:r>
        <w:t>“Federal Government” means the United States government</w:t>
      </w:r>
    </w:p>
    <w:p w14:paraId="594D44CB" w14:textId="77777777" w:rsidR="00E036EA" w:rsidRDefault="00E036EA" w:rsidP="00E036EA">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14:paraId="04550F9E" w14:textId="77777777" w:rsidR="00E036EA" w:rsidRDefault="00E036EA" w:rsidP="00E036EA">
      <w:r w:rsidRPr="005318E1">
        <w:t>The U.S. government</w:t>
      </w:r>
      <w:r>
        <w:t xml:space="preserve">—also </w:t>
      </w:r>
      <w:r w:rsidRPr="005318E1">
        <w:t>termed national government</w:t>
      </w:r>
    </w:p>
    <w:p w14:paraId="4E44DB24" w14:textId="77777777" w:rsidR="00E036EA" w:rsidRDefault="00E036EA" w:rsidP="00E036EA">
      <w:pPr>
        <w:pStyle w:val="Heading4"/>
      </w:pPr>
      <w:r>
        <w:t>“Government” is all three branches</w:t>
      </w:r>
    </w:p>
    <w:p w14:paraId="4297DD81" w14:textId="77777777" w:rsidR="00E036EA" w:rsidRDefault="00E036EA" w:rsidP="00E036EA">
      <w:r w:rsidRPr="00F55462">
        <w:rPr>
          <w:rStyle w:val="Heading2Char2"/>
        </w:rPr>
        <w:t>Black’s Law 90</w:t>
      </w:r>
      <w:r>
        <w:t xml:space="preserve"> (Dictionary, p. 695)</w:t>
      </w:r>
    </w:p>
    <w:p w14:paraId="0496C2A6" w14:textId="234CEAE0" w:rsidR="00E036EA" w:rsidRPr="00FE20A6" w:rsidRDefault="00E036EA" w:rsidP="00E036EA">
      <w:pPr>
        <w:rPr>
          <w:sz w:val="16"/>
        </w:rPr>
      </w:pPr>
      <w:r w:rsidRPr="00521C4B">
        <w:rPr>
          <w:sz w:val="16"/>
        </w:rPr>
        <w:t>“[</w:t>
      </w:r>
      <w:r w:rsidRPr="00521C4B">
        <w:rPr>
          <w:i/>
          <w:sz w:val="16"/>
        </w:rPr>
        <w:t>Government</w:t>
      </w:r>
      <w:r w:rsidRPr="00521C4B">
        <w:rPr>
          <w:sz w:val="16"/>
        </w:rPr>
        <w:t xml:space="preserve">] </w:t>
      </w:r>
      <w:r w:rsidRPr="0031296B">
        <w:rPr>
          <w:rStyle w:val="Style11ptUnderline"/>
        </w:rPr>
        <w:t>In the</w:t>
      </w:r>
      <w:r w:rsidRPr="00521C4B">
        <w:rPr>
          <w:sz w:val="16"/>
        </w:rPr>
        <w:t xml:space="preserve"> </w:t>
      </w:r>
      <w:r w:rsidRPr="00F55462">
        <w:rPr>
          <w:rStyle w:val="Style11ptUnderlineBorderSinglesolidlineAuto05pt"/>
        </w:rPr>
        <w:t>U</w:t>
      </w:r>
      <w:r w:rsidRPr="00521C4B">
        <w:rPr>
          <w:sz w:val="16"/>
        </w:rPr>
        <w:t xml:space="preserve">nited </w:t>
      </w:r>
      <w:r w:rsidRPr="00F55462">
        <w:rPr>
          <w:rStyle w:val="Style11ptUnderlineBorderSinglesolidlineAuto05pt"/>
        </w:rPr>
        <w:t>S</w:t>
      </w:r>
      <w:r w:rsidRPr="00521C4B">
        <w:rPr>
          <w:sz w:val="16"/>
        </w:rPr>
        <w:t xml:space="preserve">tates, </w:t>
      </w:r>
      <w:r w:rsidRPr="0031296B">
        <w:rPr>
          <w:rStyle w:val="Style11ptUnderline"/>
        </w:rPr>
        <w:t>government consists of the executive, legislative, and judicial branches</w:t>
      </w:r>
      <w:r w:rsidRPr="00521C4B">
        <w:rPr>
          <w:sz w:val="16"/>
        </w:rPr>
        <w:t xml:space="preserve"> in addition to administrative agencies.  In a broader sense, includes the federal government and all its agencies and bureaus, state and county governments, and city and township governments.”</w:t>
      </w:r>
    </w:p>
    <w:p w14:paraId="26B6035E" w14:textId="77777777" w:rsidR="00E036EA" w:rsidRDefault="00E036EA" w:rsidP="00E036EA">
      <w:pPr>
        <w:pStyle w:val="Heading4"/>
      </w:pPr>
      <w:r>
        <w:t>Includes agencies</w:t>
      </w:r>
    </w:p>
    <w:p w14:paraId="2FABF54E" w14:textId="77777777" w:rsidR="00E036EA" w:rsidRDefault="00E036EA" w:rsidP="00E036EA">
      <w:r w:rsidRPr="000E61F1">
        <w:rPr>
          <w:rStyle w:val="StyleStyleBold12pt"/>
        </w:rPr>
        <w:t>Words &amp; Phrases 4</w:t>
      </w:r>
      <w:r>
        <w:t xml:space="preserve"> (Cumulative Supplementary Pamphlet, v. 16A, p. 42)</w:t>
      </w:r>
    </w:p>
    <w:p w14:paraId="72EE881A" w14:textId="77777777" w:rsidR="00E036EA" w:rsidRPr="00521C4B" w:rsidRDefault="00E036EA" w:rsidP="00E036EA">
      <w:pPr>
        <w:rPr>
          <w:sz w:val="16"/>
        </w:rPr>
      </w:pPr>
      <w:r w:rsidRPr="0034794C">
        <w:rPr>
          <w:sz w:val="16"/>
        </w:rPr>
        <w:t xml:space="preserve">N.D.Ga. 1986. </w:t>
      </w:r>
      <w:r w:rsidRPr="000E61F1">
        <w:rPr>
          <w:rStyle w:val="TitleChar"/>
        </w:rPr>
        <w:t>Action against the Postal Service, although an independent establishment of the executive branch</w:t>
      </w:r>
      <w:r w:rsidRPr="0034794C">
        <w:rPr>
          <w:sz w:val="16"/>
        </w:rPr>
        <w:t xml:space="preserve"> of the federal government,</w:t>
      </w:r>
      <w:r w:rsidRPr="000E61F1">
        <w:rPr>
          <w:rStyle w:val="TitleChar"/>
        </w:rPr>
        <w:t xml:space="preserve"> is an action against the “Federal Government”</w:t>
      </w:r>
      <w:r w:rsidRPr="0034794C">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F.Supp. 972 (M.D.Ala.). 39 U.S.C.A. 201; U.S.C.A. Const.Amend. 7.—Griffin v. U.S. Postal Service, 635 F.Supp. 190.—Jury 12(1.2).</w:t>
      </w:r>
    </w:p>
    <w:p w14:paraId="159619BC" w14:textId="77777777" w:rsidR="00754D3A" w:rsidRDefault="00754D3A" w:rsidP="00754D3A">
      <w:pPr>
        <w:pStyle w:val="Heading2"/>
      </w:pPr>
      <w:r>
        <w:t>Should:</w:t>
      </w:r>
    </w:p>
    <w:p w14:paraId="43E83452" w14:textId="1CC6D868" w:rsidR="00E036EA" w:rsidRDefault="00754D3A" w:rsidP="00754D3A">
      <w:pPr>
        <w:pStyle w:val="Heading3"/>
      </w:pPr>
      <w:r>
        <w:t>Should =</w:t>
      </w:r>
      <w:r w:rsidR="00E036EA">
        <w:t xml:space="preserve"> Desirable</w:t>
      </w:r>
    </w:p>
    <w:p w14:paraId="3E2C16C4" w14:textId="77777777" w:rsidR="00F963B5" w:rsidRPr="00707DBD" w:rsidRDefault="00F963B5" w:rsidP="00F963B5">
      <w:pPr>
        <w:pStyle w:val="Heading4"/>
        <w:rPr>
          <w:rFonts w:cs="Times New Roman"/>
        </w:rPr>
      </w:pPr>
      <w:r w:rsidRPr="00707DBD">
        <w:rPr>
          <w:rFonts w:cs="Times New Roman"/>
        </w:rPr>
        <w:t>Should is not binding</w:t>
      </w:r>
    </w:p>
    <w:p w14:paraId="3C722309" w14:textId="77777777" w:rsidR="00F963B5" w:rsidRPr="00707DBD" w:rsidRDefault="00F963B5" w:rsidP="00F963B5">
      <w:r w:rsidRPr="00707DBD">
        <w:rPr>
          <w:rStyle w:val="StyleStyleBold12pt"/>
        </w:rPr>
        <w:t xml:space="preserve">Eddy, 15 </w:t>
      </w:r>
      <w:r w:rsidRPr="00707DBD">
        <w:t>-</w:t>
      </w:r>
      <w:r w:rsidRPr="00707DBD">
        <w:rPr>
          <w:rStyle w:val="StyleStyleBold12pt"/>
        </w:rPr>
        <w:t xml:space="preserve"> </w:t>
      </w:r>
      <w:r w:rsidRPr="00707DBD">
        <w:t>Berlin correspondent for The International New York Times, a position she has held since January 2012(“The Road to a Paris Climate Deal”, The New York Times, 14 December 2015, https://www.nytimes.com/interactive/projects/cp/climate/2015-paris-climate-talks/at-climate-talks-three-letters-almost-sunk-the-deal)//SL</w:t>
      </w:r>
    </w:p>
    <w:p w14:paraId="01B6F534" w14:textId="77777777" w:rsidR="00F963B5" w:rsidRPr="00707DBD" w:rsidRDefault="00F963B5" w:rsidP="00F963B5">
      <w:r w:rsidRPr="00707DBD">
        <w:t>PARIS — In the 11th hour before the landmark climate deal was approved on Saturday</w:t>
      </w:r>
      <w:r w:rsidRPr="00707DBD">
        <w:rPr>
          <w:rStyle w:val="StyleBoldUnderline"/>
        </w:rPr>
        <w:t xml:space="preserve">, a few letters threatened to derail years of calculated negotiations and two weeks of intense diplomacy — those that made </w:t>
      </w:r>
      <w:r w:rsidRPr="00707DBD">
        <w:rPr>
          <w:rStyle w:val="Emphasis"/>
        </w:rPr>
        <w:t>“should”</w:t>
      </w:r>
      <w:r w:rsidRPr="00707DBD">
        <w:rPr>
          <w:rStyle w:val="StyleBoldUnderline"/>
        </w:rPr>
        <w:t xml:space="preserve"> into </w:t>
      </w:r>
      <w:r w:rsidRPr="00707DBD">
        <w:rPr>
          <w:rStyle w:val="Emphasis"/>
        </w:rPr>
        <w:t>“shall.”</w:t>
      </w:r>
      <w:r>
        <w:rPr>
          <w:rStyle w:val="StyleBoldUnderline"/>
        </w:rPr>
        <w:t xml:space="preserve"> </w:t>
      </w:r>
      <w:r w:rsidRPr="00707DBD">
        <w:rPr>
          <w:rStyle w:val="StyleBoldUnderline"/>
        </w:rPr>
        <w:t>Those two words may seem disarmingly similar</w:t>
      </w:r>
      <w:r w:rsidRPr="00707DBD">
        <w:t xml:space="preserve">, but on the international stage, </w:t>
      </w:r>
      <w:r w:rsidRPr="00707DBD">
        <w:rPr>
          <w:rStyle w:val="StyleBoldUnderline"/>
        </w:rPr>
        <w:t>they are worlds apart in terms of the</w:t>
      </w:r>
      <w:r>
        <w:rPr>
          <w:rStyle w:val="StyleBoldUnderline"/>
        </w:rPr>
        <w:t xml:space="preserve"> </w:t>
      </w:r>
      <w:hyperlink r:id="rId13" w:history="1">
        <w:r w:rsidRPr="00707DBD">
          <w:rPr>
            <w:rStyle w:val="StyleBoldUnderline"/>
          </w:rPr>
          <w:t>diplomatic meaning</w:t>
        </w:r>
      </w:hyperlink>
      <w:r>
        <w:rPr>
          <w:rStyle w:val="StyleBoldUnderline"/>
        </w:rPr>
        <w:t xml:space="preserve"> </w:t>
      </w:r>
      <w:r w:rsidRPr="00707DBD">
        <w:rPr>
          <w:rStyle w:val="StyleBoldUnderline"/>
        </w:rPr>
        <w:t xml:space="preserve">they carry. The </w:t>
      </w:r>
      <w:r w:rsidRPr="00707DBD">
        <w:rPr>
          <w:rStyle w:val="Emphasis"/>
        </w:rPr>
        <w:t xml:space="preserve">legally binding </w:t>
      </w:r>
      <w:r w:rsidRPr="00707DBD">
        <w:rPr>
          <w:rStyle w:val="StyleBoldUnderline"/>
        </w:rPr>
        <w:t>“shall” stopped the United States cold when it showed up on Saturday in what was to be the final draft of the historic pact.</w:t>
      </w:r>
      <w:r>
        <w:rPr>
          <w:rStyle w:val="StyleBoldUnderline"/>
        </w:rPr>
        <w:t xml:space="preserve"> </w:t>
      </w:r>
      <w:r w:rsidRPr="00707DBD">
        <w:t xml:space="preserve">Throughout the process, </w:t>
      </w:r>
      <w:r w:rsidRPr="00707DBD">
        <w:rPr>
          <w:rStyle w:val="StyleBoldUnderline"/>
        </w:rPr>
        <w:t>the longer and less binding “should” was a deliberate part of the international agreement, put there to establish that the richest countries, including the United States, felt obligated to pony up money to help poor countries adapt to climate change and make the transition to sustainable energy system</w:t>
      </w:r>
      <w:r w:rsidRPr="00707DBD">
        <w:t xml:space="preserve">s. </w:t>
      </w:r>
      <w:r w:rsidRPr="00707DBD">
        <w:rPr>
          <w:rStyle w:val="Emphasis"/>
        </w:rPr>
        <w:t>“Shall” meant something altogether different</w:t>
      </w:r>
      <w:r w:rsidRPr="00707DBD">
        <w:rPr>
          <w:rStyle w:val="StyleBoldUnderline"/>
        </w:rPr>
        <w:t>, American officials said.</w:t>
      </w:r>
      <w:r>
        <w:t xml:space="preserve"> </w:t>
      </w:r>
      <w:r w:rsidRPr="00707DBD">
        <w:rPr>
          <w:rStyle w:val="StyleBoldUnderline"/>
        </w:rPr>
        <w:t xml:space="preserve">When “shall” was spotted in the document </w:t>
      </w:r>
      <w:r w:rsidRPr="00707DBD">
        <w:t xml:space="preserve">on Saturday, Secretary of State </w:t>
      </w:r>
      <w:r w:rsidRPr="00707DBD">
        <w:rPr>
          <w:rStyle w:val="StyleBoldUnderline"/>
        </w:rPr>
        <w:t>John Kerry called his French counterpart and made it clear that unless a switch was made,</w:t>
      </w:r>
      <w:r w:rsidRPr="00707DBD">
        <w:t xml:space="preserve"> France could not count on American support for the agreement.</w:t>
      </w:r>
    </w:p>
    <w:p w14:paraId="6E2A0838" w14:textId="77777777" w:rsidR="00BF4A03" w:rsidRPr="005015BA" w:rsidRDefault="00BF4A03" w:rsidP="00BF4A03">
      <w:pPr>
        <w:pStyle w:val="Heading4"/>
      </w:pPr>
      <w:r w:rsidRPr="005015BA">
        <w:t>Should implies a conditional approach</w:t>
      </w:r>
    </w:p>
    <w:p w14:paraId="5D8A3671" w14:textId="77777777" w:rsidR="00BF4A03" w:rsidRPr="005015BA" w:rsidRDefault="00BF4A03" w:rsidP="00BF4A03">
      <w:r w:rsidRPr="005015BA">
        <w:rPr>
          <w:rStyle w:val="StyleStyleBold12pt"/>
        </w:rPr>
        <w:t xml:space="preserve">Merriam-Webster </w:t>
      </w:r>
      <w:r w:rsidRPr="005015BA">
        <w:t>[Merriam-Webster.com, n.d., “Should,” http://www.merriam-webster.com/dictionary/should]</w:t>
      </w:r>
    </w:p>
    <w:p w14:paraId="1A576EAF" w14:textId="77777777" w:rsidR="00BF4A03" w:rsidRPr="005015BA" w:rsidRDefault="00BF4A03" w:rsidP="00BF4A03">
      <w:r w:rsidRPr="005015BA">
        <w:t>1—</w:t>
      </w:r>
      <w:r w:rsidRPr="005015BA">
        <w:rPr>
          <w:rStyle w:val="StyleBoldUnderline"/>
        </w:rPr>
        <w:t>used in auxiliary function to express condition</w:t>
      </w:r>
      <w:r w:rsidRPr="005015BA">
        <w:t xml:space="preserve"> &lt;i</w:t>
      </w:r>
      <w:r w:rsidRPr="005015BA">
        <w:rPr>
          <w:rStyle w:val="StyleBoldUnderline"/>
        </w:rPr>
        <w:t>f he should leave his father, his father would die</w:t>
      </w:r>
      <w:r w:rsidRPr="005015BA">
        <w:t xml:space="preserve"> — Genesis 44:22(Revised Standard Version)&gt;</w:t>
      </w:r>
    </w:p>
    <w:p w14:paraId="62E972B4" w14:textId="77777777" w:rsidR="00F963B5" w:rsidRPr="00707DBD" w:rsidRDefault="00F963B5" w:rsidP="00F963B5"/>
    <w:p w14:paraId="30E240AE" w14:textId="77777777" w:rsidR="00E036EA" w:rsidRDefault="00E036EA" w:rsidP="00E036EA"/>
    <w:p w14:paraId="72D82328" w14:textId="77777777" w:rsidR="00E036EA" w:rsidRPr="002C4F93" w:rsidRDefault="00E036EA" w:rsidP="00E036EA">
      <w:pPr>
        <w:pStyle w:val="Heading4"/>
      </w:pPr>
      <w:r>
        <w:t>“Should” means desirable --- this does not have to be a mandate</w:t>
      </w:r>
    </w:p>
    <w:p w14:paraId="68C9AE77" w14:textId="77777777" w:rsidR="00E036EA" w:rsidRPr="00521C4B" w:rsidRDefault="00E036EA" w:rsidP="00E036EA">
      <w:r w:rsidRPr="00A16892">
        <w:rPr>
          <w:rStyle w:val="StyleStyleBold12pt"/>
        </w:rPr>
        <w:t>AC 99</w:t>
      </w:r>
      <w:r w:rsidRPr="00B34C67">
        <w:t xml:space="preserve"> (</w:t>
      </w:r>
      <w:r>
        <w:t xml:space="preserve">Atlas Collaboration, </w:t>
      </w:r>
      <w:r w:rsidRPr="00B34C67">
        <w:t>“Use of Shall, Should, May Can,” http</w:t>
      </w:r>
      <w:r w:rsidRPr="00521C4B">
        <w:t>://rd13doc.cern.ch/Atlas/DaqSoft/sde/inspect/shall.html)</w:t>
      </w:r>
    </w:p>
    <w:p w14:paraId="1C36EBAA" w14:textId="77777777" w:rsidR="00E036EA" w:rsidRPr="00521C4B" w:rsidRDefault="00E036EA" w:rsidP="00E036EA">
      <w:pPr>
        <w:rPr>
          <w:sz w:val="16"/>
        </w:rPr>
      </w:pPr>
      <w:r w:rsidRPr="00521C4B">
        <w:rPr>
          <w:sz w:val="16"/>
        </w:rPr>
        <w:t>shall</w:t>
      </w:r>
    </w:p>
    <w:p w14:paraId="01FBA9D6" w14:textId="77777777" w:rsidR="00E036EA" w:rsidRPr="00521C4B" w:rsidRDefault="00E036EA" w:rsidP="00E036EA">
      <w:pPr>
        <w:rPr>
          <w:sz w:val="16"/>
        </w:rPr>
      </w:pPr>
      <w:r w:rsidRPr="00521C4B">
        <w:rPr>
          <w:rStyle w:val="TitleChar"/>
        </w:rPr>
        <w:t>'shall' describes something that is mandatory</w:t>
      </w:r>
      <w:r w:rsidRPr="00521C4B">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2EAF1863" w14:textId="77777777" w:rsidR="00E036EA" w:rsidRPr="00521C4B" w:rsidRDefault="00E036EA" w:rsidP="00E036EA">
      <w:pPr>
        <w:rPr>
          <w:sz w:val="16"/>
        </w:rPr>
      </w:pPr>
      <w:r w:rsidRPr="00521C4B">
        <w:rPr>
          <w:sz w:val="16"/>
        </w:rPr>
        <w:t>should</w:t>
      </w:r>
    </w:p>
    <w:p w14:paraId="0E4756CD" w14:textId="77777777" w:rsidR="00E036EA" w:rsidRPr="00A16892" w:rsidRDefault="00E036EA" w:rsidP="00E036EA">
      <w:pPr>
        <w:rPr>
          <w:sz w:val="16"/>
        </w:rPr>
      </w:pPr>
      <w:r w:rsidRPr="00521C4B">
        <w:rPr>
          <w:rStyle w:val="TitleChar"/>
        </w:rPr>
        <w:t>'should' is weaker. It describes something that might not be satisfied in the final product, but that is desirable enough</w:t>
      </w:r>
      <w:r w:rsidRPr="00521C4B">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61D9AFDE" w14:textId="77777777" w:rsidR="00E036EA" w:rsidRDefault="00E036EA" w:rsidP="00E036EA"/>
    <w:p w14:paraId="773CB6BB" w14:textId="77777777" w:rsidR="00E036EA" w:rsidRPr="00521C4B" w:rsidRDefault="00E036EA" w:rsidP="00E036EA">
      <w:pPr>
        <w:pStyle w:val="Heading4"/>
      </w:pPr>
      <w:r w:rsidRPr="00521C4B">
        <w:t>“Should” doesn’t require certainty</w:t>
      </w:r>
    </w:p>
    <w:p w14:paraId="6F3B1107" w14:textId="77777777" w:rsidR="00E036EA" w:rsidRPr="00521C4B" w:rsidRDefault="00E036EA" w:rsidP="00E036EA">
      <w:r w:rsidRPr="00521C4B">
        <w:rPr>
          <w:b/>
          <w:bCs/>
        </w:rPr>
        <w:t>Black’s Law 79</w:t>
      </w:r>
      <w:r w:rsidRPr="00521C4B">
        <w:t xml:space="preserve"> (Black’s Law Dictionary – Fifth Edition, p. 1237)</w:t>
      </w:r>
    </w:p>
    <w:p w14:paraId="4809255D" w14:textId="77777777" w:rsidR="00E036EA" w:rsidRPr="00521C4B" w:rsidRDefault="00E036EA" w:rsidP="00E036EA">
      <w:pPr>
        <w:rPr>
          <w:bCs/>
          <w:u w:val="single"/>
        </w:rPr>
      </w:pPr>
      <w:r w:rsidRPr="00521C4B">
        <w:rPr>
          <w:rStyle w:val="TitleChar"/>
        </w:rPr>
        <w:t>Should</w:t>
      </w:r>
      <w:r w:rsidRPr="00521C4B">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521C4B">
        <w:rPr>
          <w:rStyle w:val="Emphasis"/>
        </w:rPr>
        <w:t>does not ordinarily express certainty</w:t>
      </w:r>
      <w:r w:rsidRPr="00521C4B">
        <w:rPr>
          <w:rStyle w:val="TitleChar"/>
        </w:rPr>
        <w:t xml:space="preserve"> as “will” sometimes does.</w:t>
      </w:r>
      <w:r w:rsidRPr="00B34C67">
        <w:rPr>
          <w:rStyle w:val="TitleChar"/>
        </w:rPr>
        <w:t> </w:t>
      </w:r>
    </w:p>
    <w:p w14:paraId="21EB4950" w14:textId="77777777" w:rsidR="00E036EA" w:rsidRDefault="00E036EA" w:rsidP="00E036EA"/>
    <w:p w14:paraId="5A684473" w14:textId="77777777" w:rsidR="00E036EA" w:rsidRDefault="00E036EA" w:rsidP="00E036EA">
      <w:pPr>
        <w:pStyle w:val="Heading4"/>
      </w:pPr>
      <w:r>
        <w:t>Should isn’t mandatory</w:t>
      </w:r>
    </w:p>
    <w:p w14:paraId="6D16C711" w14:textId="77777777" w:rsidR="00E036EA" w:rsidRDefault="00E036EA" w:rsidP="00E036EA">
      <w:r w:rsidRPr="00A16892">
        <w:rPr>
          <w:rStyle w:val="StyleStyleBold12pt"/>
        </w:rPr>
        <w:t>Words &amp; Phrases 6</w:t>
      </w:r>
      <w:r>
        <w:t xml:space="preserve"> (Permanent Edition 39, p. 369)</w:t>
      </w:r>
    </w:p>
    <w:p w14:paraId="1DDFC878" w14:textId="77777777" w:rsidR="00E036EA" w:rsidRPr="00A16892" w:rsidRDefault="00E036EA" w:rsidP="00E036EA">
      <w:pPr>
        <w:rPr>
          <w:sz w:val="16"/>
        </w:rPr>
      </w:pPr>
      <w:r w:rsidRPr="00FF1D4A">
        <w:rPr>
          <w:sz w:val="16"/>
        </w:rPr>
        <w:t xml:space="preserve">C.A.6 (Tenn.) 2001.  </w:t>
      </w:r>
      <w:r w:rsidRPr="00EF452E">
        <w:rPr>
          <w:rStyle w:val="Style1Char"/>
        </w:rPr>
        <w:t>Word “should,”</w:t>
      </w:r>
      <w:r w:rsidRPr="00FF1D4A">
        <w:rPr>
          <w:sz w:val="16"/>
        </w:rPr>
        <w:t xml:space="preserve"> in most contexts, </w:t>
      </w:r>
      <w:r w:rsidRPr="00EF452E">
        <w:rPr>
          <w:rStyle w:val="Style1Char"/>
        </w:rPr>
        <w:t xml:space="preserve">is precatory, </w:t>
      </w:r>
      <w:r w:rsidRPr="008F0068">
        <w:rPr>
          <w:rStyle w:val="Emphasis"/>
        </w:rPr>
        <w:t>not mandatory</w:t>
      </w:r>
      <w:r w:rsidRPr="00FF1D4A">
        <w:rPr>
          <w:sz w:val="16"/>
        </w:rPr>
        <w:t>. –U.S. v. Rogers, 14 Fed.Appx. 303. –Statut 227.</w:t>
      </w:r>
    </w:p>
    <w:p w14:paraId="2D1A6FA6" w14:textId="77777777" w:rsidR="00E036EA" w:rsidRDefault="00E036EA" w:rsidP="00E036EA"/>
    <w:p w14:paraId="6A39F4CA" w14:textId="77777777" w:rsidR="00E036EA" w:rsidRPr="00223CF4" w:rsidRDefault="00E036EA" w:rsidP="00E036EA">
      <w:pPr>
        <w:pStyle w:val="Heading4"/>
      </w:pPr>
      <w:r>
        <w:t>Strong admonition --- not mandatory</w:t>
      </w:r>
    </w:p>
    <w:p w14:paraId="4C70E025" w14:textId="77777777" w:rsidR="00E036EA" w:rsidRPr="0078219C" w:rsidRDefault="00E036EA" w:rsidP="00E036EA">
      <w:r w:rsidRPr="00D92CD6">
        <w:rPr>
          <w:rStyle w:val="Heading2Char2"/>
        </w:rPr>
        <w:t>Taylor and Howard 5</w:t>
      </w:r>
      <w:r>
        <w:t xml:space="preserve"> (</w:t>
      </w:r>
      <w:r w:rsidRPr="00E2407D">
        <w:t>Michael</w:t>
      </w:r>
      <w:r>
        <w:t>, Resources for the Future</w:t>
      </w:r>
      <w:r w:rsidRPr="00E2407D">
        <w:t xml:space="preserve"> </w:t>
      </w:r>
      <w:r w:rsidRPr="00D92CD6">
        <w:t>and</w:t>
      </w:r>
      <w:r w:rsidRPr="00E2407D">
        <w:t xml:space="preserve"> Julie,</w:t>
      </w:r>
      <w:r>
        <w:t xml:space="preserve"> Partnership to Cut Hunger and Poverty in Africa,</w:t>
      </w:r>
      <w:r w:rsidRPr="00E2407D">
        <w:t xml:space="preserve"> “Investing in Africa's future: U.S. Agricultural development assistance for Sub-Saharan Africa”, 9</w:t>
      </w:r>
      <w:r>
        <w:t>-</w:t>
      </w:r>
      <w:r w:rsidRPr="00E2407D">
        <w:t xml:space="preserve">12, </w:t>
      </w:r>
      <w:hyperlink r:id="rId14" w:history="1">
        <w:r w:rsidRPr="00E2407D">
          <w:t>http://www.sarpn.org.za/documents/d0001784/5-US-agric_Sept2005_Chap2.pdf</w:t>
        </w:r>
      </w:hyperlink>
      <w:r>
        <w:t>)</w:t>
      </w:r>
    </w:p>
    <w:p w14:paraId="2153C176" w14:textId="77777777" w:rsidR="00E036EA" w:rsidRPr="00A16892" w:rsidRDefault="00E036EA" w:rsidP="00E036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FF1D4A">
        <w:rPr>
          <w:color w:val="000000"/>
          <w:sz w:val="16"/>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FF1D4A">
        <w:rPr>
          <w:i/>
          <w:color w:val="000000"/>
          <w:sz w:val="16"/>
          <w:lang w:bidi="x-none"/>
        </w:rPr>
        <w:t xml:space="preserve">shall </w:t>
      </w:r>
      <w:r w:rsidRPr="00FF1D4A">
        <w:rPr>
          <w:color w:val="000000"/>
          <w:sz w:val="16"/>
          <w:lang w:bidi="x-none"/>
        </w:rPr>
        <w:t xml:space="preserve">in connection with  only two of these eight earmarks; the others say that USAID </w:t>
      </w:r>
      <w:r w:rsidRPr="00FF1D4A">
        <w:rPr>
          <w:i/>
          <w:color w:val="000000"/>
          <w:sz w:val="16"/>
          <w:lang w:bidi="x-none"/>
        </w:rPr>
        <w:t>should</w:t>
      </w:r>
      <w:r w:rsidRPr="00FF1D4A">
        <w:rPr>
          <w:color w:val="000000"/>
          <w:sz w:val="16"/>
          <w:lang w:bidi="x-none"/>
        </w:rPr>
        <w:t xml:space="preserve"> make the prescribed amount  available. </w:t>
      </w:r>
      <w:r w:rsidRPr="00E2407D">
        <w:rPr>
          <w:rStyle w:val="Style1Char1"/>
        </w:rPr>
        <w:t xml:space="preserve">The </w:t>
      </w:r>
      <w:r w:rsidRPr="008F0068">
        <w:rPr>
          <w:rStyle w:val="Emphasis"/>
        </w:rPr>
        <w:t>difference</w:t>
      </w:r>
      <w:r w:rsidRPr="00E2407D">
        <w:rPr>
          <w:rStyle w:val="Style1Char1"/>
        </w:rPr>
        <w:t xml:space="preserve"> between </w:t>
      </w:r>
      <w:r w:rsidRPr="00E2407D">
        <w:rPr>
          <w:rStyle w:val="Style1Char1"/>
          <w:i/>
        </w:rPr>
        <w:t>shall</w:t>
      </w:r>
      <w:r w:rsidRPr="00E2407D">
        <w:rPr>
          <w:rStyle w:val="Style1Char1"/>
        </w:rPr>
        <w:t xml:space="preserve"> and </w:t>
      </w:r>
      <w:r w:rsidRPr="00E2407D">
        <w:rPr>
          <w:rStyle w:val="Style1Char1"/>
          <w:i/>
        </w:rPr>
        <w:t>should</w:t>
      </w:r>
      <w:r w:rsidRPr="00E2407D">
        <w:rPr>
          <w:rStyle w:val="Style1Char1"/>
        </w:rPr>
        <w:t xml:space="preserve"> may have </w:t>
      </w:r>
      <w:r w:rsidRPr="008F0068">
        <w:rPr>
          <w:rStyle w:val="Emphasis"/>
        </w:rPr>
        <w:t>legal significance</w:t>
      </w:r>
      <w:r w:rsidRPr="00E2407D">
        <w:rPr>
          <w:rStyle w:val="Style1Char1"/>
        </w:rPr>
        <w:t>—one is c</w:t>
      </w:r>
      <w:r>
        <w:rPr>
          <w:rStyle w:val="Style1Char1"/>
        </w:rPr>
        <w:t>learly</w:t>
      </w:r>
      <w:r w:rsidRPr="00E2407D">
        <w:rPr>
          <w:rStyle w:val="Style1Char1"/>
        </w:rPr>
        <w:t xml:space="preserve"> </w:t>
      </w:r>
      <w:r w:rsidRPr="008F0068">
        <w:rPr>
          <w:rStyle w:val="Emphasis"/>
        </w:rPr>
        <w:t>mandatory</w:t>
      </w:r>
      <w:r w:rsidRPr="00E2407D">
        <w:rPr>
          <w:rStyle w:val="Style1Char1"/>
        </w:rPr>
        <w:t xml:space="preserve"> while the other is a </w:t>
      </w:r>
      <w:r w:rsidRPr="008F0068">
        <w:rPr>
          <w:rStyle w:val="Emphasis"/>
        </w:rPr>
        <w:t>strong admonition</w:t>
      </w:r>
      <w:r w:rsidRPr="00E2407D">
        <w:rPr>
          <w:rStyle w:val="Style1Char1"/>
        </w:rPr>
        <w:t>—but it makes little practical difference</w:t>
      </w:r>
      <w:r w:rsidRPr="00FF1D4A">
        <w:rPr>
          <w:color w:val="000000"/>
          <w:sz w:val="16"/>
          <w:lang w:bidi="x-none"/>
        </w:rPr>
        <w:t xml:space="preserve"> in  USAID’s need to comply with the congressional directive to the best of its ability. </w:t>
      </w:r>
    </w:p>
    <w:p w14:paraId="2531936D" w14:textId="77777777" w:rsidR="00E036EA" w:rsidRDefault="00E036EA" w:rsidP="00E036EA"/>
    <w:p w14:paraId="79F181FA" w14:textId="77777777" w:rsidR="00E036EA" w:rsidRPr="00E2407D" w:rsidRDefault="00E036EA" w:rsidP="00E036EA">
      <w:pPr>
        <w:pStyle w:val="Heading4"/>
      </w:pPr>
      <w:r>
        <w:t>Permissive</w:t>
      </w:r>
    </w:p>
    <w:p w14:paraId="41145BAA" w14:textId="77777777" w:rsidR="00E036EA" w:rsidRDefault="00E036EA" w:rsidP="00E036EA">
      <w:r w:rsidRPr="00E2407D">
        <w:rPr>
          <w:rStyle w:val="Heading2Char2"/>
        </w:rPr>
        <w:t>Words and Phrases</w:t>
      </w:r>
      <w:r>
        <w:rPr>
          <w:rStyle w:val="Heading2Char2"/>
        </w:rPr>
        <w:t xml:space="preserve"> 2</w:t>
      </w:r>
      <w:r w:rsidRPr="00E2407D">
        <w:t xml:space="preserve"> </w:t>
      </w:r>
      <w:r>
        <w:t>(</w:t>
      </w:r>
      <w:r w:rsidRPr="00E2407D">
        <w:t>Vol. 39, p. 370</w:t>
      </w:r>
      <w:r>
        <w:t>)</w:t>
      </w:r>
    </w:p>
    <w:p w14:paraId="450D6EBC" w14:textId="77777777" w:rsidR="00E036EA" w:rsidRPr="00A16892" w:rsidRDefault="00E036EA" w:rsidP="00E036EA">
      <w:pPr>
        <w:rPr>
          <w:sz w:val="16"/>
        </w:rPr>
      </w:pPr>
      <w:r w:rsidRPr="00FF1D4A">
        <w:rPr>
          <w:sz w:val="16"/>
        </w:rPr>
        <w:t xml:space="preserve">Cal.App. 5 Dist. 1976.  </w:t>
      </w:r>
      <w:r w:rsidRPr="00E2407D">
        <w:rPr>
          <w:rStyle w:val="Style1Char1"/>
        </w:rPr>
        <w:t>Term “should,”</w:t>
      </w:r>
      <w:r w:rsidRPr="00FF1D4A">
        <w:rPr>
          <w:sz w:val="16"/>
        </w:rPr>
        <w:t xml:space="preserve"> as used in statutory provision that motion to suppress search warrant should first be heard by magistrate who issued warrant, </w:t>
      </w:r>
      <w:r w:rsidRPr="00E2407D">
        <w:rPr>
          <w:rStyle w:val="Style1Char1"/>
        </w:rPr>
        <w:t xml:space="preserve">is used in regular, persuasive sense, as </w:t>
      </w:r>
      <w:r w:rsidRPr="00CB0599">
        <w:rPr>
          <w:rStyle w:val="Emphasis"/>
        </w:rPr>
        <w:t>recommendation</w:t>
      </w:r>
      <w:r w:rsidRPr="00E2407D">
        <w:rPr>
          <w:rStyle w:val="Style1Char1"/>
        </w:rPr>
        <w:t xml:space="preserve">, and is thus </w:t>
      </w:r>
      <w:r w:rsidRPr="00CB0599">
        <w:rPr>
          <w:rStyle w:val="Emphasis"/>
        </w:rPr>
        <w:t>not mandatory</w:t>
      </w:r>
      <w:r w:rsidRPr="00E2407D">
        <w:rPr>
          <w:rStyle w:val="Style1Char1"/>
        </w:rPr>
        <w:t xml:space="preserve"> but </w:t>
      </w:r>
      <w:r w:rsidRPr="00CB0599">
        <w:rPr>
          <w:rStyle w:val="Emphasis"/>
        </w:rPr>
        <w:t>permissive</w:t>
      </w:r>
      <w:r w:rsidRPr="00FF1D4A">
        <w:rPr>
          <w:sz w:val="16"/>
        </w:rPr>
        <w:t>.  West’s Ann.Pen Code, § 1538.5(b).---Cuevas v. Superior Court, 130 Cal. Rptr. 238, 58 Cal.App.3d 406 ----Searches 191.</w:t>
      </w:r>
    </w:p>
    <w:p w14:paraId="2F5E044E" w14:textId="77777777" w:rsidR="00E036EA" w:rsidRDefault="00E036EA" w:rsidP="00E036EA"/>
    <w:p w14:paraId="44D7EE4A" w14:textId="77777777" w:rsidR="00E036EA" w:rsidRPr="00E2407D" w:rsidRDefault="00E036EA" w:rsidP="00E036EA">
      <w:pPr>
        <w:pStyle w:val="Heading4"/>
      </w:pPr>
      <w:r w:rsidRPr="00E2407D">
        <w:t>Desirable or recommended</w:t>
      </w:r>
    </w:p>
    <w:p w14:paraId="2ADD7170" w14:textId="77777777" w:rsidR="00E036EA" w:rsidRDefault="00E036EA" w:rsidP="00E036EA">
      <w:r w:rsidRPr="00E2407D">
        <w:rPr>
          <w:rStyle w:val="Heading2Char2"/>
        </w:rPr>
        <w:t>Words and Phrases</w:t>
      </w:r>
      <w:r>
        <w:rPr>
          <w:rStyle w:val="Heading2Char2"/>
        </w:rPr>
        <w:t xml:space="preserve"> 2</w:t>
      </w:r>
      <w:r w:rsidRPr="00E2407D">
        <w:t xml:space="preserve"> </w:t>
      </w:r>
      <w:r>
        <w:t>(</w:t>
      </w:r>
      <w:r w:rsidRPr="00E2407D">
        <w:t>Vol. 39, p. 37</w:t>
      </w:r>
      <w:r>
        <w:t>2-373)</w:t>
      </w:r>
    </w:p>
    <w:p w14:paraId="0C55A664" w14:textId="77777777" w:rsidR="00E036EA" w:rsidRPr="00FF1D4A" w:rsidRDefault="00E036EA" w:rsidP="00E036EA">
      <w:pPr>
        <w:rPr>
          <w:sz w:val="16"/>
        </w:rPr>
      </w:pPr>
      <w:r w:rsidRPr="00FF1D4A">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E2407D">
        <w:rPr>
          <w:rStyle w:val="Style1Char1"/>
        </w:rPr>
        <w:t>use of word “should” was intended to convey idea that particular precaution involved was desirable and recommended, but not mandatory</w:t>
      </w:r>
      <w:r w:rsidRPr="00FF1D4A">
        <w:rPr>
          <w:sz w:val="16"/>
        </w:rPr>
        <w:t>.  ORS 654.005 et seq.----Baldassarre v. West Oregon Lumber Co., 239 P.2d 839, 193 Or. 556.---Labor &amp; Emp. 2857</w:t>
      </w:r>
    </w:p>
    <w:p w14:paraId="4CDCEF7E" w14:textId="1A58FB73" w:rsidR="00E036EA" w:rsidRDefault="00754D3A" w:rsidP="00E036EA">
      <w:pPr>
        <w:pStyle w:val="Heading3"/>
      </w:pPr>
      <w:r>
        <w:t>Should =</w:t>
      </w:r>
      <w:r w:rsidR="00E036EA">
        <w:t xml:space="preserve"> Not Immediate</w:t>
      </w:r>
    </w:p>
    <w:p w14:paraId="52DC9235" w14:textId="77777777" w:rsidR="00E036EA" w:rsidRDefault="00E036EA" w:rsidP="00E036EA"/>
    <w:p w14:paraId="72E1E87F" w14:textId="77777777" w:rsidR="00E036EA" w:rsidRDefault="00E036EA" w:rsidP="00E036EA">
      <w:pPr>
        <w:pStyle w:val="Heading4"/>
      </w:pPr>
      <w:r>
        <w:t xml:space="preserve">Should doesn’t mean immediate </w:t>
      </w:r>
    </w:p>
    <w:p w14:paraId="5FA149E5" w14:textId="77777777" w:rsidR="00E036EA" w:rsidRDefault="00E036EA" w:rsidP="00E036EA">
      <w:r w:rsidRPr="00546A67">
        <w:rPr>
          <w:rStyle w:val="StyleStyleBold12pt"/>
        </w:rPr>
        <w:t>Dictionary.com</w:t>
      </w:r>
      <w:r w:rsidRPr="00546A67">
        <w:t xml:space="preserve"> – Copyright © </w:t>
      </w:r>
      <w:r w:rsidRPr="00546A67">
        <w:rPr>
          <w:rStyle w:val="StyleStyleBold12pt"/>
        </w:rPr>
        <w:t>2010</w:t>
      </w:r>
      <w:r w:rsidRPr="00546A67">
        <w:t xml:space="preserve"> – http://dictionary.reference.com/browse/should</w:t>
      </w:r>
    </w:p>
    <w:p w14:paraId="499CB679" w14:textId="77777777" w:rsidR="00E036EA" w:rsidRDefault="00E036EA" w:rsidP="00E036EA">
      <w:r w:rsidRPr="00BF01B7">
        <w:rPr>
          <w:rStyle w:val="underline"/>
        </w:rPr>
        <w:t>should</w:t>
      </w:r>
      <w:r>
        <w:rPr>
          <w:rStyle w:val="underline"/>
        </w:rPr>
        <w:t xml:space="preserve"> </w:t>
      </w:r>
      <w:r w:rsidRPr="00BF01B7">
        <w:rPr>
          <w:sz w:val="16"/>
        </w:rPr>
        <w:t>   /ʃʊd/ Show Spelled[shood] Show IPA –auxiliary verb 1. pt. of shall. 2. (</w:t>
      </w:r>
      <w:r w:rsidRPr="00BF01B7">
        <w:rPr>
          <w:rStyle w:val="underline"/>
        </w:rPr>
        <w:t>used to express condition</w:t>
      </w:r>
      <w:r w:rsidRPr="00BF01B7">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BF01B7">
        <w:rPr>
          <w:rStyle w:val="underline"/>
        </w:rPr>
        <w:t>Usage note</w:t>
      </w:r>
      <w:r w:rsidRPr="00BF01B7">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BF01B7">
        <w:rPr>
          <w:rStyle w:val="underline"/>
        </w:rPr>
        <w:t>See also shall.</w:t>
      </w:r>
      <w:r w:rsidRPr="00BF01B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BF01B7">
        <w:rPr>
          <w:rStyle w:val="underline"/>
          <w:i/>
        </w:rPr>
        <w:t>intend</w:t>
      </w:r>
      <w:r w:rsidRPr="00BF01B7">
        <w:rPr>
          <w:rStyle w:val="underline"/>
        </w:rPr>
        <w:t xml:space="preserve"> to,</w:t>
      </w:r>
      <w:r w:rsidRPr="00BF01B7">
        <w:rPr>
          <w:sz w:val="16"/>
        </w:rPr>
        <w:t xml:space="preserve"> or expect to: </w:t>
      </w:r>
      <w:r w:rsidRPr="00BF01B7">
        <w:rPr>
          <w:rStyle w:val="underline"/>
        </w:rPr>
        <w:t>I shall go later.</w:t>
      </w:r>
      <w:r w:rsidRPr="00BF01B7">
        <w:rPr>
          <w:sz w:val="16"/>
        </w:rPr>
        <w:t xml:space="preserve"> </w:t>
      </w:r>
    </w:p>
    <w:p w14:paraId="1C112975" w14:textId="7F12204A" w:rsidR="00E036EA" w:rsidRDefault="00E036EA" w:rsidP="00E036EA">
      <w:pPr>
        <w:pStyle w:val="Heading3"/>
      </w:pPr>
      <w:bookmarkStart w:id="2" w:name="_Toc205492310"/>
      <w:bookmarkStart w:id="3" w:name="_Toc233173639"/>
      <w:r>
        <w:t xml:space="preserve">Should </w:t>
      </w:r>
      <w:bookmarkEnd w:id="2"/>
      <w:bookmarkEnd w:id="3"/>
      <w:r w:rsidR="00754D3A">
        <w:t xml:space="preserve">= </w:t>
      </w:r>
      <w:r>
        <w:t>Not Past Tense</w:t>
      </w:r>
    </w:p>
    <w:p w14:paraId="59703DC0" w14:textId="77777777" w:rsidR="00E036EA" w:rsidRDefault="00E036EA" w:rsidP="00E036EA">
      <w:pPr>
        <w:pStyle w:val="Heading4"/>
      </w:pPr>
      <w:r>
        <w:t>We meet – plan says ‘should’. This just changes the meaning of the plan – doesn’t prove it isn’t topical.</w:t>
      </w:r>
    </w:p>
    <w:p w14:paraId="41FDDD32" w14:textId="77777777" w:rsidR="00E036EA" w:rsidRDefault="00E036EA" w:rsidP="00E036EA">
      <w:pPr>
        <w:pStyle w:val="Heading4"/>
      </w:pPr>
      <w:r>
        <w:t>Ungrammatical – their interpretation assumes “should” is followed by ‘have’ – but its not. Grammar is key: it defines ground.</w:t>
      </w:r>
    </w:p>
    <w:p w14:paraId="431B96F6" w14:textId="77777777" w:rsidR="00E036EA" w:rsidRDefault="00E036EA" w:rsidP="00E036EA">
      <w:pPr>
        <w:pStyle w:val="Heading4"/>
      </w:pPr>
      <w:r>
        <w:t>Kills neg ground – hindsight is 20/20, Aff’s would always pick unbeatable cases</w:t>
      </w:r>
    </w:p>
    <w:p w14:paraId="147B465E" w14:textId="77777777" w:rsidR="00E036EA" w:rsidRPr="00E036EA" w:rsidRDefault="00E036EA" w:rsidP="00E036EA">
      <w:pPr>
        <w:pStyle w:val="Heading4"/>
        <w:rPr>
          <w:rStyle w:val="StyleStyleBold12pt"/>
          <w:b/>
          <w:sz w:val="26"/>
        </w:rPr>
      </w:pPr>
      <w:r>
        <w:t xml:space="preserve"> “</w:t>
      </w:r>
      <w:r w:rsidRPr="00894F15">
        <w:t>Should” means future action</w:t>
      </w:r>
    </w:p>
    <w:p w14:paraId="5847464F" w14:textId="77777777" w:rsidR="00E036EA" w:rsidRPr="0078219C" w:rsidRDefault="00E036EA" w:rsidP="00E036EA">
      <w:pPr>
        <w:ind w:left="720"/>
        <w:rPr>
          <w:rStyle w:val="StyleUnderlineChar11pt"/>
          <w:b/>
          <w:bCs/>
          <w:sz w:val="26"/>
        </w:rPr>
      </w:pPr>
      <w:r w:rsidRPr="00A16892">
        <w:rPr>
          <w:rStyle w:val="StyleStyleBold12pt"/>
        </w:rPr>
        <w:t>American Heritage 00</w:t>
      </w:r>
    </w:p>
    <w:p w14:paraId="41612D73" w14:textId="77777777" w:rsidR="00E036EA" w:rsidRPr="00894F15" w:rsidRDefault="00E036EA" w:rsidP="00E036EA">
      <w:pPr>
        <w:ind w:left="720"/>
        <w:rPr>
          <w:rStyle w:val="Style11pt"/>
        </w:rPr>
      </w:pPr>
      <w:r w:rsidRPr="00894F15">
        <w:rPr>
          <w:rStyle w:val="StyleUnderlineChar11pt"/>
        </w:rPr>
        <w:t>should</w:t>
      </w:r>
      <w:r w:rsidRPr="00894F15">
        <w:rPr>
          <w:rStyle w:val="Style11pt"/>
        </w:rPr>
        <w:t xml:space="preserve">    </w:t>
      </w:r>
      <w:r w:rsidRPr="00894F15">
        <w:t>( P )  </w:t>
      </w:r>
      <w:hyperlink r:id="rId15" w:tooltip="Click for guide to symbols." w:history="1">
        <w:r w:rsidRPr="00894F15">
          <w:t>Pronunciation Key</w:t>
        </w:r>
      </w:hyperlink>
      <w:r w:rsidRPr="00894F15">
        <w:t>  (shd)</w:t>
      </w:r>
      <w:r w:rsidRPr="00894F15">
        <w:br/>
        <w:t>aux.v. Past tense of shall</w:t>
      </w:r>
      <w:r w:rsidRPr="00894F15">
        <w:rPr>
          <w:rStyle w:val="Style11pt"/>
        </w:rPr>
        <w:t xml:space="preserve"> </w:t>
      </w:r>
    </w:p>
    <w:p w14:paraId="48196C12" w14:textId="77777777" w:rsidR="00E036EA" w:rsidRPr="00894F15" w:rsidRDefault="00E036EA" w:rsidP="00E036EA">
      <w:pPr>
        <w:pStyle w:val="Style1"/>
        <w:ind w:left="720"/>
      </w:pPr>
      <w:r w:rsidRPr="00894F15">
        <w:t xml:space="preserve">Used to express obligation or duty: You should send her a note. </w:t>
      </w:r>
    </w:p>
    <w:p w14:paraId="1253B978" w14:textId="77777777" w:rsidR="00E036EA" w:rsidRDefault="00E036EA" w:rsidP="00E036EA"/>
    <w:p w14:paraId="30FEFCA6" w14:textId="77777777" w:rsidR="00E036EA" w:rsidRPr="00894F15" w:rsidRDefault="00E036EA" w:rsidP="00E036EA">
      <w:pPr>
        <w:pStyle w:val="Heading4"/>
      </w:pPr>
      <w:r w:rsidRPr="00894F15">
        <w:t xml:space="preserve">Prefer our interpretation – theirs is outdated </w:t>
      </w:r>
    </w:p>
    <w:p w14:paraId="412F2DCB" w14:textId="77777777" w:rsidR="00E036EA" w:rsidRPr="0078219C" w:rsidRDefault="00E036EA" w:rsidP="00E036EA">
      <w:pPr>
        <w:rPr>
          <w:b/>
          <w:bCs/>
          <w:sz w:val="26"/>
        </w:rPr>
      </w:pPr>
      <w:r w:rsidRPr="00A16892">
        <w:rPr>
          <w:rStyle w:val="StyleStyleBold12pt"/>
        </w:rPr>
        <w:t>American Heritage 00</w:t>
      </w:r>
    </w:p>
    <w:p w14:paraId="49FC9525" w14:textId="77777777" w:rsidR="00E036EA" w:rsidRPr="00A16892" w:rsidRDefault="00E036EA" w:rsidP="00E036EA">
      <w:r w:rsidRPr="00894F15">
        <w:rPr>
          <w:rStyle w:val="StyleUnderlineChar11pt"/>
        </w:rPr>
        <w:t>Usage Note: Like the rules governing the use of shall</w:t>
      </w:r>
      <w:r w:rsidRPr="00894F15">
        <w:t xml:space="preserve"> and will on which they are based, </w:t>
      </w:r>
      <w:r w:rsidRPr="00894F15">
        <w:rPr>
          <w:rStyle w:val="Style11ptUnderline"/>
        </w:rPr>
        <w:t>t</w:t>
      </w:r>
      <w:r w:rsidRPr="00894F15">
        <w:rPr>
          <w:rStyle w:val="StyleUnderlineChar11pt"/>
        </w:rPr>
        <w:t>he traditional rules governing the use of should</w:t>
      </w:r>
      <w:r w:rsidRPr="00894F15">
        <w:t xml:space="preserve"> and would </w:t>
      </w:r>
      <w:r w:rsidRPr="00894F15">
        <w:rPr>
          <w:rStyle w:val="StyleUnderlineChar11pt"/>
        </w:rPr>
        <w:t xml:space="preserve">are </w:t>
      </w:r>
      <w:r w:rsidRPr="00894F15">
        <w:rPr>
          <w:rStyle w:val="Emphasis"/>
        </w:rPr>
        <w:t>largely ignored</w:t>
      </w:r>
      <w:r w:rsidRPr="00894F15">
        <w:rPr>
          <w:rStyle w:val="StyleUnderlineChar11pt"/>
        </w:rPr>
        <w:t xml:space="preserve"> in modern American practice</w:t>
      </w:r>
      <w:r w:rsidRPr="00894F15">
        <w:t>.</w:t>
      </w:r>
      <w:r w:rsidRPr="00894F15">
        <w:rPr>
          <w:rStyle w:val="StyleUnderlineChar11pt"/>
        </w:rPr>
        <w:t xml:space="preserve"> Either should or would can now be used in the first person to express </w:t>
      </w:r>
      <w:r w:rsidRPr="00894F15">
        <w:rPr>
          <w:rStyle w:val="Emphasis"/>
        </w:rPr>
        <w:t>conditional futurity</w:t>
      </w:r>
      <w:r w:rsidRPr="00894F15">
        <w:t xml:space="preserve">: </w:t>
      </w:r>
      <w:r w:rsidRPr="00894F15">
        <w:rPr>
          <w:sz w:val="16"/>
        </w:rPr>
        <w:t xml:space="preserve">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894F15">
        <w:rPr>
          <w:rStyle w:val="StyleUnderlineChar11pt"/>
        </w:rPr>
        <w:t>Should is</w:t>
      </w:r>
      <w:r w:rsidRPr="00894F15">
        <w:t xml:space="preserve"> also </w:t>
      </w:r>
      <w:r w:rsidRPr="00894F15">
        <w:rPr>
          <w:rStyle w:val="StyleUnderlineChar11pt"/>
        </w:rPr>
        <w:t>used in all three persons to express duty or obligation</w:t>
      </w:r>
      <w:r w:rsidRPr="00894F15">
        <w:t xml:space="preserve"> </w:t>
      </w:r>
      <w:r w:rsidRPr="00894F15">
        <w:rPr>
          <w:sz w:val="16"/>
        </w:rPr>
        <w:t xml:space="preserve">(the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 See Usage Note at </w:t>
      </w:r>
      <w:hyperlink r:id="rId16" w:history="1">
        <w:r w:rsidRPr="00894F15">
          <w:rPr>
            <w:sz w:val="16"/>
          </w:rPr>
          <w:t>if</w:t>
        </w:r>
      </w:hyperlink>
      <w:r w:rsidRPr="00894F15">
        <w:rPr>
          <w:sz w:val="16"/>
        </w:rPr>
        <w:t xml:space="preserve">. See Usage Note at </w:t>
      </w:r>
      <w:hyperlink r:id="rId17" w:history="1">
        <w:r w:rsidRPr="00894F15">
          <w:rPr>
            <w:sz w:val="16"/>
          </w:rPr>
          <w:t>rather</w:t>
        </w:r>
      </w:hyperlink>
      <w:r w:rsidRPr="00894F15">
        <w:rPr>
          <w:sz w:val="16"/>
        </w:rPr>
        <w:t xml:space="preserve">. See Usage Note at </w:t>
      </w:r>
      <w:hyperlink r:id="rId18" w:history="1">
        <w:r w:rsidRPr="00894F15">
          <w:rPr>
            <w:sz w:val="16"/>
          </w:rPr>
          <w:t>shall</w:t>
        </w:r>
      </w:hyperlink>
      <w:r w:rsidRPr="00894F15">
        <w:rPr>
          <w:sz w:val="16"/>
        </w:rPr>
        <w:t>.</w:t>
      </w:r>
    </w:p>
    <w:p w14:paraId="79F28275" w14:textId="77777777" w:rsidR="00E036EA" w:rsidRDefault="00E036EA" w:rsidP="00E036EA"/>
    <w:p w14:paraId="6783B06C" w14:textId="77777777" w:rsidR="00E036EA" w:rsidRPr="00CD4CFE" w:rsidRDefault="00E036EA" w:rsidP="00E036EA">
      <w:pPr>
        <w:pStyle w:val="Heading4"/>
      </w:pPr>
      <w:r>
        <w:t xml:space="preserve">Key to </w:t>
      </w:r>
      <w:r w:rsidRPr="00CD4CFE">
        <w:t>Aff ground –best literature supports prescriptive future action</w:t>
      </w:r>
    </w:p>
    <w:p w14:paraId="42140B0E" w14:textId="77777777" w:rsidR="00E036EA" w:rsidRDefault="00E036EA" w:rsidP="00E036EA">
      <w:pPr>
        <w:pStyle w:val="Heading4"/>
      </w:pPr>
      <w:r w:rsidRPr="00CD4CFE">
        <w:t>Neg ground – all disads assume future action, otherwise they’</w:t>
      </w:r>
      <w:r>
        <w:t>re</w:t>
      </w:r>
      <w:r w:rsidRPr="00CD4CFE">
        <w:t xml:space="preserve"> non-unique.</w:t>
      </w:r>
    </w:p>
    <w:p w14:paraId="19051E3C" w14:textId="77777777" w:rsidR="00BF4A03" w:rsidRDefault="00BF4A03" w:rsidP="00BF4A03"/>
    <w:p w14:paraId="7AA2507E" w14:textId="6A4F8F54" w:rsidR="00BF4A03" w:rsidRDefault="00BF4A03" w:rsidP="00754D3A">
      <w:pPr>
        <w:pStyle w:val="Heading2"/>
      </w:pPr>
      <w:r>
        <w:t>Substantial:</w:t>
      </w:r>
    </w:p>
    <w:p w14:paraId="53098D9D" w14:textId="77777777" w:rsidR="00006BFB" w:rsidRDefault="00006BFB" w:rsidP="00006BFB">
      <w:pPr>
        <w:pStyle w:val="Heading4"/>
      </w:pPr>
      <w:r>
        <w:t>Substantial means “of considerable amount” – not some contrived percentage</w:t>
      </w:r>
    </w:p>
    <w:p w14:paraId="308A8F76" w14:textId="77777777" w:rsidR="00006BFB" w:rsidRDefault="00006BFB" w:rsidP="00006BFB">
      <w:r w:rsidRPr="0001196A">
        <w:rPr>
          <w:rStyle w:val="StyleStyleBold12pt"/>
        </w:rPr>
        <w:t>Prost 4</w:t>
      </w:r>
      <w:r>
        <w:t xml:space="preserve"> (Judge – United States Court of Appeals for the Federal Circuit, “Committee For Fairly Traded Venezuelan Cement v. United States”, 6-18, </w:t>
      </w:r>
      <w:r w:rsidRPr="0049415D">
        <w:t>http://www.ll.georgetown.edu/federal/judicial/fed/opinions/04opinions/04-1016.html</w:t>
      </w:r>
      <w:r>
        <w:t>)</w:t>
      </w:r>
    </w:p>
    <w:p w14:paraId="4EAE6A06" w14:textId="77777777" w:rsidR="00006BFB" w:rsidRPr="00DC1735" w:rsidRDefault="00006BFB" w:rsidP="00006BFB">
      <w:pPr>
        <w:rPr>
          <w:sz w:val="16"/>
        </w:rPr>
      </w:pPr>
      <w:r w:rsidRPr="00DC1735">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49415D">
        <w:rPr>
          <w:rStyle w:val="Style1Char"/>
        </w:rPr>
        <w:t>the definition of the word “substantial” undercuts the</w:t>
      </w:r>
      <w:r w:rsidRPr="00DC1735">
        <w:rPr>
          <w:sz w:val="16"/>
        </w:rPr>
        <w:t xml:space="preserve"> CFTVC’s </w:t>
      </w:r>
      <w:r w:rsidRPr="0049415D">
        <w:rPr>
          <w:rStyle w:val="Style1Char"/>
        </w:rPr>
        <w:t xml:space="preserve">argument.  The word “substantial” generally means “considerable in amount, </w:t>
      </w:r>
      <w:r w:rsidRPr="00DC1735">
        <w:rPr>
          <w:sz w:val="16"/>
        </w:rPr>
        <w:t xml:space="preserve">value or worth.”  Webster’s Third New International Dictionary 2280 (1993).  </w:t>
      </w:r>
      <w:r w:rsidRPr="0001196A">
        <w:rPr>
          <w:rStyle w:val="Emphasis"/>
        </w:rPr>
        <w:t>It does not imply a specific number or cut-off</w:t>
      </w:r>
      <w:r w:rsidRPr="0001196A">
        <w:rPr>
          <w:rStyle w:val="TitleChar"/>
        </w:rPr>
        <w:t>.  What</w:t>
      </w:r>
      <w:r w:rsidRPr="0049415D">
        <w:rPr>
          <w:rStyle w:val="Style1Char"/>
        </w:rPr>
        <w:t xml:space="preserve"> may be substantial in one situation may not be in another situation.</w:t>
      </w:r>
      <w:r w:rsidRPr="00DC1735">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5025BE7C" w14:textId="77777777" w:rsidR="00006BFB" w:rsidRPr="00006BFB" w:rsidRDefault="00006BFB" w:rsidP="00006BFB"/>
    <w:p w14:paraId="3FF6E730" w14:textId="77777777" w:rsidR="00BF4A03" w:rsidRPr="005015BA" w:rsidRDefault="00BF4A03" w:rsidP="00BF4A03">
      <w:pPr>
        <w:pStyle w:val="Heading4"/>
      </w:pPr>
      <w:r w:rsidRPr="005015BA">
        <w:t>Substantially means to a large degree</w:t>
      </w:r>
    </w:p>
    <w:p w14:paraId="7E0FE830" w14:textId="77777777" w:rsidR="00BF4A03" w:rsidRPr="005015BA" w:rsidRDefault="00BF4A03" w:rsidP="00BF4A03">
      <w:pPr>
        <w:rPr>
          <w:color w:val="000000"/>
        </w:rPr>
      </w:pPr>
      <w:r w:rsidRPr="005015BA">
        <w:rPr>
          <w:b/>
          <w:color w:val="000000"/>
        </w:rPr>
        <w:t>Words and Phrases, 2</w:t>
      </w:r>
      <w:r w:rsidRPr="005015BA">
        <w:rPr>
          <w:color w:val="000000"/>
        </w:rPr>
        <w:t xml:space="preserve"> (Words and Phrases Permanent Edition, “Substantially,” Volume 40B, p. 324-330 October 2002, Thomson West)</w:t>
      </w:r>
    </w:p>
    <w:p w14:paraId="434B6BC7" w14:textId="77777777" w:rsidR="00BF4A03" w:rsidRPr="005015BA" w:rsidRDefault="00BF4A03" w:rsidP="00BF4A03">
      <w:pPr>
        <w:rPr>
          <w:color w:val="000000"/>
        </w:rPr>
      </w:pPr>
      <w:r w:rsidRPr="005015BA">
        <w:rPr>
          <w:color w:val="000000"/>
        </w:rPr>
        <w:t>N.D.Ill. 2002. Under ADA, “</w:t>
      </w:r>
      <w:r w:rsidRPr="005015BA">
        <w:rPr>
          <w:b/>
          <w:color w:val="000000"/>
          <w:u w:val="single"/>
        </w:rPr>
        <w:t>substantially”</w:t>
      </w:r>
      <w:r w:rsidRPr="005015BA">
        <w:rPr>
          <w:color w:val="000000"/>
        </w:rPr>
        <w:t xml:space="preserve"> in phrase substantially limits, </w:t>
      </w:r>
      <w:r w:rsidRPr="005015BA">
        <w:rPr>
          <w:b/>
          <w:color w:val="000000"/>
          <w:u w:val="single"/>
        </w:rPr>
        <w:t>means considerable, or to a large degree</w:t>
      </w:r>
      <w:r w:rsidRPr="005015BA">
        <w:rPr>
          <w:color w:val="000000"/>
        </w:rPr>
        <w:t>.</w:t>
      </w:r>
    </w:p>
    <w:p w14:paraId="16B1933F" w14:textId="77777777" w:rsidR="000331A0" w:rsidRPr="00B14B90" w:rsidRDefault="000331A0" w:rsidP="000331A0">
      <w:pPr>
        <w:pStyle w:val="Heading4"/>
        <w:rPr>
          <w:rStyle w:val="Heading2Char"/>
          <w:b/>
          <w:bCs/>
          <w:sz w:val="20"/>
          <w:szCs w:val="22"/>
        </w:rPr>
      </w:pPr>
      <w:r>
        <w:t>“Substantially” is a relative term --- context key</w:t>
      </w:r>
    </w:p>
    <w:p w14:paraId="356A9D92" w14:textId="77777777" w:rsidR="000331A0" w:rsidRPr="00753778" w:rsidRDefault="000331A0" w:rsidP="000331A0">
      <w:pPr>
        <w:rPr>
          <w:rStyle w:val="StyleStyle4CharTimesNewRoman11pt"/>
        </w:rPr>
      </w:pPr>
      <w:r w:rsidRPr="00953732">
        <w:rPr>
          <w:rStyle w:val="StyleStyleBold12pt"/>
        </w:rPr>
        <w:t>Words and Phrases 64</w:t>
      </w:r>
      <w:r>
        <w:t xml:space="preserve"> (Vol. 40,</w:t>
      </w:r>
      <w:r w:rsidRPr="0040591C">
        <w:t xml:space="preserve"> </w:t>
      </w:r>
      <w:r>
        <w:t>p. 816)</w:t>
      </w:r>
    </w:p>
    <w:p w14:paraId="562BC108" w14:textId="77777777" w:rsidR="000331A0" w:rsidRDefault="000331A0" w:rsidP="000331A0">
      <w:pPr>
        <w:rPr>
          <w:rStyle w:val="Style11pt"/>
          <w:sz w:val="16"/>
        </w:rPr>
      </w:pPr>
      <w:r w:rsidRPr="002E7895">
        <w:rPr>
          <w:rStyle w:val="StyleStyle4CharTimesNewRoman11pt"/>
        </w:rPr>
        <w:t xml:space="preserve">The word “substantially” is a </w:t>
      </w:r>
      <w:r w:rsidRPr="00B14B90">
        <w:rPr>
          <w:rStyle w:val="Emphasis"/>
        </w:rPr>
        <w:t>relative term</w:t>
      </w:r>
      <w:r w:rsidRPr="002E7895">
        <w:rPr>
          <w:rStyle w:val="StyleStyle4CharTimesNewRoman11pt"/>
        </w:rPr>
        <w:t xml:space="preserve"> and should be interpreted </w:t>
      </w:r>
      <w:r w:rsidRPr="00B14B90">
        <w:rPr>
          <w:rStyle w:val="Emphasis"/>
        </w:rPr>
        <w:t>in accordance with the context</w:t>
      </w:r>
      <w:r w:rsidRPr="002E7895">
        <w:rPr>
          <w:rStyle w:val="StyleStyle4CharTimesNewRoman11pt"/>
        </w:rPr>
        <w:t xml:space="preserve"> of claim in which it is used</w:t>
      </w:r>
      <w:r w:rsidRPr="00B14B90">
        <w:rPr>
          <w:rStyle w:val="Style11pt"/>
          <w:sz w:val="16"/>
        </w:rPr>
        <w:t>. Moss v. Patterson Ballagh Corp. D.C.Cal., 80 P.Supp. C10, 637.</w:t>
      </w:r>
    </w:p>
    <w:p w14:paraId="67992553" w14:textId="77777777" w:rsidR="000331A0" w:rsidRPr="00A16892" w:rsidRDefault="000331A0" w:rsidP="000331A0">
      <w:pPr>
        <w:rPr>
          <w:sz w:val="16"/>
        </w:rPr>
      </w:pPr>
    </w:p>
    <w:p w14:paraId="7939BDB0" w14:textId="6861BD49" w:rsidR="000331A0" w:rsidRPr="00B14B90" w:rsidRDefault="000331A0" w:rsidP="000331A0">
      <w:pPr>
        <w:pStyle w:val="Heading4"/>
        <w:rPr>
          <w:rStyle w:val="Heading2Char"/>
          <w:b/>
          <w:bCs/>
          <w:sz w:val="20"/>
          <w:szCs w:val="22"/>
        </w:rPr>
      </w:pPr>
      <w:r>
        <w:t>"substantially" has no exact meaning</w:t>
      </w:r>
    </w:p>
    <w:p w14:paraId="372EEF4A" w14:textId="77777777" w:rsidR="000331A0" w:rsidRDefault="000331A0" w:rsidP="000331A0">
      <w:pPr>
        <w:rPr>
          <w:rStyle w:val="Style11pt"/>
        </w:rPr>
      </w:pPr>
      <w:r w:rsidRPr="00B14B90">
        <w:rPr>
          <w:rStyle w:val="StyleStyleBold12pt"/>
        </w:rPr>
        <w:t>Words and Phrases 2</w:t>
      </w:r>
      <w:r w:rsidRPr="00B14B90">
        <w:t xml:space="preserve"> </w:t>
      </w:r>
      <w:r w:rsidRPr="00650781">
        <w:t>(</w:t>
      </w:r>
      <w:r>
        <w:t>Volume 40A, p. 483)</w:t>
      </w:r>
    </w:p>
    <w:p w14:paraId="1E9EC885" w14:textId="77777777" w:rsidR="000331A0" w:rsidRDefault="000331A0" w:rsidP="000331A0">
      <w:pPr>
        <w:rPr>
          <w:rStyle w:val="Emphasis"/>
        </w:rPr>
      </w:pPr>
      <w:r w:rsidRPr="00B14B90">
        <w:rPr>
          <w:rStyle w:val="Style11pt"/>
          <w:sz w:val="16"/>
        </w:rPr>
        <w:t>The word “</w:t>
      </w:r>
      <w:r w:rsidRPr="0031296B">
        <w:rPr>
          <w:rStyle w:val="Style11ptUnderline"/>
        </w:rPr>
        <w:t>substantial” is susceptible to different meanings according to the circumstances, and is variously defined</w:t>
      </w:r>
      <w:r w:rsidRPr="00B14B90">
        <w:rPr>
          <w:rStyle w:val="Style11pt"/>
          <w:sz w:val="16"/>
        </w:rPr>
        <w:t xml:space="preserve"> as actual, essential, material, fundamental, although </w:t>
      </w:r>
      <w:r w:rsidRPr="00B14B90">
        <w:rPr>
          <w:rStyle w:val="Emphasis"/>
        </w:rPr>
        <w:t>no rule of thumb can be laid down fixing its exact meaning</w:t>
      </w:r>
    </w:p>
    <w:p w14:paraId="4C7F599A" w14:textId="77777777" w:rsidR="000331A0" w:rsidRPr="00A16892" w:rsidRDefault="000331A0" w:rsidP="000331A0">
      <w:pPr>
        <w:rPr>
          <w:b/>
          <w:bCs/>
          <w:u w:val="single"/>
        </w:rPr>
      </w:pPr>
    </w:p>
    <w:p w14:paraId="4C9D4721" w14:textId="77777777" w:rsidR="000331A0" w:rsidRDefault="000331A0" w:rsidP="000331A0">
      <w:pPr>
        <w:pStyle w:val="Heading4"/>
      </w:pPr>
      <w:r>
        <w:t>"Substantially" should be defined on a case-by-case basis</w:t>
      </w:r>
    </w:p>
    <w:p w14:paraId="48BEA331" w14:textId="77777777" w:rsidR="000331A0" w:rsidRPr="00753778" w:rsidRDefault="000331A0" w:rsidP="000331A0">
      <w:pPr>
        <w:rPr>
          <w:rStyle w:val="Style11ptUnderline"/>
        </w:rPr>
      </w:pPr>
      <w:r w:rsidRPr="00650781">
        <w:rPr>
          <w:rStyle w:val="Heading2Char2"/>
        </w:rPr>
        <w:t>Edlin 2</w:t>
      </w:r>
      <w:r>
        <w:t xml:space="preserve"> (Aaron, </w:t>
      </w:r>
      <w:r w:rsidRPr="00CD577C">
        <w:t>Professor of Economics and Law</w:t>
      </w:r>
      <w:r>
        <w:t xml:space="preserve"> – </w:t>
      </w:r>
      <w:r w:rsidRPr="00CD577C">
        <w:t>University of California Berkeley School of Law, January</w:t>
      </w:r>
      <w:r>
        <w:t>, 111 Yale L.J. 941)</w:t>
      </w:r>
    </w:p>
    <w:p w14:paraId="54875F59" w14:textId="77777777" w:rsidR="000331A0" w:rsidRDefault="000331A0" w:rsidP="000331A0">
      <w:pPr>
        <w:rPr>
          <w:rStyle w:val="Style11pt"/>
          <w:sz w:val="16"/>
        </w:rPr>
      </w:pPr>
      <w:r w:rsidRPr="0031296B">
        <w:rPr>
          <w:rStyle w:val="Style11ptUnderline"/>
        </w:rPr>
        <w:t xml:space="preserve">Might price reductions of less than twenty percent qualify as substantial? In some markets they should, and it would be </w:t>
      </w:r>
      <w:r w:rsidRPr="00A16892">
        <w:rPr>
          <w:rStyle w:val="Style11ptBoldUnderline"/>
        </w:rPr>
        <w:t>reasonable to decide substantiality on a</w:t>
      </w:r>
      <w:r w:rsidRPr="00B14B90">
        <w:rPr>
          <w:rStyle w:val="Style11ptBoldUnderline"/>
        </w:rPr>
        <w:t xml:space="preserve"> </w:t>
      </w:r>
      <w:r w:rsidRPr="00B14B90">
        <w:rPr>
          <w:rStyle w:val="Emphasis"/>
        </w:rPr>
        <w:t>case-by-case basis</w:t>
      </w:r>
      <w:r w:rsidRPr="00B14B90">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14:paraId="7465A61B" w14:textId="77777777" w:rsidR="00BF4A03" w:rsidRPr="00BF4A03" w:rsidRDefault="00BF4A03" w:rsidP="00BF4A03"/>
    <w:p w14:paraId="3682FD32" w14:textId="6179371E" w:rsidR="00692732" w:rsidRPr="00692732" w:rsidRDefault="00BF4A03" w:rsidP="00754D3A">
      <w:pPr>
        <w:pStyle w:val="Heading2"/>
      </w:pPr>
      <w:r>
        <w:t>Increase:</w:t>
      </w:r>
    </w:p>
    <w:p w14:paraId="37DB326D" w14:textId="77777777" w:rsidR="00BF4A03" w:rsidRPr="005015BA" w:rsidRDefault="00BF4A03" w:rsidP="00BF4A03">
      <w:pPr>
        <w:pStyle w:val="Heading4"/>
      </w:pPr>
      <w:r w:rsidRPr="005015BA">
        <w:t>Increase doesn’t require pre-existence</w:t>
      </w:r>
    </w:p>
    <w:p w14:paraId="46AD4FBF" w14:textId="14473493" w:rsidR="00BF4A03" w:rsidRPr="00754D3A" w:rsidRDefault="00BF4A03" w:rsidP="00BF4A03">
      <w:r w:rsidRPr="00754D3A">
        <w:rPr>
          <w:rStyle w:val="StyleStyleBold12pt"/>
        </w:rPr>
        <w:t>Reinhardt</w:t>
      </w:r>
      <w:r w:rsidRPr="00754D3A">
        <w:t xml:space="preserve">, Ninth Circuit United States Appeals Court Judge, </w:t>
      </w:r>
      <w:r w:rsidRPr="00754D3A">
        <w:rPr>
          <w:rStyle w:val="StyleStyleBold12pt"/>
        </w:rPr>
        <w:t>5</w:t>
      </w:r>
      <w:r w:rsidR="00754D3A">
        <w:t xml:space="preserve"> </w:t>
      </w:r>
      <w:r w:rsidRPr="005015BA">
        <w:rPr>
          <w:color w:val="0D0D0D"/>
        </w:rPr>
        <w:t>[Stephen R., 8-4-05, FindLaw, “Jason Ray REYNOLDS; Matthew Rausch, Plaintiffs-Appellants, v. HARTFORD FINANCIAL SERVICES GROUP, INC.; Hartford Fire Insurance Company, Defendants-Appellees.”, Lexis]</w:t>
      </w:r>
    </w:p>
    <w:p w14:paraId="01D93838" w14:textId="77777777" w:rsidR="00BF4A03" w:rsidRDefault="00BF4A03" w:rsidP="00BF4A03">
      <w:pPr>
        <w:rPr>
          <w:color w:val="0D0D0D"/>
        </w:rPr>
      </w:pPr>
      <w:r w:rsidRPr="005015BA">
        <w:rPr>
          <w:color w:val="0D0D0D"/>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5015BA">
        <w:rPr>
          <w:rStyle w:val="StyleBoldUnderline"/>
        </w:rPr>
        <w:t>under</w:t>
      </w:r>
      <w:r w:rsidRPr="005015BA">
        <w:rPr>
          <w:color w:val="0D0D0D"/>
          <w:u w:val="single"/>
        </w:rPr>
        <w:t xml:space="preserve"> </w:t>
      </w:r>
      <w:r w:rsidRPr="005015BA">
        <w:rPr>
          <w:color w:val="0D0D0D"/>
        </w:rPr>
        <w:t xml:space="preserve">[*1091] </w:t>
      </w:r>
      <w:r w:rsidRPr="005015BA">
        <w:rPr>
          <w:rStyle w:val="StyleBoldUnderline"/>
        </w:rPr>
        <w:t>the ordinary definition of the term, an increase in a charge also occurs whenever an insurer charges a higher rate than it would otherwise have charged because of any factor</w:t>
      </w:r>
      <w:r w:rsidRPr="005015BA">
        <w:rPr>
          <w:color w:val="0D0D0D"/>
        </w:rPr>
        <w:t>--such as adverse credit information, age, or driving record 8 --</w:t>
      </w:r>
      <w:r w:rsidRPr="005015BA">
        <w:rPr>
          <w:rStyle w:val="StyleBoldUnderline"/>
        </w:rPr>
        <w:t>regardless of whether the customer was previously charged some other rate.</w:t>
      </w:r>
      <w:r w:rsidRPr="005015BA">
        <w:rPr>
          <w:color w:val="0D0D0D"/>
          <w:u w:val="single"/>
        </w:rPr>
        <w:t xml:space="preserve"> </w:t>
      </w:r>
      <w:r w:rsidRPr="005015BA">
        <w:rPr>
          <w:color w:val="0D0D0D"/>
        </w:rPr>
        <w:t xml:space="preserve">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w:t>
      </w:r>
      <w:r w:rsidRPr="005015BA">
        <w:rPr>
          <w:rStyle w:val="StyleBoldUnderline"/>
        </w:rPr>
        <w:t>“Increase" means to make something greater.</w:t>
      </w:r>
      <w:r w:rsidRPr="005015BA">
        <w:rPr>
          <w:color w:val="0D0D0D"/>
        </w:rPr>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5015BA">
        <w:rPr>
          <w:rStyle w:val="StyleBoldUnderline"/>
        </w:rPr>
        <w:t>Nothing in the definition of these words implies that the term "increase in any charge for" should be limited to cases in which a company raises the rate that an individual has previously been charged</w:t>
      </w:r>
      <w:r w:rsidRPr="005015BA">
        <w:rPr>
          <w:color w:val="0D0D0D"/>
        </w:rPr>
        <w:t>.</w:t>
      </w:r>
    </w:p>
    <w:p w14:paraId="054E6A0E" w14:textId="77777777" w:rsidR="00BF4A03" w:rsidRPr="005015BA" w:rsidRDefault="00BF4A03" w:rsidP="00BF4A03">
      <w:pPr>
        <w:rPr>
          <w:color w:val="0D0D0D"/>
        </w:rPr>
      </w:pPr>
    </w:p>
    <w:p w14:paraId="2C4746EC" w14:textId="77777777" w:rsidR="00BF4A03" w:rsidRPr="005015BA" w:rsidRDefault="00BF4A03" w:rsidP="00BF4A03">
      <w:pPr>
        <w:pStyle w:val="Heading4"/>
      </w:pPr>
      <w:r w:rsidRPr="005015BA">
        <w:t>One can increase from zero</w:t>
      </w:r>
    </w:p>
    <w:p w14:paraId="4578A02B" w14:textId="77777777" w:rsidR="00BF4A03" w:rsidRPr="005015BA" w:rsidRDefault="00BF4A03" w:rsidP="00BF4A03">
      <w:pPr>
        <w:rPr>
          <w:color w:val="0D0D0D"/>
        </w:rPr>
      </w:pPr>
      <w:r w:rsidRPr="005015BA">
        <w:rPr>
          <w:b/>
          <w:color w:val="0D0D0D"/>
        </w:rPr>
        <w:t>WORDS AND PHRASES, 7</w:t>
      </w:r>
      <w:r w:rsidRPr="005015BA">
        <w:rPr>
          <w:color w:val="0D0D0D"/>
        </w:rPr>
        <w:t xml:space="preserve">  </w:t>
      </w:r>
    </w:p>
    <w:p w14:paraId="3FA57769" w14:textId="77777777" w:rsidR="00BF4A03" w:rsidRPr="005015BA" w:rsidRDefault="00BF4A03" w:rsidP="00BF4A03">
      <w:pPr>
        <w:rPr>
          <w:color w:val="0D0D0D"/>
        </w:rPr>
      </w:pPr>
      <w:r w:rsidRPr="005015BA">
        <w:rPr>
          <w:color w:val="0D0D0D"/>
        </w:rPr>
        <w:t xml:space="preserve">(CUMULATIVE SUPPLEMENTARY PAMPHLET, 2007 Vol. 20A, 07, 76. </w:t>
      </w:r>
    </w:p>
    <w:p w14:paraId="49E2DAF3" w14:textId="77777777" w:rsidR="00BF4A03" w:rsidRPr="005015BA" w:rsidRDefault="00BF4A03" w:rsidP="00BF4A03">
      <w:pPr>
        <w:rPr>
          <w:color w:val="0D0D0D"/>
          <w:szCs w:val="26"/>
        </w:rPr>
      </w:pPr>
      <w:r w:rsidRPr="005015BA">
        <w:rPr>
          <w:color w:val="0D0D0D"/>
          <w:szCs w:val="26"/>
        </w:rPr>
        <w:t xml:space="preserve">Increase: </w:t>
      </w:r>
      <w:r w:rsidRPr="005015BA">
        <w:rPr>
          <w:rStyle w:val="StyleBoldUnderline"/>
        </w:rPr>
        <w:t>Salary change of from zero to $12,000 and $1,200 annually for mayor and councilmen respectively was an “increase” in salary and not merely the fixing of salary.</w:t>
      </w:r>
      <w:r w:rsidRPr="005015BA">
        <w:rPr>
          <w:color w:val="0D0D0D"/>
          <w:szCs w:val="26"/>
        </w:rPr>
        <w:t xml:space="preserve"> King v. Herron, 243 S.E.2d36, 241 Ga. 5.</w:t>
      </w:r>
    </w:p>
    <w:p w14:paraId="41280882" w14:textId="77777777" w:rsidR="00BF4A03" w:rsidRDefault="00BF4A03" w:rsidP="00BF4A03"/>
    <w:p w14:paraId="6714ACFA" w14:textId="77777777" w:rsidR="00692732" w:rsidRPr="007C3AE8" w:rsidRDefault="00692732" w:rsidP="00692732">
      <w:pPr>
        <w:pStyle w:val="Heading4"/>
      </w:pPr>
      <w:r w:rsidRPr="007C3AE8">
        <w:t>Increase means to make greater in proportion</w:t>
      </w:r>
    </w:p>
    <w:p w14:paraId="1F3CCDDC" w14:textId="77777777" w:rsidR="00692732" w:rsidRPr="007C3AE8" w:rsidRDefault="00692732" w:rsidP="00692732">
      <w:r w:rsidRPr="007C3AE8">
        <w:t xml:space="preserve">Oxford dictionary 17, Accessed June 24, website produced by the Oxford University Press publishing house, a department of the University of Oxford, </w:t>
      </w:r>
      <w:hyperlink r:id="rId19" w:history="1">
        <w:r w:rsidRPr="007C3AE8">
          <w:rPr>
            <w:rStyle w:val="Hyperlink"/>
          </w:rPr>
          <w:t>https://en.oxforddictionaries.com/definition/us/increase</w:t>
        </w:r>
      </w:hyperlink>
      <w:r w:rsidRPr="007C3AE8">
        <w:t xml:space="preserve"> IEB</w:t>
      </w:r>
    </w:p>
    <w:p w14:paraId="7AB23EFE" w14:textId="77777777" w:rsidR="00692732" w:rsidRPr="007C3AE8" w:rsidRDefault="00692732" w:rsidP="00692732">
      <w:r w:rsidRPr="007C3AE8">
        <w:rPr>
          <w:u w:val="single"/>
        </w:rPr>
        <w:t>increase</w:t>
      </w:r>
      <w:r w:rsidRPr="007C3AE8">
        <w:t xml:space="preserve"> VERB Pronunciation /ɪnˈkris//inˈkrēs/ </w:t>
      </w:r>
      <w:r w:rsidRPr="007C3AE8">
        <w:rPr>
          <w:u w:val="single"/>
        </w:rPr>
        <w:t>Become or make greater in size, amount, intensity, or degree.</w:t>
      </w:r>
      <w:r w:rsidRPr="007C3AE8">
        <w:t xml:space="preserve"> no object ‘car use is increasing at an alarming rate’ with object ‘we are aiming to increase awareness of social issues’ ‘the increasing numbers of students’</w:t>
      </w:r>
    </w:p>
    <w:p w14:paraId="77D5FB40" w14:textId="77777777" w:rsidR="00692732" w:rsidRPr="00BF4A03" w:rsidRDefault="00692732" w:rsidP="00BF4A03"/>
    <w:p w14:paraId="15F9008A" w14:textId="1649CA0A" w:rsidR="00E036EA" w:rsidRDefault="00E036EA" w:rsidP="00754D3A">
      <w:pPr>
        <w:pStyle w:val="Heading2"/>
      </w:pPr>
      <w:r>
        <w:t>Its</w:t>
      </w:r>
      <w:r w:rsidR="00BF4A03">
        <w:t>:</w:t>
      </w:r>
    </w:p>
    <w:p w14:paraId="0C96698E" w14:textId="77777777" w:rsidR="00E036EA" w:rsidRDefault="00E036EA" w:rsidP="00E036EA"/>
    <w:p w14:paraId="015C21A4" w14:textId="77777777" w:rsidR="00E036EA" w:rsidRDefault="00E036EA" w:rsidP="00E036EA">
      <w:pPr>
        <w:pStyle w:val="Heading4"/>
      </w:pPr>
      <w:r>
        <w:t>Belonging to or associated with</w:t>
      </w:r>
    </w:p>
    <w:p w14:paraId="468334C5" w14:textId="77777777" w:rsidR="00E036EA" w:rsidRDefault="00E036EA" w:rsidP="00E036EA">
      <w:r w:rsidRPr="00E2142F">
        <w:rPr>
          <w:rStyle w:val="Heading2Char2"/>
        </w:rPr>
        <w:t>Oxford Dictionary 10</w:t>
      </w:r>
      <w:r>
        <w:t xml:space="preserve"> (“Of”, </w:t>
      </w:r>
      <w:r w:rsidRPr="00E2142F">
        <w:t>http://www.oxforddictionaries.com/definition/its?view=uk</w:t>
      </w:r>
      <w:r>
        <w:t>)</w:t>
      </w:r>
    </w:p>
    <w:p w14:paraId="328C3924" w14:textId="77777777" w:rsidR="00E036EA" w:rsidRPr="00FF1D4A" w:rsidRDefault="00E036EA" w:rsidP="00E036EA">
      <w:pPr>
        <w:rPr>
          <w:sz w:val="16"/>
        </w:rPr>
      </w:pPr>
      <w:r w:rsidRPr="00FF1D4A">
        <w:rPr>
          <w:sz w:val="16"/>
        </w:rPr>
        <w:t>Pronunciation:/</w:t>
      </w:r>
      <w:r w:rsidRPr="00FF1D4A">
        <w:rPr>
          <w:rFonts w:ascii="Lucida Sans Unicode" w:hAnsi="Lucida Sans Unicode" w:cs="Lucida Sans Unicode"/>
          <w:sz w:val="16"/>
        </w:rPr>
        <w:t>ɪ</w:t>
      </w:r>
      <w:r w:rsidRPr="00FF1D4A">
        <w:rPr>
          <w:sz w:val="16"/>
        </w:rPr>
        <w:t>ts/</w:t>
      </w:r>
    </w:p>
    <w:p w14:paraId="4878FBA2" w14:textId="77777777" w:rsidR="00E036EA" w:rsidRPr="00FF1D4A" w:rsidRDefault="00E036EA" w:rsidP="00E036EA">
      <w:pPr>
        <w:rPr>
          <w:sz w:val="16"/>
        </w:rPr>
      </w:pPr>
      <w:r w:rsidRPr="00FF1D4A">
        <w:rPr>
          <w:sz w:val="16"/>
        </w:rPr>
        <w:t>possessive determiner</w:t>
      </w:r>
    </w:p>
    <w:p w14:paraId="645A62B8" w14:textId="77777777" w:rsidR="00E036EA" w:rsidRPr="00A16892" w:rsidRDefault="00E036EA" w:rsidP="00E036EA">
      <w:pPr>
        <w:rPr>
          <w:sz w:val="16"/>
        </w:rPr>
      </w:pPr>
      <w:r w:rsidRPr="005F483A">
        <w:rPr>
          <w:rStyle w:val="TitleChar"/>
        </w:rPr>
        <w:t>belonging to or associated with a thing previously mentioned</w:t>
      </w:r>
      <w:r w:rsidRPr="00FF1D4A">
        <w:rPr>
          <w:sz w:val="16"/>
        </w:rPr>
        <w:t xml:space="preserve"> or easily identified:turn the camera on its side he chose the area for its atmosphere </w:t>
      </w:r>
    </w:p>
    <w:p w14:paraId="7A8A2A1F" w14:textId="77777777" w:rsidR="00E036EA" w:rsidRDefault="00E036EA" w:rsidP="00E036EA"/>
    <w:p w14:paraId="217EDC14" w14:textId="77777777" w:rsidR="00E036EA" w:rsidRPr="00B633C4" w:rsidRDefault="00E036EA" w:rsidP="00E036EA">
      <w:pPr>
        <w:pStyle w:val="Heading4"/>
      </w:pPr>
      <w:r>
        <w:t>Of or relating to</w:t>
      </w:r>
    </w:p>
    <w:p w14:paraId="1ACDA5A3" w14:textId="77777777" w:rsidR="00E036EA" w:rsidRDefault="00E036EA" w:rsidP="00E036EA">
      <w:r w:rsidRPr="00B633C4">
        <w:rPr>
          <w:rStyle w:val="Heading2Char2"/>
        </w:rPr>
        <w:t>Webster’s 10</w:t>
      </w:r>
      <w:r>
        <w:t xml:space="preserve"> (Merriam-Webster’s Online Dictionary, “its”, </w:t>
      </w:r>
      <w:r w:rsidRPr="00B633C4">
        <w:t>http://www.merriam-webster.com/dictionary/its</w:t>
      </w:r>
      <w:r>
        <w:t>)</w:t>
      </w:r>
    </w:p>
    <w:p w14:paraId="5E5824CC" w14:textId="77777777" w:rsidR="00E036EA" w:rsidRPr="00FF1D4A" w:rsidRDefault="00E036EA" w:rsidP="00E036EA">
      <w:pPr>
        <w:rPr>
          <w:sz w:val="16"/>
        </w:rPr>
      </w:pPr>
      <w:r w:rsidRPr="00FF1D4A">
        <w:rPr>
          <w:sz w:val="16"/>
        </w:rPr>
        <w:t xml:space="preserve">Main Entry: </w:t>
      </w:r>
      <w:r w:rsidRPr="005F483A">
        <w:rPr>
          <w:rStyle w:val="TitleChar"/>
        </w:rPr>
        <w:t>its</w:t>
      </w:r>
      <w:r w:rsidRPr="00FF1D4A">
        <w:rPr>
          <w:sz w:val="16"/>
        </w:rPr>
        <w:t xml:space="preserve"> </w:t>
      </w:r>
    </w:p>
    <w:p w14:paraId="768883FE" w14:textId="77777777" w:rsidR="00E036EA" w:rsidRPr="00FF1D4A" w:rsidRDefault="00E036EA" w:rsidP="00E036EA">
      <w:pPr>
        <w:rPr>
          <w:sz w:val="16"/>
        </w:rPr>
      </w:pPr>
      <w:r w:rsidRPr="00FF1D4A">
        <w:rPr>
          <w:sz w:val="16"/>
        </w:rPr>
        <w:t>Pronunciation: \ˈits, əts\</w:t>
      </w:r>
    </w:p>
    <w:p w14:paraId="6E3C97F7" w14:textId="77777777" w:rsidR="00E036EA" w:rsidRPr="00FF1D4A" w:rsidRDefault="00E036EA" w:rsidP="00E036EA">
      <w:pPr>
        <w:rPr>
          <w:sz w:val="16"/>
        </w:rPr>
      </w:pPr>
      <w:r w:rsidRPr="00FF1D4A">
        <w:rPr>
          <w:sz w:val="16"/>
        </w:rPr>
        <w:t xml:space="preserve">Function: adjective </w:t>
      </w:r>
    </w:p>
    <w:p w14:paraId="259EBFC4" w14:textId="77777777" w:rsidR="00E036EA" w:rsidRPr="00FF1D4A" w:rsidRDefault="00E036EA" w:rsidP="00E036EA">
      <w:pPr>
        <w:rPr>
          <w:sz w:val="16"/>
        </w:rPr>
      </w:pPr>
      <w:r w:rsidRPr="00FF1D4A">
        <w:rPr>
          <w:sz w:val="16"/>
        </w:rPr>
        <w:t>Date: circa 1507</w:t>
      </w:r>
    </w:p>
    <w:p w14:paraId="30805AE1" w14:textId="472B2AA0" w:rsidR="00BF4A03" w:rsidRDefault="00E036EA" w:rsidP="00E036EA">
      <w:pPr>
        <w:rPr>
          <w:sz w:val="16"/>
        </w:rPr>
      </w:pPr>
      <w:r w:rsidRPr="00FF1D4A">
        <w:rPr>
          <w:sz w:val="16"/>
        </w:rPr>
        <w:t xml:space="preserve">: </w:t>
      </w:r>
      <w:r w:rsidRPr="005F483A">
        <w:rPr>
          <w:rStyle w:val="TitleChar"/>
        </w:rPr>
        <w:t>of or relating to it or itself especially as possessor, agent, or object of an action</w:t>
      </w:r>
      <w:r w:rsidRPr="00FF1D4A">
        <w:rPr>
          <w:sz w:val="16"/>
        </w:rPr>
        <w:t xml:space="preserve"> &lt;going to its kennel&gt; &lt;a child proud of its first drawings&gt; &lt;its final enactment into law&gt;</w:t>
      </w:r>
    </w:p>
    <w:p w14:paraId="16920A74" w14:textId="77777777" w:rsidR="00AC03D5" w:rsidRDefault="00AC03D5" w:rsidP="00E036EA">
      <w:pPr>
        <w:rPr>
          <w:sz w:val="16"/>
        </w:rPr>
      </w:pPr>
    </w:p>
    <w:p w14:paraId="7E5F7AE1" w14:textId="50358967" w:rsidR="00EE4B58" w:rsidRDefault="00EE4B58" w:rsidP="00754D3A">
      <w:pPr>
        <w:pStyle w:val="Heading2"/>
        <w:rPr>
          <w:lang w:eastAsia="zh-CN"/>
        </w:rPr>
      </w:pPr>
      <w:r>
        <w:rPr>
          <w:lang w:eastAsia="zh-CN"/>
        </w:rPr>
        <w:t>Regulation</w:t>
      </w:r>
      <w:r w:rsidR="00A0313B">
        <w:rPr>
          <w:lang w:eastAsia="zh-CN"/>
        </w:rPr>
        <w:t>:</w:t>
      </w:r>
    </w:p>
    <w:p w14:paraId="75D0338E" w14:textId="6BD2F1C5" w:rsidR="00AC03D5" w:rsidRDefault="00A0313B" w:rsidP="00AC03D5">
      <w:pPr>
        <w:pStyle w:val="Heading3"/>
      </w:pPr>
      <w:r>
        <w:t>Regulation</w:t>
      </w:r>
      <w:r w:rsidR="00AC03D5">
        <w:t xml:space="preserve"> = Anything</w:t>
      </w:r>
    </w:p>
    <w:p w14:paraId="50450D55" w14:textId="77777777" w:rsidR="00AC03D5" w:rsidRPr="00C1067B" w:rsidRDefault="00AC03D5" w:rsidP="00AC03D5">
      <w:pPr>
        <w:pStyle w:val="Heading4"/>
      </w:pPr>
      <w:r w:rsidRPr="00C1067B">
        <w:t>Regulation is a laundry list of things</w:t>
      </w:r>
    </w:p>
    <w:p w14:paraId="041D6154" w14:textId="77777777" w:rsidR="00AC03D5" w:rsidRPr="00C1067B" w:rsidRDefault="00AC03D5" w:rsidP="00AC03D5">
      <w:pPr>
        <w:rPr>
          <w:rStyle w:val="StyleStyleBold12pt"/>
        </w:rPr>
      </w:pPr>
      <w:r w:rsidRPr="00C1067B">
        <w:rPr>
          <w:rStyle w:val="StyleStyleBold12pt"/>
        </w:rPr>
        <w:t>Fenwick and Novitz 10</w:t>
      </w:r>
      <w:r>
        <w:rPr>
          <w:rStyle w:val="StyleStyleBold12pt"/>
        </w:rPr>
        <w:t xml:space="preserve"> </w:t>
      </w:r>
      <w:r w:rsidRPr="00C1067B">
        <w:t>(</w:t>
      </w:r>
      <w:r>
        <w:t>Colin Associate Professor and member of the Centre for Employment and Labour Relations Law at Melbourne Law School, Tonia is Professor of Labour Law at the University of Bristol, “Human Rights at Work: Perspectives on Law and Regulation,”) KVA</w:t>
      </w:r>
    </w:p>
    <w:p w14:paraId="762B991F" w14:textId="77777777" w:rsidR="00AC03D5" w:rsidRPr="00C1067B" w:rsidRDefault="00AC03D5" w:rsidP="00AC03D5">
      <w:pPr>
        <w:rPr>
          <w:sz w:val="16"/>
        </w:rPr>
      </w:pPr>
      <w:r w:rsidRPr="00C1067B">
        <w:rPr>
          <w:sz w:val="16"/>
        </w:rPr>
        <w:t>It might be said that industrial citizenship provides the ‘what’ or the content of human rights for workers, and regulatory theory provides the ‘how’. Th</w:t>
      </w:r>
      <w:r w:rsidRPr="00C1067B">
        <w:rPr>
          <w:rStyle w:val="StyleBoldUnderline"/>
        </w:rPr>
        <w:t>e term ‘regulation’ includes, but is not limited to, the use of legal rules and sanctions as a mechanism for setting and enforcing behavioral norms</w:t>
      </w:r>
      <w:r w:rsidRPr="00C1067B">
        <w:rPr>
          <w:sz w:val="16"/>
        </w:rPr>
        <w:t xml:space="preserve">. For Braithwaite, </w:t>
      </w:r>
      <w:r w:rsidRPr="00C1067B">
        <w:rPr>
          <w:rStyle w:val="StyleBoldUnderline"/>
        </w:rPr>
        <w:t>regulation is conceived of as that subset of governance that is about steering the flow of events, as opposed to providing and distributing.</w:t>
      </w:r>
      <w:r w:rsidRPr="00C1067B">
        <w:rPr>
          <w:sz w:val="16"/>
        </w:rPr>
        <w:t xml:space="preserve"> </w:t>
      </w:r>
      <w:r w:rsidRPr="00C1067B">
        <w:rPr>
          <w:rStyle w:val="Emphasis"/>
        </w:rPr>
        <w:t>Regulatory theory recognizes that the state is not the only actor with power to influence the actions of others</w:t>
      </w:r>
      <w:r w:rsidRPr="00C1067B">
        <w:rPr>
          <w:sz w:val="16"/>
        </w:rPr>
        <w:t xml:space="preserve">. </w:t>
      </w:r>
      <w:r w:rsidRPr="00C1067B">
        <w:rPr>
          <w:rStyle w:val="StyleBoldUnderline"/>
        </w:rPr>
        <w:t>State regulation co-exists, supplements and often collides with co-regulation and self-regulation within a given ‘regulatory space’</w:t>
      </w:r>
      <w:r w:rsidRPr="00C1067B">
        <w:rPr>
          <w:sz w:val="16"/>
        </w:rPr>
        <w:t xml:space="preserve">. This chapter takes a broad view of labour market regulation and considers the effect not only of labour law, but also of other protective measures offered by the nation-state when exploring the regulatory context. Regulatory theory suggests that designing and applying regulation according to a number of principles assists in making it more effective and responsive. </w:t>
      </w:r>
      <w:r w:rsidRPr="00C1067B">
        <w:rPr>
          <w:rStyle w:val="StyleBoldUnderline"/>
        </w:rPr>
        <w:t>First, regulation is likely to be more effective when regulators have a number of different options available to them in ensuring compliance, including punitive mechanisms of enforcement and more reflexive mechanisms of encouragement and regulatory learning</w:t>
      </w:r>
      <w:r w:rsidRPr="00C1067B">
        <w:rPr>
          <w:sz w:val="16"/>
        </w:rPr>
        <w:t xml:space="preserve">. These principles are encapsulated within the ‘labour regulation pyramid’, shown in Figure 1, which is a tool that can be used in the design and assessment of responsive labour regulation. Secondly, both </w:t>
      </w:r>
      <w:r w:rsidRPr="00C1067B">
        <w:rPr>
          <w:rStyle w:val="StyleBoldUnderline"/>
        </w:rPr>
        <w:t>regulatory design and implementation should be participatory.</w:t>
      </w:r>
      <w:r>
        <w:rPr>
          <w:rStyle w:val="StyleBoldUnderline"/>
        </w:rPr>
        <w:t xml:space="preserve"> </w:t>
      </w:r>
      <w:r w:rsidRPr="00C1067B">
        <w:rPr>
          <w:rStyle w:val="StyleBoldUnderline"/>
        </w:rPr>
        <w:t>This is both a means to greater effectiveness and end in itself in franchising industrial citizens.</w:t>
      </w:r>
      <w:r>
        <w:rPr>
          <w:rStyle w:val="StyleBoldUnderline"/>
        </w:rPr>
        <w:t xml:space="preserve"> </w:t>
      </w:r>
      <w:r w:rsidRPr="00C1067B">
        <w:rPr>
          <w:sz w:val="16"/>
        </w:rPr>
        <w:t xml:space="preserve">The Labour Regulation Pyramid The ‘regulation pyramid’ graphically depicts the range of options available to regulators in enforcing regulations. The existence of legal rules and norms enshrining labour or human rights and standards as non-negotiable behavioral minimums, with non-compliance subject to non-discretionary punishment, are at the apex of the pyramid. They serve as a goal, guide, and ultimately as a source of sanction. This is because in the absence of the apex, regulators will have far less capacity to apply any leverage against businesses unwilling to comply with regulation. </w:t>
      </w:r>
      <w:r w:rsidRPr="00C1067B">
        <w:rPr>
          <w:rStyle w:val="StyleBoldUnderline"/>
        </w:rPr>
        <w:t>However, frequently the most effective way for governments to achieve behavioral change is if businesses themselves choose to comply with relevant rights and standards, without the application of sanctions.</w:t>
      </w:r>
      <w:r>
        <w:rPr>
          <w:rStyle w:val="StyleBoldUnderline"/>
        </w:rPr>
        <w:t xml:space="preserve"> </w:t>
      </w:r>
      <w:r w:rsidRPr="00C1067B">
        <w:rPr>
          <w:rStyle w:val="StyleBoldUnderline"/>
        </w:rPr>
        <w:t>The pyramid therefore contemplates other regulatory strategies that the state might use, often in collaboration with other regulatory actors, to achieve the desired change in a manner that is responsive to the circumstances of businesses</w:t>
      </w:r>
      <w:r w:rsidRPr="00C1067B">
        <w:rPr>
          <w:sz w:val="16"/>
        </w:rPr>
        <w:t xml:space="preserve">. </w:t>
      </w:r>
      <w:r w:rsidRPr="00C1067B">
        <w:rPr>
          <w:rStyle w:val="Emphasis"/>
        </w:rPr>
        <w:t>A central principle of this approach is that responsive regulation would be best designed in a way that utilized different elements of the pyramid in interlinked ways depending upon a range of particular circumstances.</w:t>
      </w:r>
      <w:r>
        <w:rPr>
          <w:rStyle w:val="Emphasis"/>
        </w:rPr>
        <w:t xml:space="preserve"> </w:t>
      </w:r>
      <w:r w:rsidRPr="00C1067B">
        <w:rPr>
          <w:sz w:val="16"/>
        </w:rPr>
        <w:t>The regulatory pyramid is used as an analytical tool in the third part of chapter to assess the likely effectiveness of Australian supply chain regulation in re-enfranchising outworkers as industrial citizens.</w:t>
      </w:r>
    </w:p>
    <w:p w14:paraId="4F56CEB6" w14:textId="77777777" w:rsidR="00AC03D5" w:rsidRPr="00AC03D5" w:rsidRDefault="00AC03D5" w:rsidP="00AC03D5"/>
    <w:p w14:paraId="1A8A6249" w14:textId="77777777" w:rsidR="00BC6901" w:rsidRDefault="00BC6901" w:rsidP="00AC03D5">
      <w:pPr>
        <w:pStyle w:val="Heading4"/>
      </w:pPr>
      <w:r>
        <w:t>Regulation does not always equal restriction, especially in education</w:t>
      </w:r>
    </w:p>
    <w:p w14:paraId="49E944D0" w14:textId="77777777" w:rsidR="00BC6901" w:rsidRPr="00B55AD5" w:rsidRDefault="00BC6901" w:rsidP="00BC6901">
      <w:r w:rsidRPr="00287220">
        <w:rPr>
          <w:rStyle w:val="StyleStyleBold12pt"/>
        </w:rPr>
        <w:t>Orbach 12</w:t>
      </w:r>
      <w:r>
        <w:t xml:space="preserve"> [Barak Orbach 9/10/12, “What Is Regulation?”, University of Arizona, </w:t>
      </w:r>
      <w:r w:rsidRPr="00287220">
        <w:rPr>
          <w:rFonts w:ascii="NexusSansWebPro" w:hAnsi="NexusSansWebPro"/>
          <w:i/>
          <w:iCs/>
          <w:color w:val="505050"/>
          <w:u w:val="single"/>
          <w:shd w:val="clear" w:color="auto" w:fill="FFFFFF"/>
        </w:rPr>
        <w:t>Arizona Legal Studies Discussion Paper No. 12-27</w:t>
      </w:r>
      <w:r>
        <w:t xml:space="preserve">,] </w:t>
      </w:r>
      <w:r w:rsidRPr="00287220">
        <w:t>https://papers.ssrn.com/sol3/papers.cfm?abstract_id=2143385</w:t>
      </w:r>
      <w:r>
        <w:t xml:space="preserve"> Accessed 7-8-2017</w:t>
      </w:r>
    </w:p>
    <w:p w14:paraId="1501C58B" w14:textId="77777777" w:rsidR="00BC6901" w:rsidRDefault="00BC6901" w:rsidP="00BC6901">
      <w:r w:rsidRPr="00F65D49">
        <w:rPr>
          <w:rStyle w:val="StyleBoldUnderline"/>
          <w:highlight w:val="yellow"/>
        </w:rPr>
        <w:t>Regulation often imposes no restrictions, but enables, facilitates, or adjusts activities, with no restrictions. Examples</w:t>
      </w:r>
      <w:r>
        <w:t xml:space="preserve"> of such </w:t>
      </w:r>
      <w:r w:rsidRPr="00287220">
        <w:t>regulations</w:t>
      </w:r>
      <w:r w:rsidRPr="00287220">
        <w:rPr>
          <w:rStyle w:val="StyleBoldUnderline"/>
        </w:rPr>
        <w:t xml:space="preserve"> </w:t>
      </w:r>
      <w:r w:rsidRPr="00F65D49">
        <w:rPr>
          <w:rStyle w:val="StyleBoldUnderline"/>
          <w:highlight w:val="yellow"/>
        </w:rPr>
        <w:t>include</w:t>
      </w:r>
      <w:r>
        <w:t xml:space="preserve"> the supply of </w:t>
      </w:r>
      <w:r w:rsidRPr="00F65D49">
        <w:rPr>
          <w:rStyle w:val="StyleBoldUnderline"/>
          <w:highlight w:val="yellow"/>
        </w:rPr>
        <w:t>roads, health</w:t>
      </w:r>
      <w:r w:rsidRPr="00287220">
        <w:rPr>
          <w:rStyle w:val="StyleBoldUnderline"/>
        </w:rPr>
        <w:t xml:space="preserve"> and emergency </w:t>
      </w:r>
      <w:r w:rsidRPr="00F65D49">
        <w:rPr>
          <w:rStyle w:val="StyleBoldUnderline"/>
          <w:highlight w:val="yellow"/>
        </w:rPr>
        <w:t>services,</w:t>
      </w:r>
      <w:r w:rsidRPr="00287220">
        <w:rPr>
          <w:rStyle w:val="StyleBoldUnderline"/>
        </w:rPr>
        <w:t xml:space="preserve"> public </w:t>
      </w:r>
      <w:r w:rsidRPr="00F65D49">
        <w:rPr>
          <w:rStyle w:val="StyleBoldUnderline"/>
          <w:highlight w:val="yellow"/>
        </w:rPr>
        <w:t>education</w:t>
      </w:r>
      <w:r w:rsidRPr="00287220">
        <w:rPr>
          <w:rStyle w:val="StyleBoldUnderline"/>
        </w:rPr>
        <w:t xml:space="preserve"> and </w:t>
      </w:r>
      <w:r w:rsidRPr="00F65D49">
        <w:rPr>
          <w:rStyle w:val="StyleBoldUnderline"/>
          <w:highlight w:val="yellow"/>
        </w:rPr>
        <w:t>public libraries, welfare benefits, reliefs to victims</w:t>
      </w:r>
      <w:r w:rsidRPr="00287220">
        <w:rPr>
          <w:rStyle w:val="StyleBoldUnderline"/>
        </w:rPr>
        <w:t xml:space="preserve"> of natural disasters </w:t>
      </w:r>
      <w:r w:rsidRPr="00F65D49">
        <w:rPr>
          <w:rStyle w:val="StyleBoldUnderline"/>
          <w:highlight w:val="yellow"/>
        </w:rPr>
        <w:t>and bailouts</w:t>
      </w:r>
      <w:r>
        <w:t xml:space="preserve"> to failed institutions. Such services directly influence (or “adjust”) conduct of individuals and firms. In the abstract, all government actions supposedly influence conduct of individuals and firms, but not necessarily directly</w:t>
      </w:r>
    </w:p>
    <w:p w14:paraId="2E56FA35" w14:textId="77777777" w:rsidR="00EE4B58" w:rsidRDefault="00EE4B58" w:rsidP="00EE4B58"/>
    <w:p w14:paraId="2720AD72" w14:textId="77777777" w:rsidR="00EE4B58" w:rsidRDefault="00EE4B58" w:rsidP="00EE4B58">
      <w:pPr>
        <w:pStyle w:val="Heading4"/>
      </w:pPr>
      <w:r>
        <w:t>Regulation is a precept, issued by a central authority</w:t>
      </w:r>
    </w:p>
    <w:p w14:paraId="2BAAA3B1" w14:textId="77777777" w:rsidR="00EE4B58" w:rsidRDefault="00EE4B58" w:rsidP="00EE4B58">
      <w:pPr>
        <w:rPr>
          <w:rStyle w:val="StyleStyleBold12pt"/>
        </w:rPr>
      </w:pPr>
      <w:r>
        <w:rPr>
          <w:rStyle w:val="StyleStyleBold12pt"/>
        </w:rPr>
        <w:t xml:space="preserve">Black’s </w:t>
      </w:r>
      <w:r w:rsidRPr="00C41B29">
        <w:rPr>
          <w:rStyle w:val="StyleStyleBold12pt"/>
        </w:rPr>
        <w:t xml:space="preserve">Law Dictionary </w:t>
      </w:r>
      <w:r>
        <w:rPr>
          <w:rStyle w:val="StyleStyleBold12pt"/>
        </w:rPr>
        <w:t>10</w:t>
      </w:r>
      <w:r w:rsidRPr="00946FE1">
        <w:t xml:space="preserve"> (Black’s Law Dictionary 2nd Edition, The most widely used legal dictionary in the US, 2010-mm-dd, "What is REGULATION? definition of REGULATION (Black's Law Dictionary), http://thelawdictionary.org/regulation/) BN accessed 2017-07-07</w:t>
      </w:r>
    </w:p>
    <w:p w14:paraId="4C567665" w14:textId="77777777" w:rsidR="00EE4B58" w:rsidRPr="00AA53B0" w:rsidRDefault="00EE4B58" w:rsidP="00EE4B58">
      <w:r w:rsidRPr="00AA53B0">
        <w:rPr>
          <w:b/>
          <w:u w:val="single"/>
        </w:rPr>
        <w:t xml:space="preserve">The act of regulating; </w:t>
      </w:r>
      <w:r w:rsidRPr="00F65D49">
        <w:rPr>
          <w:b/>
          <w:highlight w:val="yellow"/>
          <w:u w:val="single"/>
        </w:rPr>
        <w:t>a rule or order prescribed for management or government</w:t>
      </w:r>
      <w:r w:rsidRPr="00C41B29">
        <w:t xml:space="preserve">; a regulating principle; </w:t>
      </w:r>
      <w:r w:rsidRPr="00F65D49">
        <w:rPr>
          <w:b/>
          <w:highlight w:val="yellow"/>
          <w:u w:val="single"/>
        </w:rPr>
        <w:t>a precept</w:t>
      </w:r>
      <w:r w:rsidRPr="00C41B29">
        <w:t>. See Curry v. Marvin, 2 Fla. 415; Ames v. Union Pac. Ry. Co. (C. C.) 64 Fed. 178; Hunt v. Lambertville, 45 N. J. Law, 282.</w:t>
      </w:r>
    </w:p>
    <w:p w14:paraId="59C9A08A" w14:textId="77777777" w:rsidR="00EE4B58" w:rsidRPr="00EE4B58" w:rsidRDefault="00EE4B58" w:rsidP="00EE4B58"/>
    <w:p w14:paraId="507217BD" w14:textId="77777777" w:rsidR="00EE4B58" w:rsidRPr="005015BA" w:rsidRDefault="00EE4B58" w:rsidP="00EE4B58">
      <w:pPr>
        <w:pStyle w:val="Heading4"/>
      </w:pPr>
      <w:r w:rsidRPr="005015BA">
        <w:t xml:space="preserve">Regulation has </w:t>
      </w:r>
      <w:r w:rsidRPr="005015BA">
        <w:rPr>
          <w:u w:val="single"/>
        </w:rPr>
        <w:t>zero predictable</w:t>
      </w:r>
      <w:r w:rsidRPr="005015BA">
        <w:t xml:space="preserve"> definition – you should prefer reasonability </w:t>
      </w:r>
    </w:p>
    <w:p w14:paraId="44058BB2" w14:textId="77777777" w:rsidR="00EE4B58" w:rsidRPr="005015BA" w:rsidRDefault="00EE4B58" w:rsidP="00EE4B58">
      <w:pPr>
        <w:rPr>
          <w:rStyle w:val="StyleStyleBold12pt"/>
        </w:rPr>
      </w:pPr>
      <w:r w:rsidRPr="005015BA">
        <w:rPr>
          <w:rStyle w:val="StyleStyleBold12pt"/>
        </w:rPr>
        <w:t xml:space="preserve">Harley and Lawrence 06 </w:t>
      </w:r>
      <w:r w:rsidRPr="005015BA">
        <w:t>(Diane Harley, Ph.D., is a Principal Investigator and Senior Researcher at the Center for Studies in Higher Education, Shannon Lawrence is a Researcher at the CSHE, “The Regulation of E-learning,” CSHE, p. 6) EYC</w:t>
      </w:r>
    </w:p>
    <w:p w14:paraId="23CD03EE" w14:textId="77777777" w:rsidR="00EE4B58" w:rsidRDefault="00EE4B58" w:rsidP="00EE4B58">
      <w:pPr>
        <w:rPr>
          <w:rStyle w:val="StyleStyleBold12pt"/>
          <w:b w:val="0"/>
        </w:rPr>
      </w:pPr>
      <w:r w:rsidRPr="005015BA">
        <w:rPr>
          <w:rStyle w:val="StyleStyleBold12pt"/>
          <w:b w:val="0"/>
        </w:rPr>
        <w:t xml:space="preserve">Though </w:t>
      </w:r>
      <w:r w:rsidRPr="005015BA">
        <w:rPr>
          <w:rStyle w:val="StyleBoldUnderline"/>
        </w:rPr>
        <w:t>no single definition of regulation was agreed upon</w:t>
      </w:r>
      <w:r w:rsidRPr="005015BA">
        <w:rPr>
          <w:rStyle w:val="StyleStyleBold12pt"/>
          <w:b w:val="0"/>
        </w:rPr>
        <w:t xml:space="preserve"> during our meetings, various opinions emerged. Regulation was described as an edict that limits the free market, sometimes in efficiency enhancing ways, sometimes in ways that are adverse to efficiency. In the context of e-learning, </w:t>
      </w:r>
      <w:r w:rsidRPr="005015BA">
        <w:rPr>
          <w:rStyle w:val="StyleBoldUnderline"/>
        </w:rPr>
        <w:t>regulation can refer to internal and/or external forces of constraint that deal with systems, institutions, faculty, students, and so forth. Constraint can have a positive affect on a new area of development, but it can also hinder innovation. It was agreed that regulation cannot be treated as a binary issue.</w:t>
      </w:r>
      <w:r w:rsidRPr="005015BA">
        <w:rPr>
          <w:rStyle w:val="StyleStyleBold12pt"/>
          <w:b w:val="0"/>
        </w:rPr>
        <w:t xml:space="preserve"> Higher education is reorganizing itself globally in a number of ways, and that reorganization will involve some external regulation and self-regulation in varying combinations.</w:t>
      </w:r>
    </w:p>
    <w:p w14:paraId="4FC58AE9" w14:textId="77777777" w:rsidR="00EE4B58" w:rsidRPr="00322563" w:rsidRDefault="00EE4B58" w:rsidP="00EE4B58">
      <w:pPr>
        <w:pStyle w:val="Heading4"/>
      </w:pPr>
      <w:r>
        <w:t xml:space="preserve">Regulation of education includes health, safety, and standards for course work </w:t>
      </w:r>
    </w:p>
    <w:p w14:paraId="686EFB16" w14:textId="77777777" w:rsidR="00EE4B58" w:rsidRPr="00372B67" w:rsidRDefault="00EE4B58" w:rsidP="00EE4B58">
      <w:r>
        <w:rPr>
          <w:b/>
        </w:rPr>
        <w:t>Swain 13</w:t>
      </w:r>
      <w:r>
        <w:t xml:space="preserve"> (Harriet, freelance journalist specialising in higher education, “What universities need: regulation, regulation, regulation,” 10/7, https://www.theguardian.com/education/2013/oct/07/higher-education-regulation-report-legislation)</w:t>
      </w:r>
    </w:p>
    <w:p w14:paraId="04A37128" w14:textId="77777777" w:rsidR="00EE4B58" w:rsidRPr="00372B67" w:rsidRDefault="00EE4B58" w:rsidP="00EE4B58">
      <w:r w:rsidRPr="00322563">
        <w:rPr>
          <w:rStyle w:val="StyleBoldUnderline"/>
        </w:rPr>
        <w:t xml:space="preserve">Until now, regulation of higher education institutions has been </w:t>
      </w:r>
      <w:r w:rsidRPr="00322563">
        <w:rPr>
          <w:rStyle w:val="Emphasis"/>
        </w:rPr>
        <w:t xml:space="preserve">piecemeal, dictated partly by rules, such </w:t>
      </w:r>
      <w:r w:rsidRPr="00322563">
        <w:rPr>
          <w:rStyle w:val="StyleBoldUnderline"/>
        </w:rPr>
        <w:t>as health and safety</w:t>
      </w:r>
      <w:r>
        <w:t xml:space="preserve">, that govern any large organisation, partly by institutional committees </w:t>
      </w:r>
      <w:r w:rsidRPr="00322563">
        <w:rPr>
          <w:rStyle w:val="Emphasis"/>
        </w:rPr>
        <w:t>responsible for setting and monitoring standards on research and course programmes,</w:t>
      </w:r>
      <w:r>
        <w:t xml:space="preserve"> and partly by academic senates, boards of governors and sector-owned bodies, such as the Higher Education Statistics Agency, supporting effective management. </w:t>
      </w:r>
      <w:r w:rsidRPr="00322563">
        <w:rPr>
          <w:rStyle w:val="StyleBoldUnderline"/>
        </w:rPr>
        <w:t>Hence and the Office for Fair Access also act as independent external regulators, monitoring respectively institutions' financial health and efforts to be socially inclusive</w:t>
      </w:r>
      <w:r>
        <w:t>, while Hefce contracts the Quality Assurance Agency to monitor teaching quality.</w:t>
      </w:r>
    </w:p>
    <w:p w14:paraId="555B0944" w14:textId="77777777" w:rsidR="00EE4B58" w:rsidRDefault="00EE4B58" w:rsidP="00EE4B58">
      <w:pPr>
        <w:rPr>
          <w:rStyle w:val="StyleStyleBold12pt"/>
          <w:b w:val="0"/>
        </w:rPr>
      </w:pPr>
    </w:p>
    <w:p w14:paraId="4EA29E99" w14:textId="77777777" w:rsidR="00EE4B58" w:rsidRDefault="00EE4B58" w:rsidP="00EE4B58">
      <w:pPr>
        <w:pStyle w:val="Heading4"/>
        <w:rPr>
          <w:lang w:eastAsia="zh-CN"/>
        </w:rPr>
      </w:pPr>
      <w:r>
        <w:rPr>
          <w:rFonts w:hint="eastAsia"/>
          <w:lang w:eastAsia="zh-CN"/>
        </w:rPr>
        <w:t>Regulations in education include teacher criteria, student treatment, and social content</w:t>
      </w:r>
    </w:p>
    <w:p w14:paraId="4FAB409A" w14:textId="77777777" w:rsidR="00EE4B58" w:rsidRPr="005F5B11" w:rsidRDefault="00EE4B58" w:rsidP="00EE4B58">
      <w:pPr>
        <w:rPr>
          <w:lang w:eastAsia="zh-CN"/>
        </w:rPr>
      </w:pPr>
      <w:r w:rsidRPr="00735909">
        <w:rPr>
          <w:rStyle w:val="StyleStyleBold12pt"/>
          <w:rFonts w:hint="eastAsia"/>
        </w:rPr>
        <w:t>CA DoE</w:t>
      </w:r>
      <w:r>
        <w:rPr>
          <w:rFonts w:hint="eastAsia"/>
          <w:lang w:eastAsia="zh-CN"/>
        </w:rPr>
        <w:t xml:space="preserve"> [The California Department of Education, </w:t>
      </w:r>
      <w:r>
        <w:rPr>
          <w:lang w:eastAsia="zh-CN"/>
        </w:rPr>
        <w:t>http://www.cde.ca.gov/re/lr/rr/</w:t>
      </w:r>
      <w:r>
        <w:rPr>
          <w:rFonts w:hint="eastAsia"/>
          <w:lang w:eastAsia="zh-CN"/>
        </w:rPr>
        <w:t>]</w:t>
      </w:r>
    </w:p>
    <w:p w14:paraId="77DA38CC" w14:textId="77777777" w:rsidR="00EE4B58" w:rsidRPr="00E746DF" w:rsidRDefault="00EE4B58" w:rsidP="00EE4B58">
      <w:r>
        <w:rPr>
          <w:lang w:eastAsia="zh-CN"/>
        </w:rPr>
        <w:t>Notices of proposed actions to adopt, amend, or repeal regulations for the California Department of Education (CDE), the State Board of Education (SBE), and the State Superintendent of Public Instruction (SSPI) are listed below.</w:t>
      </w:r>
      <w:r w:rsidRPr="005F5B11">
        <w:rPr>
          <w:rStyle w:val="StyleBoldUnderline"/>
        </w:rPr>
        <w:t xml:space="preserve"> All SBE regulations</w:t>
      </w:r>
      <w:r>
        <w:rPr>
          <w:lang w:eastAsia="zh-CN"/>
        </w:rPr>
        <w:t xml:space="preserve"> on this Web site must be submitted to and </w:t>
      </w:r>
      <w:r w:rsidRPr="005F5B11">
        <w:rPr>
          <w:rStyle w:val="StyleBoldUnderline"/>
        </w:rPr>
        <w:t>adopted</w:t>
      </w:r>
      <w:r>
        <w:rPr>
          <w:lang w:eastAsia="zh-CN"/>
        </w:rPr>
        <w:t xml:space="preserve"> by the SBE before the completed rulemaking file </w:t>
      </w:r>
      <w:r w:rsidRPr="005F5B11">
        <w:rPr>
          <w:rStyle w:val="StyleBoldUnderline"/>
        </w:rPr>
        <w:t>can be</w:t>
      </w:r>
      <w:r>
        <w:rPr>
          <w:lang w:eastAsia="zh-CN"/>
        </w:rPr>
        <w:t xml:space="preserve"> submitted to the Office of Administrative Law for review and approval. State Board of Education Regulations Appointment of</w:t>
      </w:r>
      <w:r w:rsidRPr="005F5B11">
        <w:rPr>
          <w:rStyle w:val="StyleBoldUnderline"/>
        </w:rPr>
        <w:t xml:space="preserve"> Instructional Materials Reviewers and Content Review</w:t>
      </w:r>
      <w:r>
        <w:rPr>
          <w:lang w:eastAsia="zh-CN"/>
        </w:rPr>
        <w:t xml:space="preserve"> Experts; </w:t>
      </w:r>
      <w:r w:rsidRPr="005F5B11">
        <w:rPr>
          <w:rStyle w:val="StyleBoldUnderline"/>
        </w:rPr>
        <w:t>Application Process for Curriculum Framework and Evaluation Criteria Committee</w:t>
      </w:r>
      <w:r>
        <w:rPr>
          <w:lang w:eastAsia="zh-CN"/>
        </w:rPr>
        <w:t xml:space="preserve"> Members, Instructional Materials Reviewers, and Content Review Experts; and Standards for Evaluating Instructional Materials for Social Content (CFIRD)</w:t>
      </w:r>
      <w:r w:rsidRPr="005F5B11">
        <w:rPr>
          <w:rStyle w:val="StyleBoldUnderline"/>
        </w:rPr>
        <w:t xml:space="preserve"> </w:t>
      </w:r>
      <w:r>
        <w:rPr>
          <w:lang w:eastAsia="zh-CN"/>
        </w:rPr>
        <w:t>California</w:t>
      </w:r>
      <w:r w:rsidRPr="005F5B11">
        <w:rPr>
          <w:rStyle w:val="StyleBoldUnderline"/>
        </w:rPr>
        <w:t xml:space="preserve"> Assessment of Student Performance &amp; Progress</w:t>
      </w:r>
      <w:r>
        <w:rPr>
          <w:lang w:eastAsia="zh-CN"/>
        </w:rPr>
        <w:t xml:space="preserve"> (CAASPP) California</w:t>
      </w:r>
      <w:r w:rsidRPr="005F5B11">
        <w:rPr>
          <w:rStyle w:val="StyleBoldUnderline"/>
        </w:rPr>
        <w:t xml:space="preserve"> High School Proficiency Exam </w:t>
      </w:r>
      <w:r>
        <w:rPr>
          <w:lang w:eastAsia="zh-CN"/>
        </w:rPr>
        <w:t xml:space="preserve">(CHSPE) </w:t>
      </w:r>
      <w:r w:rsidRPr="005F5B11">
        <w:rPr>
          <w:rStyle w:val="StyleBoldUnderline"/>
        </w:rPr>
        <w:t>English Language Proficiency Assessments</w:t>
      </w:r>
      <w:r>
        <w:rPr>
          <w:lang w:eastAsia="zh-CN"/>
        </w:rPr>
        <w:t xml:space="preserve"> for California (ELPAC)</w:t>
      </w:r>
      <w:r w:rsidRPr="005F5B11">
        <w:rPr>
          <w:rStyle w:val="StyleBoldUnderline"/>
        </w:rPr>
        <w:t xml:space="preserve"> Instructional Materials Follow-Up Adoptions</w:t>
      </w:r>
      <w:r>
        <w:rPr>
          <w:lang w:eastAsia="zh-CN"/>
        </w:rPr>
        <w:t xml:space="preserve"> (CFIRD) </w:t>
      </w:r>
      <w:r w:rsidRPr="005F5B11">
        <w:rPr>
          <w:rStyle w:val="StyleBoldUnderline"/>
        </w:rPr>
        <w:t>History-Social Science Instructional Materials Adoption</w:t>
      </w:r>
      <w:r>
        <w:rPr>
          <w:lang w:eastAsia="zh-CN"/>
        </w:rPr>
        <w:t xml:space="preserve"> (CFIRD) </w:t>
      </w:r>
    </w:p>
    <w:p w14:paraId="65F51934" w14:textId="2B6B69EA" w:rsidR="00754D3A" w:rsidRDefault="00A0313B" w:rsidP="00754D3A">
      <w:pPr>
        <w:pStyle w:val="Heading4"/>
      </w:pPr>
      <w:r>
        <w:t xml:space="preserve"> </w:t>
      </w:r>
      <w:r w:rsidR="00754D3A">
        <w:t xml:space="preserve">“Regulation” are standards that </w:t>
      </w:r>
      <w:r w:rsidR="00754D3A" w:rsidRPr="0015400E">
        <w:rPr>
          <w:u w:val="single"/>
        </w:rPr>
        <w:t>influence</w:t>
      </w:r>
      <w:r w:rsidR="00754D3A">
        <w:t xml:space="preserve"> conduct</w:t>
      </w:r>
    </w:p>
    <w:p w14:paraId="06D4CA38" w14:textId="77777777" w:rsidR="00754D3A" w:rsidRDefault="00754D3A" w:rsidP="00754D3A">
      <w:r w:rsidRPr="0038480B">
        <w:rPr>
          <w:rStyle w:val="StyleStyleBold12pt"/>
        </w:rPr>
        <w:t>Orbach 12 –</w:t>
      </w:r>
      <w:r>
        <w:t xml:space="preserve"> Barak Orbach, Professor of Law at the University of Arizona College of Law, “What Is Regulation?”, Yale Journal on Regulation, http://yalejreg.com/what-is-regulation/</w:t>
      </w:r>
    </w:p>
    <w:p w14:paraId="2C5E7028" w14:textId="77777777" w:rsidR="00754D3A" w:rsidRPr="00D630E7" w:rsidRDefault="00754D3A" w:rsidP="00754D3A">
      <w:pPr>
        <w:rPr>
          <w:sz w:val="16"/>
        </w:rPr>
      </w:pPr>
      <w:r w:rsidRPr="0015400E">
        <w:rPr>
          <w:rStyle w:val="StyleBoldUnderline"/>
        </w:rPr>
        <w:t>The legal concept of “</w:t>
      </w:r>
      <w:r w:rsidRPr="00C841D6">
        <w:rPr>
          <w:rStyle w:val="StyleBoldUnderline"/>
          <w:highlight w:val="cyan"/>
        </w:rPr>
        <w:t xml:space="preserve">regulation” is often perceived as </w:t>
      </w:r>
      <w:r w:rsidRPr="00C841D6">
        <w:rPr>
          <w:rStyle w:val="Emphasis"/>
          <w:highlight w:val="cyan"/>
        </w:rPr>
        <w:t>control</w:t>
      </w:r>
      <w:r w:rsidRPr="0015400E">
        <w:rPr>
          <w:rStyle w:val="StyleBoldUnderline"/>
        </w:rPr>
        <w:t xml:space="preserve"> or </w:t>
      </w:r>
      <w:r w:rsidRPr="0015400E">
        <w:rPr>
          <w:rStyle w:val="Emphasis"/>
        </w:rPr>
        <w:t>constraint</w:t>
      </w:r>
      <w:r w:rsidRPr="00B374AA">
        <w:rPr>
          <w:sz w:val="16"/>
        </w:rPr>
        <w:t xml:space="preserve">. For example, the definitive legal dictionary, </w:t>
      </w:r>
      <w:r w:rsidRPr="0015400E">
        <w:rPr>
          <w:rStyle w:val="StyleBoldUnderline"/>
        </w:rPr>
        <w:t>Black’s Law</w:t>
      </w:r>
      <w:r w:rsidRPr="00B374AA">
        <w:rPr>
          <w:sz w:val="16"/>
        </w:rPr>
        <w:t xml:space="preserve"> Dictionary, </w:t>
      </w:r>
      <w:r w:rsidRPr="0015400E">
        <w:rPr>
          <w:rStyle w:val="StyleBoldUnderline"/>
        </w:rPr>
        <w:t xml:space="preserve">defines “regulation” as “the act or process of controlling by </w:t>
      </w:r>
      <w:r w:rsidRPr="0015400E">
        <w:rPr>
          <w:rStyle w:val="Emphasis"/>
        </w:rPr>
        <w:t>rule</w:t>
      </w:r>
      <w:r w:rsidRPr="0015400E">
        <w:rPr>
          <w:rStyle w:val="StyleBoldUnderline"/>
        </w:rPr>
        <w:t xml:space="preserve"> or </w:t>
      </w:r>
      <w:r w:rsidRPr="0015400E">
        <w:rPr>
          <w:rStyle w:val="Emphasis"/>
        </w:rPr>
        <w:t>restriction</w:t>
      </w:r>
      <w:r w:rsidRPr="0015400E">
        <w:rPr>
          <w:rStyle w:val="StyleBoldUnderline"/>
        </w:rPr>
        <w:t>.”</w:t>
      </w:r>
      <w:r w:rsidRPr="00B374AA">
        <w:rPr>
          <w:sz w:val="16"/>
        </w:rPr>
        <w:t xml:space="preserve">11 Similarly, </w:t>
      </w:r>
      <w:r w:rsidRPr="0015400E">
        <w:rPr>
          <w:rStyle w:val="StyleBoldUnderline"/>
        </w:rPr>
        <w:t>The Oxford English Dictionary defines “regulation” as “the action or fact of regulating,” and “to regulate” as “to control, govern, or direct.”</w:t>
      </w:r>
      <w:r w:rsidRPr="00B374AA">
        <w:rPr>
          <w:sz w:val="16"/>
        </w:rPr>
        <w:t xml:space="preserve">12 </w:t>
      </w:r>
      <w:r w:rsidRPr="0015400E">
        <w:rPr>
          <w:rStyle w:val="StyleBoldUnderline"/>
        </w:rPr>
        <w:t xml:space="preserve">To many people, “control” connotes </w:t>
      </w:r>
      <w:r w:rsidRPr="0015400E">
        <w:rPr>
          <w:rStyle w:val="Emphasis"/>
        </w:rPr>
        <w:t>“restrictions,”</w:t>
      </w:r>
      <w:r w:rsidRPr="0015400E">
        <w:rPr>
          <w:rStyle w:val="StyleBoldUnderline"/>
        </w:rPr>
        <w:t xml:space="preserve"> </w:t>
      </w:r>
      <w:r w:rsidRPr="00C841D6">
        <w:rPr>
          <w:rStyle w:val="StyleBoldUnderline"/>
          <w:highlight w:val="cyan"/>
        </w:rPr>
        <w:t>although</w:t>
      </w:r>
      <w:r w:rsidRPr="0015400E">
        <w:rPr>
          <w:rStyle w:val="StyleBoldUnderline"/>
        </w:rPr>
        <w:t xml:space="preserve"> control </w:t>
      </w:r>
      <w:r w:rsidRPr="0015400E">
        <w:rPr>
          <w:rStyle w:val="Emphasis"/>
        </w:rPr>
        <w:t>may have other meanings</w:t>
      </w:r>
      <w:r w:rsidRPr="00B374AA">
        <w:rPr>
          <w:sz w:val="16"/>
        </w:rPr>
        <w:t xml:space="preserve">. </w:t>
      </w:r>
      <w:r w:rsidRPr="00C841D6">
        <w:rPr>
          <w:rStyle w:val="StyleBoldUnderline"/>
          <w:highlight w:val="cyan"/>
        </w:rPr>
        <w:t xml:space="preserve">Regulation often imposes </w:t>
      </w:r>
      <w:r w:rsidRPr="00C841D6">
        <w:rPr>
          <w:rStyle w:val="Emphasis"/>
          <w:highlight w:val="cyan"/>
        </w:rPr>
        <w:t>no restrictions</w:t>
      </w:r>
      <w:r w:rsidRPr="00C841D6">
        <w:rPr>
          <w:rStyle w:val="StyleBoldUnderline"/>
          <w:highlight w:val="cyan"/>
        </w:rPr>
        <w:t>, but enables, facilitates, or adjusts activities</w:t>
      </w:r>
      <w:r w:rsidRPr="0015400E">
        <w:rPr>
          <w:rStyle w:val="StyleBoldUnderline"/>
        </w:rPr>
        <w:t xml:space="preserve">, with no restrictions. Examples of such regulations </w:t>
      </w:r>
      <w:r w:rsidRPr="00C841D6">
        <w:rPr>
          <w:rStyle w:val="StyleBoldUnderline"/>
          <w:highlight w:val="cyan"/>
        </w:rPr>
        <w:t>include</w:t>
      </w:r>
      <w:r w:rsidRPr="00B374AA">
        <w:rPr>
          <w:sz w:val="16"/>
        </w:rPr>
        <w:t xml:space="preserve"> the supply of roads, health and emergency services, </w:t>
      </w:r>
      <w:r w:rsidRPr="00C841D6">
        <w:rPr>
          <w:rStyle w:val="Emphasis"/>
          <w:highlight w:val="cyan"/>
        </w:rPr>
        <w:t>public education</w:t>
      </w:r>
      <w:r w:rsidRPr="00B374AA">
        <w:rPr>
          <w:sz w:val="16"/>
        </w:rPr>
        <w:t xml:space="preserve"> and public libraries, welfare benefits, reliefs to victims of natural disasters and bailouts to failed institutions. </w:t>
      </w:r>
      <w:r w:rsidRPr="0015400E">
        <w:rPr>
          <w:rStyle w:val="StyleBoldUnderline"/>
        </w:rPr>
        <w:t xml:space="preserve">Such </w:t>
      </w:r>
      <w:r w:rsidRPr="00C841D6">
        <w:rPr>
          <w:rStyle w:val="StyleBoldUnderline"/>
          <w:highlight w:val="cyan"/>
        </w:rPr>
        <w:t>services</w:t>
      </w:r>
      <w:r w:rsidRPr="0015400E">
        <w:rPr>
          <w:rStyle w:val="StyleBoldUnderline"/>
        </w:rPr>
        <w:t xml:space="preserve"> </w:t>
      </w:r>
      <w:r w:rsidRPr="0015400E">
        <w:rPr>
          <w:rStyle w:val="Emphasis"/>
        </w:rPr>
        <w:t xml:space="preserve">directly </w:t>
      </w:r>
      <w:r w:rsidRPr="00C841D6">
        <w:rPr>
          <w:rStyle w:val="Emphasis"/>
          <w:highlight w:val="cyan"/>
        </w:rPr>
        <w:t>influence</w:t>
      </w:r>
      <w:r w:rsidRPr="0015400E">
        <w:rPr>
          <w:rStyle w:val="Emphasis"/>
        </w:rPr>
        <w:t xml:space="preserve"> (or “adjust”) </w:t>
      </w:r>
      <w:r w:rsidRPr="00C841D6">
        <w:rPr>
          <w:rStyle w:val="Emphasis"/>
          <w:highlight w:val="cyan"/>
        </w:rPr>
        <w:t>conduct</w:t>
      </w:r>
      <w:r w:rsidRPr="00C841D6">
        <w:rPr>
          <w:rStyle w:val="StyleBoldUnderline"/>
          <w:highlight w:val="cyan"/>
        </w:rPr>
        <w:t xml:space="preserve"> of individuals and firm</w:t>
      </w:r>
      <w:r w:rsidRPr="0015400E">
        <w:rPr>
          <w:rStyle w:val="StyleBoldUnderline"/>
        </w:rPr>
        <w:t xml:space="preserve">s. In the abstract, all government actions supposedly influence conduct of individuals and firms, but </w:t>
      </w:r>
      <w:r w:rsidRPr="0015400E">
        <w:rPr>
          <w:rStyle w:val="Emphasis"/>
        </w:rPr>
        <w:t>not necessarily directly</w:t>
      </w:r>
      <w:r w:rsidRPr="0015400E">
        <w:rPr>
          <w:rStyle w:val="StyleBoldUnderline"/>
        </w:rPr>
        <w:t>.</w:t>
      </w:r>
      <w:r w:rsidRPr="00B374AA">
        <w:rPr>
          <w:sz w:val="16"/>
        </w:rPr>
        <w:t xml:space="preserve"> </w:t>
      </w:r>
      <w:r w:rsidRPr="0015400E">
        <w:rPr>
          <w:rStyle w:val="StyleBoldUnderline"/>
        </w:rPr>
        <w:t>For example, activities related to national defense and foreign policy tend to have only indirect influence on conduct of individuals and firms</w:t>
      </w:r>
      <w:r w:rsidRPr="00B374AA">
        <w:rPr>
          <w:sz w:val="16"/>
        </w:rPr>
        <w:t>.13</w:t>
      </w:r>
    </w:p>
    <w:p w14:paraId="7BC82909" w14:textId="77777777" w:rsidR="00AC03D5" w:rsidRPr="00AC03D5" w:rsidRDefault="00AC03D5" w:rsidP="00AC03D5"/>
    <w:p w14:paraId="2D20961A" w14:textId="77777777" w:rsidR="00754D3A" w:rsidRPr="005015BA" w:rsidRDefault="00754D3A" w:rsidP="00754D3A">
      <w:pPr>
        <w:pStyle w:val="Heading4"/>
      </w:pPr>
      <w:r w:rsidRPr="005015BA">
        <w:t xml:space="preserve">Regulation has </w:t>
      </w:r>
      <w:r w:rsidRPr="005015BA">
        <w:rPr>
          <w:u w:val="single"/>
        </w:rPr>
        <w:t>zero predictable</w:t>
      </w:r>
      <w:r w:rsidRPr="005015BA">
        <w:t xml:space="preserve"> definition – you should prefer reasonability </w:t>
      </w:r>
    </w:p>
    <w:p w14:paraId="562B2AED" w14:textId="77777777" w:rsidR="00754D3A" w:rsidRPr="005015BA" w:rsidRDefault="00754D3A" w:rsidP="00754D3A">
      <w:pPr>
        <w:rPr>
          <w:rStyle w:val="StyleStyleBold12pt"/>
        </w:rPr>
      </w:pPr>
      <w:r w:rsidRPr="005015BA">
        <w:rPr>
          <w:rStyle w:val="StyleStyleBold12pt"/>
        </w:rPr>
        <w:t xml:space="preserve">Harley and Lawrence 06 </w:t>
      </w:r>
      <w:r w:rsidRPr="005015BA">
        <w:t>(Diane Harley, Ph.D., is a Principal Investigator and Senior Researcher at the Center for Studies in Higher Education, Shannon Lawrence is a Researcher at the CSHE, “The Regulation of E-learning,” CSHE, p. 6) EYC</w:t>
      </w:r>
    </w:p>
    <w:p w14:paraId="511AAAE0" w14:textId="77777777" w:rsidR="00754D3A" w:rsidRPr="004F09EB" w:rsidRDefault="00754D3A" w:rsidP="00754D3A">
      <w:r w:rsidRPr="005015BA">
        <w:rPr>
          <w:rStyle w:val="StyleStyleBold12pt"/>
          <w:b w:val="0"/>
          <w:sz w:val="22"/>
        </w:rPr>
        <w:t xml:space="preserve">Though </w:t>
      </w:r>
      <w:r w:rsidRPr="004F09EB">
        <w:rPr>
          <w:rStyle w:val="StyleBoldUnderline"/>
          <w:highlight w:val="cyan"/>
        </w:rPr>
        <w:t>no single definition of regulation was agreed upon</w:t>
      </w:r>
      <w:r w:rsidRPr="005015BA">
        <w:rPr>
          <w:rStyle w:val="StyleStyleBold12pt"/>
          <w:b w:val="0"/>
          <w:sz w:val="22"/>
        </w:rPr>
        <w:t xml:space="preserve"> during our meetings, various op</w:t>
      </w:r>
      <w:r w:rsidRPr="004F09EB">
        <w:rPr>
          <w:rStyle w:val="StyleStyleBold12pt"/>
          <w:b w:val="0"/>
          <w:sz w:val="22"/>
          <w:highlight w:val="cyan"/>
        </w:rPr>
        <w:t>i</w:t>
      </w:r>
      <w:r w:rsidRPr="005015BA">
        <w:rPr>
          <w:rStyle w:val="StyleStyleBold12pt"/>
          <w:b w:val="0"/>
          <w:sz w:val="22"/>
        </w:rPr>
        <w:t xml:space="preserve">nions emerged. Regulation was described as an edict that limits the free market, sometimes in efficiency enhancing ways, sometimes in ways that are adverse to efficiency. In the context of e-learning, </w:t>
      </w:r>
      <w:r w:rsidRPr="004F09EB">
        <w:rPr>
          <w:rStyle w:val="StyleBoldUnderline"/>
          <w:highlight w:val="cyan"/>
        </w:rPr>
        <w:t>regulation can refer to internal</w:t>
      </w:r>
      <w:r w:rsidRPr="005015BA">
        <w:rPr>
          <w:rStyle w:val="StyleBoldUnderline"/>
        </w:rPr>
        <w:t xml:space="preserve"> and/</w:t>
      </w:r>
      <w:r w:rsidRPr="004F09EB">
        <w:rPr>
          <w:rStyle w:val="StyleBoldUnderline"/>
          <w:highlight w:val="cyan"/>
        </w:rPr>
        <w:t>or external forces</w:t>
      </w:r>
      <w:r w:rsidRPr="005015BA">
        <w:rPr>
          <w:rStyle w:val="StyleBoldUnderline"/>
        </w:rPr>
        <w:t xml:space="preserve"> of constraint that deal </w:t>
      </w:r>
      <w:r w:rsidRPr="004F09EB">
        <w:rPr>
          <w:rStyle w:val="StyleBoldUnderline"/>
          <w:highlight w:val="cyan"/>
        </w:rPr>
        <w:t xml:space="preserve">with systems, institutions, faculty, students, </w:t>
      </w:r>
      <w:r w:rsidRPr="004F09EB">
        <w:rPr>
          <w:rStyle w:val="StyleBoldUnderline"/>
        </w:rPr>
        <w:t>and so forth</w:t>
      </w:r>
      <w:r w:rsidRPr="005015BA">
        <w:rPr>
          <w:rStyle w:val="StyleBoldUnderline"/>
        </w:rPr>
        <w:t xml:space="preserve">. Constraint </w:t>
      </w:r>
      <w:r w:rsidRPr="004F09EB">
        <w:rPr>
          <w:rStyle w:val="StyleBoldUnderline"/>
          <w:highlight w:val="cyan"/>
        </w:rPr>
        <w:t>can have a positive affect on</w:t>
      </w:r>
      <w:r w:rsidRPr="005015BA">
        <w:rPr>
          <w:rStyle w:val="StyleBoldUnderline"/>
        </w:rPr>
        <w:t xml:space="preserve"> a new area of </w:t>
      </w:r>
      <w:r w:rsidRPr="004F09EB">
        <w:rPr>
          <w:rStyle w:val="StyleBoldUnderline"/>
          <w:highlight w:val="cyan"/>
        </w:rPr>
        <w:t>development, but it can also hinder innovation.</w:t>
      </w:r>
      <w:r w:rsidRPr="005015BA">
        <w:rPr>
          <w:rStyle w:val="StyleBoldUnderline"/>
        </w:rPr>
        <w:t xml:space="preserve"> It was agreed that regulation cannot be treated as a binary issue.</w:t>
      </w:r>
      <w:r w:rsidRPr="005015BA">
        <w:rPr>
          <w:rStyle w:val="StyleStyleBold12pt"/>
          <w:b w:val="0"/>
          <w:sz w:val="22"/>
        </w:rPr>
        <w:t xml:space="preserve"> Higher education is reorganizing itself globally in a number of ways, and that reorganization will involve some external regulation and self-regulation in varying combinations.</w:t>
      </w:r>
    </w:p>
    <w:p w14:paraId="071A38FB" w14:textId="71AF06E7" w:rsidR="00754D3A" w:rsidRDefault="00754D3A" w:rsidP="00754D3A">
      <w:pPr>
        <w:pStyle w:val="Heading3"/>
      </w:pPr>
      <w:r>
        <w:t>Regulation = Accessibility</w:t>
      </w:r>
    </w:p>
    <w:p w14:paraId="1408B45A" w14:textId="0FF958DE" w:rsidR="00754D3A" w:rsidRPr="005015BA" w:rsidRDefault="00AC03D5" w:rsidP="00754D3A">
      <w:pPr>
        <w:pStyle w:val="Heading4"/>
      </w:pPr>
      <w:r>
        <w:t>T</w:t>
      </w:r>
      <w:r w:rsidR="00754D3A" w:rsidRPr="005015BA">
        <w:t>he federal government uses regulations to ensure equal educational opportunity</w:t>
      </w:r>
    </w:p>
    <w:p w14:paraId="2CFB98E5" w14:textId="77777777" w:rsidR="00754D3A" w:rsidRPr="005015BA" w:rsidRDefault="00754D3A" w:rsidP="00754D3A">
      <w:r w:rsidRPr="005015BA">
        <w:rPr>
          <w:b/>
        </w:rPr>
        <w:t>Longanecker 8</w:t>
      </w:r>
      <w:r w:rsidRPr="005015BA">
        <w:t xml:space="preserve"> (David A., president of the Western Interstate Commission for Higher Education in Boulder since 1999. Previously, Longanecker served for six years as the assistant secretary for postsecondary education at the U.S. Department of Education. Prior to that, he was the state higher education executive officer in Colorado and Minnesota. He was also the principal analyst for higher education for the Congressional Budget Office. Longanecker has served on numerous boards and commissions. He has written extensively on a range of higher education issues. He earned an Ed.D. from Stanford University, an M.A. in student personnel work from George Washington University, and a B.A. in sociology from Washington State University, “What State Policymakers Should Know About Federal Higher Education Policy”, </w:t>
      </w:r>
      <w:hyperlink r:id="rId20" w:history="1">
        <w:r w:rsidRPr="005015BA">
          <w:rPr>
            <w:rStyle w:val="Hyperlink"/>
          </w:rPr>
          <w:t>http://www.wiche.edu/info/gwypf/dal_fedPolicy.pdf)</w:t>
        </w:r>
      </w:hyperlink>
      <w:r w:rsidRPr="005015BA">
        <w:t xml:space="preserve"> ACT</w:t>
      </w:r>
    </w:p>
    <w:p w14:paraId="4B254582" w14:textId="77777777" w:rsidR="00754D3A" w:rsidRPr="006019AE" w:rsidRDefault="00754D3A" w:rsidP="00754D3A">
      <w:r w:rsidRPr="005015BA">
        <w:t xml:space="preserve">What Is the “Federal Interest” in Higher Education? </w:t>
      </w:r>
      <w:r w:rsidRPr="006019AE">
        <w:rPr>
          <w:rStyle w:val="StyleBoldUnderline"/>
          <w:highlight w:val="cyan"/>
        </w:rPr>
        <w:t>The federal role in higher education falls into three general categories</w:t>
      </w:r>
      <w:r w:rsidRPr="005015BA">
        <w:rPr>
          <w:rStyle w:val="StyleBoldUnderline"/>
        </w:rPr>
        <w:t xml:space="preserve">: areas of </w:t>
      </w:r>
      <w:r w:rsidRPr="006019AE">
        <w:rPr>
          <w:rStyle w:val="StyleBoldUnderline"/>
          <w:highlight w:val="cyan"/>
        </w:rPr>
        <w:t>federal responsibility</w:t>
      </w:r>
      <w:r w:rsidRPr="005015BA">
        <w:rPr>
          <w:rStyle w:val="StyleBoldUnderline"/>
        </w:rPr>
        <w:t xml:space="preserve">, areas of </w:t>
      </w:r>
      <w:r w:rsidRPr="006019AE">
        <w:rPr>
          <w:rStyle w:val="StyleBoldUnderline"/>
          <w:highlight w:val="cyan"/>
        </w:rPr>
        <w:t>national interest</w:t>
      </w:r>
      <w:r w:rsidRPr="005015BA">
        <w:rPr>
          <w:rStyle w:val="StyleBoldUnderline"/>
        </w:rPr>
        <w:t xml:space="preserve">, </w:t>
      </w:r>
      <w:r w:rsidRPr="006019AE">
        <w:rPr>
          <w:rStyle w:val="StyleBoldUnderline"/>
          <w:highlight w:val="cyan"/>
        </w:rPr>
        <w:t>and</w:t>
      </w:r>
      <w:r w:rsidRPr="005015BA">
        <w:rPr>
          <w:rStyle w:val="StyleBoldUnderline"/>
        </w:rPr>
        <w:t xml:space="preserve"> areas of particular </w:t>
      </w:r>
      <w:r w:rsidRPr="006019AE">
        <w:rPr>
          <w:rStyle w:val="StyleBoldUnderline"/>
          <w:highlight w:val="cyan"/>
        </w:rPr>
        <w:t>political interest</w:t>
      </w:r>
      <w:r w:rsidRPr="005015BA">
        <w:rPr>
          <w:rStyle w:val="StyleBoldUnderline"/>
        </w:rPr>
        <w:t xml:space="preserve">. Areas of federal responsibility. </w:t>
      </w:r>
      <w:r w:rsidRPr="006019AE">
        <w:rPr>
          <w:rStyle w:val="StyleBoldUnderline"/>
          <w:highlight w:val="cyan"/>
        </w:rPr>
        <w:t>The primary area</w:t>
      </w:r>
      <w:r w:rsidRPr="005015BA">
        <w:t xml:space="preserve"> in which the federal government has accepted major responsibility </w:t>
      </w:r>
      <w:r w:rsidRPr="006019AE">
        <w:rPr>
          <w:rStyle w:val="StyleBoldUnderline"/>
          <w:highlight w:val="cyan"/>
        </w:rPr>
        <w:t>is</w:t>
      </w:r>
      <w:r w:rsidRPr="005015BA">
        <w:rPr>
          <w:rStyle w:val="StyleBoldUnderline"/>
        </w:rPr>
        <w:t xml:space="preserve"> in </w:t>
      </w:r>
      <w:r w:rsidRPr="006019AE">
        <w:rPr>
          <w:rStyle w:val="StyleBoldUnderline"/>
          <w:highlight w:val="cyan"/>
        </w:rPr>
        <w:t>ensuring equal educational opportunity</w:t>
      </w:r>
      <w:r w:rsidRPr="005015BA">
        <w:t>. The federal government became engaged in this area only about 50 years ago, with passage of the Higher Education Act (HEA) of 1965 as part of the Great Society programs, marshaled through Congress by President Lyndon Johnson. Though relatively new as a federal policy area</w:t>
      </w:r>
      <w:r w:rsidRPr="005015BA">
        <w:rPr>
          <w:rStyle w:val="StyleBoldUnderline"/>
        </w:rPr>
        <w:t xml:space="preserve">, ensuring equal educational opportunity was </w:t>
      </w:r>
      <w:r w:rsidRPr="006019AE">
        <w:rPr>
          <w:rStyle w:val="StyleBoldUnderline"/>
          <w:highlight w:val="cyan"/>
        </w:rPr>
        <w:t>tied</w:t>
      </w:r>
      <w:r w:rsidRPr="005015BA">
        <w:rPr>
          <w:rStyle w:val="StyleBoldUnderline"/>
        </w:rPr>
        <w:t xml:space="preserve"> back </w:t>
      </w:r>
      <w:r w:rsidRPr="006019AE">
        <w:rPr>
          <w:rStyle w:val="StyleBoldUnderline"/>
          <w:highlight w:val="cyan"/>
        </w:rPr>
        <w:t>to the 14th Amendment</w:t>
      </w:r>
      <w:r w:rsidRPr="005015BA">
        <w:rPr>
          <w:rStyle w:val="StyleBoldUnderline"/>
        </w:rPr>
        <w:t xml:space="preserve"> of the Constitution, w</w:t>
      </w:r>
      <w:r w:rsidRPr="006019AE">
        <w:rPr>
          <w:rStyle w:val="StyleBoldUnderline"/>
          <w:highlight w:val="cyan"/>
        </w:rPr>
        <w:t>hich ensures all citizens equal opportunity to benefit from the privileges of citizenship and equal protection</w:t>
      </w:r>
      <w:r w:rsidRPr="005015BA">
        <w:rPr>
          <w:rStyle w:val="StyleBoldUnderline"/>
        </w:rPr>
        <w:t xml:space="preserve"> against any abridgement of these privileges.</w:t>
      </w:r>
      <w:r w:rsidRPr="005015BA">
        <w:t xml:space="preserve"> Passage of the HEA, in essence, outlined the philosophy that </w:t>
      </w:r>
      <w:r w:rsidRPr="005015BA">
        <w:rPr>
          <w:rStyle w:val="StyleBoldUnderline"/>
        </w:rPr>
        <w:t>citizens could not be ensured equal opportunity, as required by the Constitution, without being offered equal educational opportunity, because it had become evident that education was the primary avenue to equality</w:t>
      </w:r>
      <w:r w:rsidRPr="005015BA">
        <w:t xml:space="preserve">, particularly for individuals who had traditionally been disenfranchised from full success in American society. Since the inception of the HEA, </w:t>
      </w:r>
      <w:r w:rsidRPr="006019AE">
        <w:rPr>
          <w:rStyle w:val="StyleBoldUnderline"/>
          <w:highlight w:val="cyan"/>
        </w:rPr>
        <w:t>this federal responsibility has been pursued</w:t>
      </w:r>
      <w:r w:rsidRPr="005015BA">
        <w:t xml:space="preserve"> through two strategies: first, </w:t>
      </w:r>
      <w:r w:rsidRPr="006019AE">
        <w:rPr>
          <w:rStyle w:val="StyleBoldUnderline"/>
          <w:highlight w:val="cyan"/>
        </w:rPr>
        <w:t>through</w:t>
      </w:r>
      <w:r w:rsidRPr="005015BA">
        <w:rPr>
          <w:rStyle w:val="StyleBoldUnderline"/>
        </w:rPr>
        <w:t xml:space="preserve"> enforcement of equal opportunity in education through ci</w:t>
      </w:r>
      <w:r w:rsidRPr="006019AE">
        <w:rPr>
          <w:rStyle w:val="StyleBoldUnderline"/>
          <w:highlight w:val="cyan"/>
        </w:rPr>
        <w:t>vil rights rules, regulations, and litigation</w:t>
      </w:r>
      <w:r w:rsidRPr="005015BA">
        <w:rPr>
          <w:rStyle w:val="StyleBoldUnderline"/>
        </w:rPr>
        <w:t>;</w:t>
      </w:r>
      <w:r w:rsidRPr="005015BA">
        <w:t xml:space="preserve"> and second, through the creation and support of a variety of federal student assistance programs.</w:t>
      </w:r>
    </w:p>
    <w:p w14:paraId="6FE86E88" w14:textId="1811730E" w:rsidR="00754D3A" w:rsidRDefault="00754D3A" w:rsidP="00754D3A">
      <w:pPr>
        <w:pStyle w:val="Heading3"/>
      </w:pPr>
      <w:r>
        <w:t>Regulation = Guidance</w:t>
      </w:r>
    </w:p>
    <w:p w14:paraId="42E53D3C" w14:textId="77777777" w:rsidR="00754D3A" w:rsidRDefault="00754D3A" w:rsidP="00754D3A">
      <w:pPr>
        <w:pStyle w:val="Heading4"/>
      </w:pPr>
      <w:r>
        <w:t>“Regulation” includes guidance documents</w:t>
      </w:r>
    </w:p>
    <w:p w14:paraId="6F6AFAF0" w14:textId="77777777" w:rsidR="00754D3A" w:rsidRPr="00AE2055" w:rsidRDefault="00754D3A" w:rsidP="00754D3A">
      <w:r w:rsidRPr="00AE2055">
        <w:rPr>
          <w:rStyle w:val="StyleStyleBold12pt"/>
        </w:rPr>
        <w:t>Guggenheim 17 –</w:t>
      </w:r>
      <w:r>
        <w:t xml:space="preserve"> Miriam Guggenheim, JD and Lawyer at Covington &amp; Burling LLP, et al., “The “Regulatory Freeze”: What it Means for Key Food Regulatory Initiatives”, 1-23, https://www.cov.com/-/media/files/corporate/publications/2017/01/the_regulatory_freeze_what_it_means_for_key_food_regulatory_initiatives.pdf</w:t>
      </w:r>
    </w:p>
    <w:p w14:paraId="7629C8B6" w14:textId="77777777" w:rsidR="00754D3A" w:rsidRPr="00AE2055" w:rsidRDefault="00754D3A" w:rsidP="00754D3A">
      <w:pPr>
        <w:rPr>
          <w:rStyle w:val="StyleBoldUnderline"/>
        </w:rPr>
      </w:pPr>
      <w:r w:rsidRPr="00AE2055">
        <w:rPr>
          <w:rStyle w:val="StyleBoldUnderline"/>
        </w:rPr>
        <w:t>The regulatory freeze applies to “new or pending regulations,”</w:t>
      </w:r>
      <w:r w:rsidRPr="004E5309">
        <w:rPr>
          <w:sz w:val="16"/>
        </w:rPr>
        <w:t xml:space="preserve"> which, with some exceptions described in more detail below, include regulations ready to be sent to the Office of the Federal Register for publication, regulations already sent to the Office of the Federal Register but not yet published, and regulations that have been published in the Federal Register but are not yet effective. </w:t>
      </w:r>
      <w:r w:rsidRPr="00AE2055">
        <w:rPr>
          <w:rStyle w:val="StyleBoldUnderline"/>
        </w:rPr>
        <w:t>The term “</w:t>
      </w:r>
      <w:r w:rsidRPr="00C841D6">
        <w:rPr>
          <w:rStyle w:val="StyleBoldUnderline"/>
          <w:highlight w:val="cyan"/>
        </w:rPr>
        <w:t>regulation” includes any regulatory action</w:t>
      </w:r>
      <w:r w:rsidRPr="00AE2055">
        <w:rPr>
          <w:rStyle w:val="StyleBoldUnderline"/>
        </w:rPr>
        <w:t xml:space="preserve"> as defined in Executive Order 12866: “any substantive action by an agency (normally published in the Federal Register) </w:t>
      </w:r>
      <w:r w:rsidRPr="00C841D6">
        <w:rPr>
          <w:rStyle w:val="StyleBoldUnderline"/>
          <w:highlight w:val="cyan"/>
        </w:rPr>
        <w:t xml:space="preserve">that promulgates or is expected to lead to the promulgation of a final rule or regulation, including notices of inquiry, advance notices of proposed rulemaking, </w:t>
      </w:r>
      <w:r w:rsidRPr="004E5309">
        <w:rPr>
          <w:rStyle w:val="StyleBoldUnderline"/>
        </w:rPr>
        <w:t xml:space="preserve">and notices of proposed rulemaking.” </w:t>
      </w:r>
      <w:r w:rsidRPr="00754D3A">
        <w:rPr>
          <w:rStyle w:val="Emphasis"/>
          <w:highlight w:val="cyan"/>
        </w:rPr>
        <w:t>It also includes guidance documents</w:t>
      </w:r>
      <w:r w:rsidRPr="00754D3A">
        <w:rPr>
          <w:rStyle w:val="StyleBoldUnderline"/>
          <w:highlight w:val="cyan"/>
        </w:rPr>
        <w:t xml:space="preserve"> </w:t>
      </w:r>
      <w:r w:rsidRPr="00C841D6">
        <w:rPr>
          <w:rStyle w:val="StyleBoldUnderline"/>
          <w:highlight w:val="cyan"/>
        </w:rPr>
        <w:t>and any other agency statement</w:t>
      </w:r>
      <w:r w:rsidRPr="00AE2055">
        <w:rPr>
          <w:rStyle w:val="StyleBoldUnderline"/>
        </w:rPr>
        <w:t xml:space="preserve"> “that sets forth a policy on a statutory, regulatory, or technical issue or an interpretation of a statutory or regulatory issue.”</w:t>
      </w:r>
    </w:p>
    <w:p w14:paraId="3C05F450" w14:textId="77777777" w:rsidR="00754D3A" w:rsidRDefault="00754D3A" w:rsidP="00754D3A">
      <w:pPr>
        <w:pStyle w:val="Heading4"/>
      </w:pPr>
      <w:r>
        <w:t>“Regulation” includes internal agency guidance</w:t>
      </w:r>
    </w:p>
    <w:p w14:paraId="4B7A8730" w14:textId="77777777" w:rsidR="00754D3A" w:rsidRDefault="00754D3A" w:rsidP="00754D3A">
      <w:r w:rsidRPr="000736E9">
        <w:rPr>
          <w:rStyle w:val="StyleStyleBold12pt"/>
        </w:rPr>
        <w:t>Hahn 2k –</w:t>
      </w:r>
      <w:r>
        <w:t xml:space="preserve"> Robert W. Hahn, Director of the AEI-Brookings Joint Center for Regulatory Studies, Resident Scholar at the American Enterprise Institute, and Research Associate at the Kennedy School of Government, Harvard University, “State and Federal Regulatory Reform: A Comparative Analysis”, The Journal of Legal Studies, June, 29 J. Legal Stud. 873, Lexis</w:t>
      </w:r>
    </w:p>
    <w:p w14:paraId="36A12C62" w14:textId="77777777" w:rsidR="00754D3A" w:rsidRPr="004E5309" w:rsidRDefault="00754D3A" w:rsidP="00754D3A">
      <w:pPr>
        <w:rPr>
          <w:sz w:val="16"/>
        </w:rPr>
      </w:pPr>
      <w:r w:rsidRPr="004E5309">
        <w:rPr>
          <w:sz w:val="16"/>
        </w:rPr>
        <w:t xml:space="preserve">n1 </w:t>
      </w:r>
      <w:r w:rsidRPr="000736E9">
        <w:rPr>
          <w:rStyle w:val="StyleBoldUnderline"/>
        </w:rPr>
        <w:t xml:space="preserve">There is no widely accepted definition of regulation. </w:t>
      </w:r>
      <w:r w:rsidRPr="00C841D6">
        <w:rPr>
          <w:rStyle w:val="StyleBoldUnderline"/>
          <w:highlight w:val="cyan"/>
        </w:rPr>
        <w:t>The</w:t>
      </w:r>
      <w:r w:rsidRPr="004E5309">
        <w:rPr>
          <w:sz w:val="16"/>
        </w:rPr>
        <w:t xml:space="preserve"> Office of Management and Budget </w:t>
      </w:r>
      <w:r w:rsidRPr="00C841D6">
        <w:rPr>
          <w:rStyle w:val="StyleBoldUnderline"/>
          <w:highlight w:val="cyan"/>
        </w:rPr>
        <w:t>(OMB) defines regulation as a statement by an agency to implement, interpret, or prescribe law</w:t>
      </w:r>
      <w:r w:rsidRPr="000736E9">
        <w:rPr>
          <w:rStyle w:val="StyleBoldUnderline"/>
        </w:rPr>
        <w:t xml:space="preserve"> or policy or </w:t>
      </w:r>
      <w:r w:rsidRPr="00C841D6">
        <w:rPr>
          <w:rStyle w:val="StyleBoldUnderline"/>
          <w:highlight w:val="cyan"/>
        </w:rPr>
        <w:t>to describe the procedure or practice of an agency</w:t>
      </w:r>
      <w:r w:rsidRPr="004E5309">
        <w:rPr>
          <w:sz w:val="16"/>
        </w:rPr>
        <w:t xml:space="preserve">. See OMB, Report to Congress on the Costs and Benefits of Federal Regulation 24 (1997). The federal government and the states use similar definitions to establish requirements for the analysis and review of administrative rule making. Therefore, </w:t>
      </w:r>
      <w:r w:rsidRPr="000736E9">
        <w:rPr>
          <w:rStyle w:val="StyleBoldUnderline"/>
        </w:rPr>
        <w:t xml:space="preserve">although regulations are generally perceived as agency rules that constrain the behavior of individuals or business, the legal definition of regulation also </w:t>
      </w:r>
      <w:r w:rsidRPr="00C841D6">
        <w:rPr>
          <w:rStyle w:val="Emphasis"/>
          <w:highlight w:val="cyan"/>
        </w:rPr>
        <w:t>includes internal agency management</w:t>
      </w:r>
      <w:r w:rsidRPr="000736E9">
        <w:rPr>
          <w:rStyle w:val="StyleBoldUnderline"/>
        </w:rPr>
        <w:t>. In this paper, the terms "regulation" and "rule" are used interchangeably</w:t>
      </w:r>
      <w:r w:rsidRPr="004E5309">
        <w:rPr>
          <w:sz w:val="16"/>
        </w:rPr>
        <w:t>.</w:t>
      </w:r>
    </w:p>
    <w:p w14:paraId="60306D50" w14:textId="77777777" w:rsidR="00754D3A" w:rsidRDefault="00754D3A" w:rsidP="00754D3A">
      <w:pPr>
        <w:pStyle w:val="Heading4"/>
      </w:pPr>
      <w:r>
        <w:t>“Regulations” can be created internally without notice-and-comment</w:t>
      </w:r>
    </w:p>
    <w:p w14:paraId="3CDE7B5E" w14:textId="77777777" w:rsidR="00754D3A" w:rsidRDefault="00754D3A" w:rsidP="00754D3A">
      <w:r w:rsidRPr="00B72763">
        <w:rPr>
          <w:rStyle w:val="StyleStyleBold12pt"/>
        </w:rPr>
        <w:t>Grewal 6 –</w:t>
      </w:r>
      <w:r>
        <w:t xml:space="preserve"> Amandeep S. Grewal, * B.A., Williams College. J.D., cum laude, University of Michigan. Contributing Editor, The University of Michigan Law Review. Richard Katcher Senior Tax Prize. LL.M, with distinction, Georgetown University Law Center, “SUBSTANCE OVER FORM? PHANTOM REGULATIONS AND THE INTERNAL REVENUE CODE”, Houston Business &amp; Tax Law Journal, 7 Hous. Bus. &amp; Tax L.J. 42, Lexis</w:t>
      </w:r>
    </w:p>
    <w:p w14:paraId="3E2F8ECE" w14:textId="77777777" w:rsidR="00754D3A" w:rsidRDefault="00754D3A" w:rsidP="00754D3A">
      <w:pPr>
        <w:rPr>
          <w:sz w:val="16"/>
        </w:rPr>
      </w:pPr>
      <w:r w:rsidRPr="004E5309">
        <w:rPr>
          <w:sz w:val="16"/>
        </w:rPr>
        <w:t xml:space="preserve">n108. References to "regulations" in Subtitle A of the Code are commonly understood to trigger the procedural notice-and-comment requirements of § 553. See infra note 112. </w:t>
      </w:r>
      <w:r w:rsidRPr="00C841D6">
        <w:rPr>
          <w:rStyle w:val="StyleBoldUnderline"/>
          <w:highlight w:val="cyan"/>
        </w:rPr>
        <w:t>The word "regulation</w:t>
      </w:r>
      <w:r w:rsidRPr="00B72763">
        <w:rPr>
          <w:rStyle w:val="StyleBoldUnderline"/>
        </w:rPr>
        <w:t xml:space="preserve">," by itself, </w:t>
      </w:r>
      <w:r w:rsidRPr="00C841D6">
        <w:rPr>
          <w:rStyle w:val="StyleBoldUnderline"/>
          <w:highlight w:val="cyan"/>
        </w:rPr>
        <w:t>might not necessarily require an agency to prescribe rules through the notice-and-comment process.</w:t>
      </w:r>
      <w:r w:rsidRPr="00B72763">
        <w:rPr>
          <w:rStyle w:val="StyleBoldUnderline"/>
        </w:rPr>
        <w:t xml:space="preserve"> For example, various statutes</w:t>
      </w:r>
      <w:r w:rsidRPr="004E5309">
        <w:rPr>
          <w:sz w:val="16"/>
        </w:rPr>
        <w:t xml:space="preserve"> in Subtitle F of the Code </w:t>
      </w:r>
      <w:r w:rsidRPr="00B72763">
        <w:rPr>
          <w:rStyle w:val="StyleBoldUnderline"/>
        </w:rPr>
        <w:t>instruct the Secretary to issue "regulations" pertaining to agency organization, and the Secretary can fulfill the statutory mandate without observing the notice-and-comment process</w:t>
      </w:r>
      <w:r w:rsidRPr="004E5309">
        <w:rPr>
          <w:sz w:val="16"/>
        </w:rPr>
        <w:t>. See discussion supra note 99 (noting the limited exceptions of § 553). Although some statutory contexts use "rules" and "regulations" interchangeably, this probably is not true of the Internal Revenue Code - the Treasury does attach some significance to the word "regulations." See 26 C.F.R. § 601.601(a)(1) (2006) ("Internal revenue rules take various forms. The most important rules are issued as regulations and Treasury decisions prescribed by the Commissioner and approved by the Secretary or his delegate."). Thus, the statutory term "regulation," when found in Subtitle A of the Code, will almost always indicate that the Secretary must proceed by notice-and-comment rulemaking, although the</w:t>
      </w:r>
    </w:p>
    <w:p w14:paraId="41863D84" w14:textId="10A49A70" w:rsidR="00754D3A" w:rsidRDefault="00754D3A" w:rsidP="00754D3A">
      <w:pPr>
        <w:pStyle w:val="Heading3"/>
      </w:pPr>
      <w:r>
        <w:t>Regulation = Beyond DOE</w:t>
      </w:r>
    </w:p>
    <w:p w14:paraId="55F2D222" w14:textId="77777777" w:rsidR="00754D3A" w:rsidRPr="00074D1A" w:rsidRDefault="00754D3A" w:rsidP="00754D3A">
      <w:pPr>
        <w:pStyle w:val="Heading4"/>
      </w:pPr>
      <w:r>
        <w:t xml:space="preserve">The ED isn’t the only agency that affects education policy </w:t>
      </w:r>
    </w:p>
    <w:p w14:paraId="5F7452BE" w14:textId="77777777" w:rsidR="00754D3A" w:rsidRPr="001B005D" w:rsidRDefault="00754D3A" w:rsidP="00754D3A">
      <w:r w:rsidRPr="006A1A30">
        <w:rPr>
          <w:rStyle w:val="StyleStyleBold12pt"/>
        </w:rPr>
        <w:t>USNEI 8</w:t>
      </w:r>
      <w:r>
        <w:t xml:space="preserve"> (</w:t>
      </w:r>
      <w:r w:rsidRPr="006A1A30">
        <w:t>U.S. Network for Education Information</w:t>
      </w:r>
      <w:r>
        <w:t xml:space="preserve"> in the Department of Education, “Organization of U.S. Education: The Federal Role” </w:t>
      </w:r>
      <w:hyperlink r:id="rId21" w:history="1">
        <w:r w:rsidRPr="00D16D16">
          <w:rPr>
            <w:rStyle w:val="Hyperlink"/>
          </w:rPr>
          <w:t>http://www.ed.gov/about/offices/list/ous/international/usnei/edlite-index.html</w:t>
        </w:r>
      </w:hyperlink>
      <w:r>
        <w:t>, accessed 7/9/17)//ac</w:t>
      </w:r>
    </w:p>
    <w:p w14:paraId="0C972E8D" w14:textId="77777777" w:rsidR="00754D3A" w:rsidRPr="00A430F5" w:rsidRDefault="00754D3A" w:rsidP="00754D3A">
      <w:pPr>
        <w:rPr>
          <w:sz w:val="16"/>
        </w:rPr>
      </w:pPr>
      <w:r w:rsidRPr="00C841D6">
        <w:rPr>
          <w:rStyle w:val="StyleBoldUnderline"/>
          <w:highlight w:val="cyan"/>
        </w:rPr>
        <w:t>The</w:t>
      </w:r>
      <w:r w:rsidRPr="00074D1A">
        <w:rPr>
          <w:rStyle w:val="StyleBoldUnderline"/>
        </w:rPr>
        <w:t xml:space="preserve"> U.S. </w:t>
      </w:r>
      <w:r w:rsidRPr="00C841D6">
        <w:rPr>
          <w:rStyle w:val="StyleBoldUnderline"/>
          <w:highlight w:val="cyan"/>
        </w:rPr>
        <w:t>Department of Education is the lead federal agency in education</w:t>
      </w:r>
      <w:r w:rsidRPr="00074D1A">
        <w:rPr>
          <w:rStyle w:val="StyleBoldUnderline"/>
        </w:rPr>
        <w:t xml:space="preserve">. Its roles are limited to: establishing policies on federal financial aid for education and administering programs and funds; collecting data on America's schools and disseminating research; focusing national attention on key educational issues; and prohibiting discrimination and ensuring equal access to education. </w:t>
      </w:r>
      <w:r w:rsidRPr="00C841D6">
        <w:rPr>
          <w:rStyle w:val="StyleBoldUnderline"/>
          <w:highlight w:val="cyan"/>
        </w:rPr>
        <w:t>The</w:t>
      </w:r>
      <w:r w:rsidRPr="00074D1A">
        <w:rPr>
          <w:rStyle w:val="StyleBoldUnderline"/>
        </w:rPr>
        <w:t xml:space="preserve"> U.S. Department of State (</w:t>
      </w:r>
      <w:r w:rsidRPr="00C841D6">
        <w:rPr>
          <w:rStyle w:val="StyleBoldUnderline"/>
          <w:highlight w:val="cyan"/>
        </w:rPr>
        <w:t>DOS</w:t>
      </w:r>
      <w:r w:rsidRPr="00074D1A">
        <w:rPr>
          <w:rStyle w:val="StyleBoldUnderline"/>
        </w:rPr>
        <w:t xml:space="preserve">) is the lead federal agency in foreign affairs. It </w:t>
      </w:r>
      <w:r w:rsidRPr="00C841D6">
        <w:rPr>
          <w:rStyle w:val="StyleBoldUnderline"/>
          <w:highlight w:val="cyan"/>
        </w:rPr>
        <w:t>cooperates with ED and other federal agencies on</w:t>
      </w:r>
      <w:r w:rsidRPr="00074D1A">
        <w:rPr>
          <w:rStyle w:val="StyleBoldUnderline"/>
        </w:rPr>
        <w:t xml:space="preserve"> international matters pertaining to their expertise and jurisdiction, including </w:t>
      </w:r>
      <w:r w:rsidRPr="00C841D6">
        <w:rPr>
          <w:rStyle w:val="StyleBoldUnderline"/>
          <w:highlight w:val="cyan"/>
        </w:rPr>
        <w:t>education, and oversees federal educational</w:t>
      </w:r>
      <w:r w:rsidRPr="00074D1A">
        <w:rPr>
          <w:rStyle w:val="StyleBoldUnderline"/>
        </w:rPr>
        <w:t xml:space="preserve"> and cultural exchange programs.</w:t>
      </w:r>
      <w:r w:rsidRPr="00074D1A">
        <w:rPr>
          <w:sz w:val="16"/>
        </w:rPr>
        <w:t xml:space="preserve"> </w:t>
      </w:r>
      <w:r w:rsidRPr="00C841D6">
        <w:rPr>
          <w:rStyle w:val="StyleBoldUnderline"/>
          <w:highlight w:val="cyan"/>
        </w:rPr>
        <w:t>Other Federal Agencies have significant commitments to education at various level</w:t>
      </w:r>
      <w:r w:rsidRPr="00C841D6">
        <w:rPr>
          <w:sz w:val="16"/>
          <w:highlight w:val="cyan"/>
        </w:rPr>
        <w:t>s</w:t>
      </w:r>
      <w:r w:rsidRPr="00074D1A">
        <w:rPr>
          <w:rStyle w:val="StyleBoldUnderline"/>
        </w:rPr>
        <w:t>, particularly in the provision of assistance and supporting research, training, and development</w:t>
      </w:r>
      <w:r w:rsidRPr="00074D1A">
        <w:rPr>
          <w:sz w:val="16"/>
        </w:rPr>
        <w:t>. These agencies include: U.S. Department of Agriculture (USDA) U.S. Department of Commerce (DOC) U.S. Department of Defense (DOD) U.S. Department of Energy (DOE) U.S. Department of Health and Human Services (HHS) U.S. Department of Homeland Security (DHS) U.S. Department of the Interior (INT) U.S. Department of Justice (DOJ) U.S. Department of Labor (DOL) U.S. Department of Transportation (DOT) U.S. Department of Veterans' Affairs (VA) U.S. Institute of Museum and Library Services (IMLS) U.S. National Aeronautics and Space Administration (NASA) U.S. National Endowment for the Arts (NEA) U.S. National Endowment for the Humanities (NEH) U.S. National Science Foundation (NSF)</w:t>
      </w:r>
    </w:p>
    <w:p w14:paraId="1EE17D70" w14:textId="60B2F400" w:rsidR="00754D3A" w:rsidRDefault="00754D3A" w:rsidP="00754D3A">
      <w:pPr>
        <w:pStyle w:val="Heading3"/>
      </w:pPr>
      <w:r>
        <w:t>Regulation = Ban</w:t>
      </w:r>
    </w:p>
    <w:p w14:paraId="4B95FD97" w14:textId="77777777" w:rsidR="00754D3A" w:rsidRDefault="00754D3A" w:rsidP="00754D3A">
      <w:pPr>
        <w:pStyle w:val="Heading4"/>
      </w:pPr>
      <w:r>
        <w:t>Regulation allows bans</w:t>
      </w:r>
    </w:p>
    <w:p w14:paraId="542E63C5" w14:textId="77777777" w:rsidR="00754D3A" w:rsidRDefault="00754D3A" w:rsidP="00754D3A">
      <w:r>
        <w:rPr>
          <w:b/>
        </w:rPr>
        <w:t xml:space="preserve">Barnett, 11 </w:t>
      </w:r>
      <w:r>
        <w:t>- Randy Barnett is the Carmack Waterhouse Professor of Legal Theory at Georgetown University Law Center (“OUR PENDING NATIONAL DEBATE: IS HEALTH CARE REFORM CONSTITUTIONAL?” 62 Mercer L. Rev. 605, lexis)</w:t>
      </w:r>
    </w:p>
    <w:p w14:paraId="12B65536" w14:textId="77777777" w:rsidR="00754D3A" w:rsidRDefault="00754D3A" w:rsidP="00754D3A">
      <w:pPr>
        <w:rPr>
          <w:sz w:val="16"/>
        </w:rPr>
      </w:pPr>
      <w:r w:rsidRPr="00DC2500">
        <w:rPr>
          <w:sz w:val="16"/>
        </w:rPr>
        <w:t xml:space="preserve"> [*655] PROFESSOR BARNETT: As a matter of doctrine, it has very limited implications. The reason is that, even though the original core meaning of the word </w:t>
      </w:r>
      <w:r w:rsidRPr="00795B29">
        <w:rPr>
          <w:rStyle w:val="StyleBoldUnderline"/>
        </w:rPr>
        <w:t>"</w:t>
      </w:r>
      <w:r w:rsidRPr="00DC2500">
        <w:rPr>
          <w:rStyle w:val="StyleBoldUnderline"/>
          <w:highlight w:val="cyan"/>
        </w:rPr>
        <w:t>regulate</w:t>
      </w:r>
      <w:r w:rsidRPr="00DC2500">
        <w:rPr>
          <w:sz w:val="16"/>
        </w:rPr>
        <w:t xml:space="preserve">" was to make regular or to subject to a rule, it </w:t>
      </w:r>
      <w:r w:rsidRPr="00DC2500">
        <w:rPr>
          <w:rStyle w:val="StyleBoldUnderline"/>
          <w:highlight w:val="cyan"/>
        </w:rPr>
        <w:t>has</w:t>
      </w:r>
      <w:r w:rsidRPr="00DC2500">
        <w:rPr>
          <w:sz w:val="16"/>
        </w:rPr>
        <w:t xml:space="preserve"> also </w:t>
      </w:r>
      <w:r w:rsidRPr="00DC2500">
        <w:rPr>
          <w:rStyle w:val="StyleBoldUnderline"/>
          <w:highlight w:val="cyan"/>
        </w:rPr>
        <w:t>been</w:t>
      </w:r>
      <w:r w:rsidRPr="00795B29">
        <w:rPr>
          <w:rStyle w:val="StyleBoldUnderline"/>
        </w:rPr>
        <w:t xml:space="preserve">, from the very beginning, </w:t>
      </w:r>
      <w:r w:rsidRPr="00DC2500">
        <w:rPr>
          <w:rStyle w:val="StyleBoldUnderline"/>
          <w:highlight w:val="cyan"/>
        </w:rPr>
        <w:t>thought to include</w:t>
      </w:r>
      <w:r w:rsidRPr="00795B29">
        <w:rPr>
          <w:rStyle w:val="StyleBoldUnderline"/>
        </w:rPr>
        <w:t xml:space="preserve"> a power of </w:t>
      </w:r>
      <w:r w:rsidRPr="00DC2500">
        <w:rPr>
          <w:rStyle w:val="StyleBoldUnderline"/>
          <w:highlight w:val="cyan"/>
        </w:rPr>
        <w:t>prohibition</w:t>
      </w:r>
      <w:r w:rsidRPr="00DC2500">
        <w:rPr>
          <w:sz w:val="16"/>
        </w:rPr>
        <w:t xml:space="preserve"> as well as regulation. In fact, </w:t>
      </w:r>
      <w:r w:rsidRPr="00795B29">
        <w:rPr>
          <w:rStyle w:val="StyleBoldUnderline"/>
        </w:rPr>
        <w:t>Madison used the phrase "prohibitory regulation</w:t>
      </w:r>
      <w:r w:rsidRPr="00DC2500">
        <w:rPr>
          <w:sz w:val="16"/>
        </w:rPr>
        <w:t xml:space="preserve">." It shows that </w:t>
      </w:r>
      <w:r w:rsidRPr="00DC2500">
        <w:rPr>
          <w:rStyle w:val="StyleBoldUnderline"/>
          <w:highlight w:val="cyan"/>
        </w:rPr>
        <w:t>the word "regulate" basically does include prohibition because you have to add prohibitory regulation to i</w:t>
      </w:r>
      <w:r w:rsidRPr="00DC2500">
        <w:rPr>
          <w:sz w:val="16"/>
          <w:highlight w:val="cyan"/>
        </w:rPr>
        <w:t>t.</w:t>
      </w:r>
      <w:r w:rsidRPr="00DC2500">
        <w:rPr>
          <w:sz w:val="16"/>
        </w:rPr>
        <w:t xml:space="preserve"> But, nevertheless, that's part of it. Second, almost nobody thinks, with respect to the mandate, that Congress is directly exercising its power to regulate commerce among several states, which is what it is doing under Southeastern Underwriters n178 when it is regulating the insurance company by telling it how it should go about doing its business. Here, Congress is purporting to reach activity that is not commerce among several states, but which it claims it may reach because it is "necessary" to regulating commerce, even if this may not itself fit the definition of "regulation." I just don't think that, under the current doctrine, the meaning of "regulate" has much bite.</w:t>
      </w:r>
    </w:p>
    <w:p w14:paraId="5558E7FF" w14:textId="77777777" w:rsidR="00754D3A" w:rsidRDefault="00754D3A" w:rsidP="00754D3A">
      <w:pPr>
        <w:rPr>
          <w:sz w:val="16"/>
        </w:rPr>
      </w:pPr>
    </w:p>
    <w:p w14:paraId="4EC8F674" w14:textId="77777777" w:rsidR="00754D3A" w:rsidRPr="00DC2500" w:rsidRDefault="00754D3A" w:rsidP="00754D3A">
      <w:pPr>
        <w:rPr>
          <w:sz w:val="16"/>
        </w:rPr>
      </w:pPr>
    </w:p>
    <w:p w14:paraId="77EFA785" w14:textId="58ED927A" w:rsidR="00754D3A" w:rsidRDefault="00754D3A" w:rsidP="00754D3A">
      <w:pPr>
        <w:pStyle w:val="Heading3"/>
      </w:pPr>
      <w:r>
        <w:t>Regulation = Congress</w:t>
      </w:r>
    </w:p>
    <w:p w14:paraId="3FFA8E48" w14:textId="77777777" w:rsidR="00754D3A" w:rsidRDefault="00754D3A" w:rsidP="00754D3A">
      <w:pPr>
        <w:pStyle w:val="Heading4"/>
      </w:pPr>
      <w:r>
        <w:t>Congress affs are still topical.</w:t>
      </w:r>
    </w:p>
    <w:p w14:paraId="0A312877" w14:textId="77777777" w:rsidR="00754D3A" w:rsidRPr="00805BF6" w:rsidRDefault="00754D3A" w:rsidP="00754D3A">
      <w:r>
        <w:rPr>
          <w:rStyle w:val="StyleStyleBold12pt"/>
        </w:rPr>
        <w:t xml:space="preserve">Dudley and Brito 12 </w:t>
      </w:r>
      <w:r w:rsidRPr="00805BF6">
        <w:t xml:space="preserve">[Susan E. Dudley and Jerry Brito, Dudley is Director of the George Washington University Regulatory Studies Center, which works to improve regulatory policy, Research Professor in the Trachtenberg School of Public Policy and Public Administration at GWU, and served as the Presidentially-appointed Administrator of the Office of Information and Regulatory Affairs in the U.S. Office of Management and Budget, Jerry Brito is executive director of Coin Center, a non-profit research and advocacy center focused on the public policy issues, “Regulation” Mercatus Center, </w:t>
      </w:r>
      <w:hyperlink r:id="rId22" w:history="1">
        <w:r w:rsidRPr="00805BF6">
          <w:rPr>
            <w:rStyle w:val="Hyperlink"/>
          </w:rPr>
          <w:t>https://www.mercatus.org/system/files/RegulatoryPrimer_DudleyBrito_0.pdf</w:t>
        </w:r>
      </w:hyperlink>
      <w:r w:rsidRPr="00805BF6">
        <w:t xml:space="preserve">] A.S. </w:t>
      </w:r>
    </w:p>
    <w:p w14:paraId="1AEA1B93" w14:textId="77777777" w:rsidR="00754D3A" w:rsidRPr="00A430F5" w:rsidRDefault="00754D3A" w:rsidP="00754D3A">
      <w:pPr>
        <w:rPr>
          <w:b/>
          <w:iCs/>
          <w:u w:val="single"/>
        </w:rPr>
      </w:pPr>
      <w:r w:rsidRPr="00805BF6">
        <w:rPr>
          <w:sz w:val="14"/>
        </w:rPr>
        <w:t>As discussed in the previous chapter</w:t>
      </w:r>
      <w:r w:rsidRPr="00805BF6">
        <w:rPr>
          <w:rStyle w:val="Emphasis"/>
        </w:rPr>
        <w:t xml:space="preserve">, </w:t>
      </w:r>
      <w:r w:rsidRPr="00C841D6">
        <w:rPr>
          <w:rStyle w:val="Emphasis"/>
          <w:highlight w:val="cyan"/>
        </w:rPr>
        <w:t>Congress must grant an agency legal authority to issue regulations.</w:t>
      </w:r>
      <w:r w:rsidRPr="00805BF6">
        <w:rPr>
          <w:rStyle w:val="Emphasis"/>
        </w:rPr>
        <w:t xml:space="preserve"> To become law, a statute must pass both houses of </w:t>
      </w:r>
      <w:r w:rsidRPr="00C841D6">
        <w:rPr>
          <w:rStyle w:val="Emphasis"/>
          <w:highlight w:val="cyan"/>
        </w:rPr>
        <w:t>Congress</w:t>
      </w:r>
      <w:r w:rsidRPr="00805BF6">
        <w:rPr>
          <w:rStyle w:val="Emphasis"/>
        </w:rPr>
        <w:t xml:space="preserve"> and be signed by the president. Some statutes, like the Hazardous and Solid Waste Amendments, </w:t>
      </w:r>
      <w:r w:rsidRPr="00C841D6">
        <w:rPr>
          <w:rStyle w:val="Emphasis"/>
          <w:highlight w:val="cyan"/>
        </w:rPr>
        <w:t>prescribe</w:t>
      </w:r>
      <w:r w:rsidRPr="00805BF6">
        <w:rPr>
          <w:rStyle w:val="Emphasis"/>
        </w:rPr>
        <w:t xml:space="preserve"> in detail </w:t>
      </w:r>
      <w:r w:rsidRPr="00C841D6">
        <w:rPr>
          <w:rStyle w:val="Emphasis"/>
          <w:highlight w:val="cyan"/>
        </w:rPr>
        <w:t>how regulatory standards should be designed.</w:t>
      </w:r>
      <w:r w:rsidRPr="00805BF6">
        <w:rPr>
          <w:rStyle w:val="Emphasis"/>
        </w:rPr>
        <w:t xml:space="preserve"> Others provide executive agencies with more general guidance; for example, section 109 of the Clean Air Act directs the EPA to set standards that “protect the public health . . . [with] an adequate margin of safety</w:t>
      </w:r>
      <w:r>
        <w:rPr>
          <w:rStyle w:val="Emphasis"/>
        </w:rPr>
        <w:t>.”</w:t>
      </w:r>
    </w:p>
    <w:p w14:paraId="22308EAD" w14:textId="3C243705" w:rsidR="00754D3A" w:rsidRDefault="00754D3A" w:rsidP="00754D3A">
      <w:pPr>
        <w:pStyle w:val="Heading3"/>
      </w:pPr>
      <w:r>
        <w:t>Regulation = Courts</w:t>
      </w:r>
    </w:p>
    <w:p w14:paraId="3BDE4622" w14:textId="77777777" w:rsidR="00754D3A" w:rsidRDefault="00754D3A" w:rsidP="00754D3A">
      <w:pPr>
        <w:pStyle w:val="Heading4"/>
      </w:pPr>
      <w:r>
        <w:t xml:space="preserve">“Regulation” does not </w:t>
      </w:r>
      <w:r>
        <w:rPr>
          <w:u w:val="single"/>
        </w:rPr>
        <w:t>exclusively</w:t>
      </w:r>
      <w:r>
        <w:t xml:space="preserve"> refer to agencies</w:t>
      </w:r>
    </w:p>
    <w:p w14:paraId="59356489" w14:textId="77777777" w:rsidR="00754D3A" w:rsidRDefault="00754D3A" w:rsidP="00754D3A">
      <w:r w:rsidRPr="0038480B">
        <w:rPr>
          <w:rStyle w:val="StyleStyleBold12pt"/>
        </w:rPr>
        <w:t>Orbach 12 –</w:t>
      </w:r>
      <w:r>
        <w:t xml:space="preserve"> Barak Orbach, Professor of Law at the University of Arizona College of Law, “What Is Regulation?”, Yale Journal on Regulation, http://yalejreg.com/what-is-regulation/</w:t>
      </w:r>
    </w:p>
    <w:p w14:paraId="705EC1F8" w14:textId="77777777" w:rsidR="00754D3A" w:rsidRDefault="00754D3A" w:rsidP="00754D3A">
      <w:pPr>
        <w:rPr>
          <w:sz w:val="16"/>
        </w:rPr>
      </w:pPr>
      <w:r w:rsidRPr="00C841D6">
        <w:rPr>
          <w:rStyle w:val="StyleBoldUnderline"/>
          <w:highlight w:val="cyan"/>
        </w:rPr>
        <w:t>Lawyers</w:t>
      </w:r>
      <w:r w:rsidRPr="0015400E">
        <w:rPr>
          <w:rStyle w:val="StyleBoldUnderline"/>
        </w:rPr>
        <w:t xml:space="preserve"> frequently </w:t>
      </w:r>
      <w:r w:rsidRPr="00C841D6">
        <w:rPr>
          <w:rStyle w:val="StyleBoldUnderline"/>
          <w:highlight w:val="cyan"/>
        </w:rPr>
        <w:t>use</w:t>
      </w:r>
      <w:r w:rsidRPr="0015400E">
        <w:rPr>
          <w:rStyle w:val="StyleBoldUnderline"/>
        </w:rPr>
        <w:t xml:space="preserve"> the word “</w:t>
      </w:r>
      <w:r w:rsidRPr="00FA5301">
        <w:rPr>
          <w:rStyle w:val="StyleBoldUnderline"/>
          <w:highlight w:val="cyan"/>
        </w:rPr>
        <w:t>re</w:t>
      </w:r>
      <w:r w:rsidRPr="00C841D6">
        <w:rPr>
          <w:rStyle w:val="StyleBoldUnderline"/>
          <w:highlight w:val="cyan"/>
        </w:rPr>
        <w:t>gulation” in reference to</w:t>
      </w:r>
      <w:r w:rsidRPr="0015400E">
        <w:rPr>
          <w:rStyle w:val="StyleBoldUnderline"/>
        </w:rPr>
        <w:t xml:space="preserve"> rules of </w:t>
      </w:r>
      <w:r w:rsidRPr="00C841D6">
        <w:rPr>
          <w:rStyle w:val="Emphasis"/>
          <w:highlight w:val="cyan"/>
        </w:rPr>
        <w:t>administrative</w:t>
      </w:r>
      <w:r w:rsidRPr="0015400E">
        <w:rPr>
          <w:rStyle w:val="Emphasis"/>
        </w:rPr>
        <w:t xml:space="preserve"> </w:t>
      </w:r>
      <w:r w:rsidRPr="00C841D6">
        <w:rPr>
          <w:rStyle w:val="Emphasis"/>
          <w:highlight w:val="cyan"/>
        </w:rPr>
        <w:t>agencies</w:t>
      </w:r>
      <w:r w:rsidRPr="00D630E7">
        <w:rPr>
          <w:sz w:val="16"/>
        </w:rPr>
        <w:t xml:space="preserve">. This habit tracks the executive branch’s terminology.14 For example, Executive Order 12,866, which requires federal agencies to engage in cost-benefit analysis when “deciding whether and how to regulate,” defines “regulation” as “an agency statement of general applicability and future effect, which the agency intends to have the force and effect of law, that is designed to implement, interpret, or prescribe law or policy or to describe the procedure or practice requirements of an agency.”15 </w:t>
      </w:r>
      <w:r w:rsidRPr="0015400E">
        <w:rPr>
          <w:rStyle w:val="StyleBoldUnderline"/>
        </w:rPr>
        <w:t xml:space="preserve">This meaning of the word mirrors another common perception of the term “regulation,” </w:t>
      </w:r>
      <w:r w:rsidRPr="00C841D6">
        <w:rPr>
          <w:rStyle w:val="StyleBoldUnderline"/>
          <w:highlight w:val="cyan"/>
        </w:rPr>
        <w:t>but</w:t>
      </w:r>
      <w:r w:rsidRPr="0015400E">
        <w:rPr>
          <w:rStyle w:val="StyleBoldUnderline"/>
        </w:rPr>
        <w:t xml:space="preserve"> surely </w:t>
      </w:r>
      <w:r w:rsidRPr="00C841D6">
        <w:rPr>
          <w:rStyle w:val="Emphasis"/>
          <w:highlight w:val="cyan"/>
        </w:rPr>
        <w:t>does not capture the entire spectrum</w:t>
      </w:r>
      <w:r w:rsidRPr="0015400E">
        <w:rPr>
          <w:rStyle w:val="StyleBoldUnderline"/>
        </w:rPr>
        <w:t xml:space="preserve"> </w:t>
      </w:r>
      <w:r w:rsidRPr="00C841D6">
        <w:rPr>
          <w:rStyle w:val="StyleBoldUnderline"/>
          <w:highlight w:val="cyan"/>
        </w:rPr>
        <w:t>of regulatory instruments</w:t>
      </w:r>
      <w:r w:rsidRPr="0015400E">
        <w:rPr>
          <w:rStyle w:val="StyleBoldUnderline"/>
        </w:rPr>
        <w:t xml:space="preserve">. Much of our regulatory landscape </w:t>
      </w:r>
      <w:r w:rsidRPr="0015400E">
        <w:rPr>
          <w:rStyle w:val="Emphasis"/>
        </w:rPr>
        <w:t>does not originate in administrative agencies</w:t>
      </w:r>
      <w:r w:rsidRPr="00D630E7">
        <w:rPr>
          <w:sz w:val="16"/>
        </w:rPr>
        <w:t xml:space="preserve">.16 [FOOTNOTE 16] </w:t>
      </w:r>
      <w:r w:rsidRPr="00C841D6">
        <w:rPr>
          <w:rStyle w:val="StyleBoldUnderline"/>
          <w:highlight w:val="cyan"/>
        </w:rPr>
        <w:t>For example, law made by courts—</w:t>
      </w:r>
      <w:r w:rsidRPr="0015400E">
        <w:rPr>
          <w:rStyle w:val="StyleBoldUnderline"/>
        </w:rPr>
        <w:t>common law—</w:t>
      </w:r>
      <w:r w:rsidRPr="00C841D6">
        <w:rPr>
          <w:rStyle w:val="StyleBoldUnderline"/>
          <w:highlight w:val="cyan"/>
        </w:rPr>
        <w:t xml:space="preserve">is a </w:t>
      </w:r>
      <w:r w:rsidRPr="00C841D6">
        <w:rPr>
          <w:rStyle w:val="Emphasis"/>
          <w:highlight w:val="cyan"/>
        </w:rPr>
        <w:t>traditional form of regulation</w:t>
      </w:r>
      <w:r w:rsidRPr="00D630E7">
        <w:rPr>
          <w:sz w:val="16"/>
        </w:rPr>
        <w:t xml:space="preserve">. See Andrew P. Morrisss et al., Regulation by Litigation (2008); Regulation Through Litigation (W. Kip Viscusi ed., 2002); Richard A. Posner, Regulation (Agencies) Versus Litigation (Courts): An Analytical Framework, in Regulation vs. Litigation 11 (Daniel P. Kessler ed., 2010); see also Freedom Holdings, Inc. v. Spitzer, 358 F.3d 205 (2d Cir. 2004); Sanders v. Brown, 504 F.3d 904 (9th Cir. 2007); The T.J. Hooper v. Northern Barge, 60 F.2d 737 (2d Cir. 1932). </w:t>
      </w:r>
      <w:r w:rsidRPr="00D630E7">
        <w:rPr>
          <w:rFonts w:ascii="Cambria Math" w:hAnsi="Cambria Math" w:cs="Cambria Math"/>
          <w:sz w:val="16"/>
        </w:rPr>
        <w:t>↩</w:t>
      </w:r>
      <w:r w:rsidRPr="00D630E7">
        <w:rPr>
          <w:sz w:val="16"/>
        </w:rPr>
        <w:t xml:space="preserve"> [END OF FOOTNOTE] Another common perception of “regulation,” or at least a popular reference to regulation, equates the concept with laws that serve interest groups.17 Economist George Stigler popularized this view, arguing that “regulation is acquired by the industry and is designed and operated primarily for its benefit.”18 Richard Posner offered a more refined version of this perception: “[R]egulation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public.21 So what does regulation mean? We return to the starting point—the intuitive understanding of the word “regulation”: government intervention in the private domain or a legal rule that implements such intervention. The implementing rule is a binding legal norm created by a state organ that intends to shape the conduct of individuals and firms.22 The state organ, </w:t>
      </w:r>
      <w:r w:rsidRPr="00C841D6">
        <w:rPr>
          <w:rStyle w:val="StyleBoldUnderline"/>
          <w:highlight w:val="cyan"/>
        </w:rPr>
        <w:t xml:space="preserve">the regulator, may be </w:t>
      </w:r>
      <w:r w:rsidRPr="00C841D6">
        <w:rPr>
          <w:rStyle w:val="Emphasis"/>
          <w:highlight w:val="cyan"/>
        </w:rPr>
        <w:t>any legislative, executive, administrative, or judicial body</w:t>
      </w:r>
      <w:r w:rsidRPr="0015400E">
        <w:rPr>
          <w:rStyle w:val="StyleBoldUnderline"/>
        </w:rPr>
        <w:t xml:space="preserve"> </w:t>
      </w:r>
      <w:r w:rsidRPr="00C841D6">
        <w:rPr>
          <w:rStyle w:val="StyleBoldUnderline"/>
          <w:highlight w:val="cyan"/>
        </w:rPr>
        <w:t>that has the legal power to create a binding legal norm.</w:t>
      </w:r>
      <w:r w:rsidRPr="0015400E">
        <w:rPr>
          <w:rStyle w:val="StyleBoldUnderline"/>
        </w:rPr>
        <w:t xml:space="preserve"> This general definition is </w:t>
      </w:r>
      <w:r w:rsidRPr="0015400E">
        <w:rPr>
          <w:rStyle w:val="Emphasis"/>
        </w:rPr>
        <w:t>broader</w:t>
      </w:r>
      <w:r w:rsidRPr="0015400E">
        <w:rPr>
          <w:rStyle w:val="StyleBoldUnderline"/>
        </w:rPr>
        <w:t xml:space="preserve"> than “restrictions,” “rules promulgated by administrative agencies,”</w:t>
      </w:r>
      <w:r w:rsidRPr="00D630E7">
        <w:rPr>
          <w:sz w:val="16"/>
        </w:rPr>
        <w:t xml:space="preserve"> “laws that serve interest groups,” and related common perceptions of the word “regulation.”</w:t>
      </w:r>
    </w:p>
    <w:p w14:paraId="58ACBA8B" w14:textId="77777777" w:rsidR="00754D3A" w:rsidRDefault="00754D3A" w:rsidP="00754D3A">
      <w:pPr>
        <w:rPr>
          <w:sz w:val="16"/>
        </w:rPr>
      </w:pPr>
    </w:p>
    <w:p w14:paraId="60ACB9D4" w14:textId="77777777" w:rsidR="00754D3A" w:rsidRPr="00707DBD" w:rsidRDefault="00754D3A" w:rsidP="00754D3A">
      <w:pPr>
        <w:pStyle w:val="Heading4"/>
        <w:rPr>
          <w:rFonts w:cs="Times New Roman"/>
        </w:rPr>
      </w:pPr>
      <w:r w:rsidRPr="00707DBD">
        <w:rPr>
          <w:rFonts w:cs="Times New Roman"/>
        </w:rPr>
        <w:t>Regulation includes any definition used to interpret the law</w:t>
      </w:r>
    </w:p>
    <w:p w14:paraId="5D61D68D" w14:textId="77777777" w:rsidR="00754D3A" w:rsidRPr="00707DBD" w:rsidRDefault="00754D3A" w:rsidP="00754D3A">
      <w:r w:rsidRPr="00707DBD">
        <w:rPr>
          <w:rStyle w:val="StyleStyleBold12pt"/>
        </w:rPr>
        <w:t>Chin, 96</w:t>
      </w:r>
      <w:r w:rsidRPr="00707DBD">
        <w:t xml:space="preserve"> – California legal document(J., “TIDEWATER MARINE WESTERN, INC., et al., Plaintiffs and Respondents, v. VICTORIA L. BRADSHAW, as Labor Commissioner, etc., et al., Defendants and Appellants”, Supreme Court of California, 19 December, 1996)//SL</w:t>
      </w:r>
    </w:p>
    <w:p w14:paraId="0D70C594" w14:textId="77777777" w:rsidR="00754D3A" w:rsidRPr="00FA5301" w:rsidRDefault="00754D3A" w:rsidP="00754D3A">
      <w:pPr>
        <w:rPr>
          <w:sz w:val="16"/>
        </w:rPr>
      </w:pPr>
      <w:r w:rsidRPr="00FA5301">
        <w:rPr>
          <w:sz w:val="16"/>
        </w:rPr>
        <w:t xml:space="preserve">Moreover, even if we were to agree with Professor Asimow that the Legislature did not consider interpretive regulations to be "quasi-legislative," an agency would arguably still have to adopt these regulations in accordance with the rulemaking procedures of the APA. Government Code section 11346 states that APA rulemaking procedures apply "to the exercise of any quasi-legislative power"; however, the statute does not state the opposite, i.e., that the rulemaking procedures do not apply when an agency adopts rules that are not quasi-legislative. On the other hand, </w:t>
      </w:r>
      <w:r w:rsidRPr="00FA5301">
        <w:rPr>
          <w:rStyle w:val="StyleBoldUnderline"/>
          <w:highlight w:val="cyan"/>
        </w:rPr>
        <w:t>Government Code section 11340.5 makes clear that</w:t>
      </w:r>
      <w:r w:rsidRPr="00FA5301">
        <w:rPr>
          <w:sz w:val="16"/>
        </w:rPr>
        <w:t xml:space="preserve"> the rulemaking procedures of the APA apply to any "regulation," and </w:t>
      </w:r>
      <w:r w:rsidRPr="00707DBD">
        <w:rPr>
          <w:rStyle w:val="StyleBoldUnderline"/>
        </w:rPr>
        <w:t xml:space="preserve">the definition of </w:t>
      </w:r>
      <w:r w:rsidRPr="00FA5301">
        <w:rPr>
          <w:rStyle w:val="StyleBoldUnderline"/>
          <w:highlight w:val="cyan"/>
        </w:rPr>
        <w:t>regulation</w:t>
      </w:r>
      <w:r w:rsidRPr="00707DBD">
        <w:rPr>
          <w:rStyle w:val="StyleBoldUnderline"/>
        </w:rPr>
        <w:t xml:space="preserve"> </w:t>
      </w:r>
      <w:r w:rsidRPr="00FA5301">
        <w:rPr>
          <w:rStyle w:val="StyleBoldUnderline"/>
          <w:highlight w:val="cyan"/>
        </w:rPr>
        <w:t>includes "every rule ... adopted ... to ... interpret ... the law</w:t>
      </w:r>
      <w:r w:rsidRPr="00707DBD">
        <w:rPr>
          <w:rStyle w:val="StyleBoldUnderline"/>
        </w:rPr>
        <w:t xml:space="preserve"> ..." (i.e., interpretive regulations).</w:t>
      </w:r>
      <w:r w:rsidRPr="00FA5301">
        <w:rPr>
          <w:sz w:val="16"/>
        </w:rPr>
        <w:t xml:space="preserve"> (Gov. Code, § 11342, subd. (g), italics added.) If the Legislature did not intend the APA to apply to interpretive regulations, we do not think it would have expressly included interpretive regulations in this definition. Furthermore, when the Legislature wanted to create exceptions to the formal rulemaking requirements of the APA, it did so expressly and in separate sections. (Gov. Code, §§ 11346.1, subd. (a), 11343, subds. (a), (b); see also Gov. Code, § 11351; Lab. Code, § 1185.)</w:t>
      </w:r>
    </w:p>
    <w:p w14:paraId="757D3D7C" w14:textId="77777777" w:rsidR="00754D3A" w:rsidRPr="00D630E7" w:rsidRDefault="00754D3A" w:rsidP="00754D3A">
      <w:pPr>
        <w:rPr>
          <w:sz w:val="16"/>
        </w:rPr>
      </w:pPr>
    </w:p>
    <w:p w14:paraId="387B93B0" w14:textId="77777777" w:rsidR="00754D3A" w:rsidRDefault="00754D3A" w:rsidP="00754D3A">
      <w:pPr>
        <w:pStyle w:val="Heading4"/>
      </w:pPr>
      <w:r w:rsidRPr="00046D05">
        <w:rPr>
          <w:u w:val="single"/>
        </w:rPr>
        <w:t>Counter-Interpretation</w:t>
      </w:r>
      <w:r>
        <w:t xml:space="preserve">: a regulation is a rule about details or procedures </w:t>
      </w:r>
    </w:p>
    <w:p w14:paraId="77DDAA4A" w14:textId="77777777" w:rsidR="00754D3A" w:rsidRPr="005B70E1" w:rsidRDefault="00754D3A" w:rsidP="00754D3A">
      <w:r>
        <w:rPr>
          <w:rStyle w:val="StyleStyleBold12pt"/>
        </w:rPr>
        <w:t xml:space="preserve">Merriam Webster, no date </w:t>
      </w:r>
      <w:r>
        <w:t>(</w:t>
      </w:r>
      <w:hyperlink r:id="rId23" w:history="1">
        <w:r w:rsidRPr="0082638E">
          <w:rPr>
            <w:rStyle w:val="Hyperlink"/>
          </w:rPr>
          <w:t>https://www.merriam-webster.com/dictionary/regulation</w:t>
        </w:r>
      </w:hyperlink>
      <w:r>
        <w:t>, accessed 7/14/17)</w:t>
      </w:r>
    </w:p>
    <w:p w14:paraId="0DDAD38B" w14:textId="77777777" w:rsidR="00754D3A" w:rsidRPr="00457AEC" w:rsidRDefault="00754D3A" w:rsidP="00754D3A">
      <w:pPr>
        <w:rPr>
          <w:rStyle w:val="StyleBoldUnderline"/>
        </w:rPr>
      </w:pPr>
      <w:r w:rsidRPr="00457AEC">
        <w:rPr>
          <w:rStyle w:val="StyleBoldUnderline"/>
        </w:rPr>
        <w:t xml:space="preserve">Definition of </w:t>
      </w:r>
      <w:r w:rsidRPr="00C841D6">
        <w:rPr>
          <w:rStyle w:val="Emphasis"/>
          <w:highlight w:val="cyan"/>
        </w:rPr>
        <w:t>regulation</w:t>
      </w:r>
    </w:p>
    <w:p w14:paraId="1EF23C50" w14:textId="77777777" w:rsidR="00754D3A" w:rsidRPr="00B85230" w:rsidRDefault="00754D3A" w:rsidP="00754D3A">
      <w:r w:rsidRPr="00B85230">
        <w:t>1:  the act of regulating :  the state of being regulated</w:t>
      </w:r>
    </w:p>
    <w:p w14:paraId="4E00811C" w14:textId="77777777" w:rsidR="00754D3A" w:rsidRDefault="00754D3A" w:rsidP="00754D3A">
      <w:r w:rsidRPr="00B85230">
        <w:t xml:space="preserve">2:  </w:t>
      </w:r>
      <w:r w:rsidRPr="00C841D6">
        <w:rPr>
          <w:rStyle w:val="StyleBoldUnderline"/>
          <w:highlight w:val="cyan"/>
        </w:rPr>
        <w:t>an authoritative rule dealing with details or procedure</w:t>
      </w:r>
      <w:r>
        <w:t>—</w:t>
      </w:r>
      <w:r w:rsidRPr="00B85230">
        <w:t>safety regulations</w:t>
      </w:r>
    </w:p>
    <w:p w14:paraId="0465E3EB" w14:textId="77777777" w:rsidR="00754D3A" w:rsidRDefault="00754D3A" w:rsidP="00754D3A">
      <w:pPr>
        <w:pStyle w:val="Heading4"/>
      </w:pPr>
      <w:r w:rsidRPr="00046D05">
        <w:rPr>
          <w:u w:val="single"/>
        </w:rPr>
        <w:t>We Meet the Counter-Interpretation</w:t>
      </w:r>
      <w:r>
        <w:t>: the Supreme Court can make rules—contextual evidence proves.</w:t>
      </w:r>
    </w:p>
    <w:p w14:paraId="53E5728E" w14:textId="77777777" w:rsidR="00754D3A" w:rsidRPr="00B36294" w:rsidRDefault="00754D3A" w:rsidP="00754D3A">
      <w:pPr>
        <w:rPr>
          <w:rStyle w:val="StyleStyleBold12pt"/>
        </w:rPr>
      </w:pPr>
      <w:r w:rsidRPr="00B36294">
        <w:rPr>
          <w:rStyle w:val="StyleStyleBold12pt"/>
        </w:rPr>
        <w:t>Bai</w:t>
      </w:r>
      <w:r>
        <w:rPr>
          <w:rStyle w:val="StyleStyleBold12pt"/>
        </w:rPr>
        <w:t>ne 9</w:t>
      </w:r>
      <w:r w:rsidRPr="00B36294">
        <w:t xml:space="preserve"> [</w:t>
      </w:r>
      <w:r>
        <w:t xml:space="preserve">Kevin Baine, a First Amendment lawyer who clerked for Justice Thurgood Marshall in the 1975-76 term, June 9, 2009, “Making Law in the Supreme Court”, The Washington Post, </w:t>
      </w:r>
      <w:hyperlink r:id="rId24" w:history="1">
        <w:r w:rsidRPr="003F4C7B">
          <w:rPr>
            <w:rStyle w:val="Hyperlink"/>
          </w:rPr>
          <w:t>http://www.washingtonpost.com/wp-dyn/content/article/2009/06/08/AR2009060803499.html</w:t>
        </w:r>
      </w:hyperlink>
      <w:r>
        <w:t>] A.S.</w:t>
      </w:r>
    </w:p>
    <w:p w14:paraId="246896AB" w14:textId="77777777" w:rsidR="00754D3A" w:rsidRDefault="00754D3A" w:rsidP="00754D3A">
      <w:pPr>
        <w:rPr>
          <w:rStyle w:val="StyleBoldUnderline"/>
        </w:rPr>
      </w:pPr>
      <w:r w:rsidRPr="00067F8E">
        <w:rPr>
          <w:sz w:val="12"/>
        </w:rPr>
        <w:t xml:space="preserve">There is something profound, but also something superficial, about the debate that occurs every time a Supreme Court justice is nominated. The debate is profound because it probes the delicate role of an independent judiciary in a democracy. But it becomes superficial when it turns into an argument over whether judges should be making law or simply interpreting it. For a nominee, the safe answer is that the Supreme Court should interpret law, not make it. It would be refreshing, however, if the nominee acknowledged that courts, including </w:t>
      </w:r>
      <w:r w:rsidRPr="00C841D6">
        <w:rPr>
          <w:rStyle w:val="Emphasis"/>
          <w:highlight w:val="cyan"/>
        </w:rPr>
        <w:t>the Supreme Court, make law all the time</w:t>
      </w:r>
      <w:r w:rsidRPr="00067F8E">
        <w:rPr>
          <w:sz w:val="12"/>
        </w:rPr>
        <w:t xml:space="preserve"> -- and then explain how they do so. The most basic rules and policies that govern our relations with each other were developed entirely by judges -- for the most part, by state judges. These include ancient principles that are not remotely controversial -- that we have an obligation to honor our contracts, and that we can be held liable for damages caused by our negligence -- as well as more modern variations, such as the law of strict product liability. So never let it be said that judges do not make law or policy. </w:t>
      </w:r>
      <w:r w:rsidRPr="00067F8E">
        <w:rPr>
          <w:rStyle w:val="Emphasis"/>
        </w:rPr>
        <w:t xml:space="preserve">When the courts are faced with a statute or a constitutional provision, however, their job is to interpret law made by others. That is a fair statement, but not a particularly helpful one. </w:t>
      </w:r>
      <w:r w:rsidRPr="00C841D6">
        <w:rPr>
          <w:rStyle w:val="Emphasis"/>
          <w:highlight w:val="cyan"/>
        </w:rPr>
        <w:t>In the landmark case of New York Times v. Sullivan,</w:t>
      </w:r>
      <w:r w:rsidRPr="00067F8E">
        <w:rPr>
          <w:rStyle w:val="Emphasis"/>
        </w:rPr>
        <w:t xml:space="preserve"> for example, t</w:t>
      </w:r>
      <w:r w:rsidRPr="00C841D6">
        <w:rPr>
          <w:rStyle w:val="Emphasis"/>
          <w:highlight w:val="cyan"/>
        </w:rPr>
        <w:t>he Supreme Court ruled that a public official cannot recover damages in a libel suit</w:t>
      </w:r>
      <w:r w:rsidRPr="00067F8E">
        <w:rPr>
          <w:rStyle w:val="Emphasis"/>
        </w:rPr>
        <w:t xml:space="preserve"> unless the offending statement was made with knowledge of falsity or reckless disregard for the truth. Yes, </w:t>
      </w:r>
      <w:r w:rsidRPr="00C841D6">
        <w:rPr>
          <w:rStyle w:val="Emphasis"/>
          <w:highlight w:val="cyan"/>
        </w:rPr>
        <w:t>the court was interpreting the First Amendment, but the First Amendment doesn't say anything about what the law of libel should be.</w:t>
      </w:r>
      <w:r w:rsidRPr="00067F8E">
        <w:rPr>
          <w:rStyle w:val="Emphasis"/>
        </w:rPr>
        <w:t xml:space="preserve"> So </w:t>
      </w:r>
      <w:r w:rsidRPr="00C841D6">
        <w:rPr>
          <w:rStyle w:val="Emphasis"/>
          <w:highlight w:val="cyan"/>
        </w:rPr>
        <w:t>was the court</w:t>
      </w:r>
      <w:r w:rsidRPr="00067F8E">
        <w:rPr>
          <w:rStyle w:val="Emphasis"/>
        </w:rPr>
        <w:t xml:space="preserve"> not "</w:t>
      </w:r>
      <w:r w:rsidRPr="00C841D6">
        <w:rPr>
          <w:rStyle w:val="Emphasis"/>
          <w:highlight w:val="cyan"/>
        </w:rPr>
        <w:t>making law</w:t>
      </w:r>
      <w:r w:rsidRPr="00067F8E">
        <w:rPr>
          <w:rStyle w:val="Emphasis"/>
        </w:rPr>
        <w:t xml:space="preserve">"? Of course </w:t>
      </w:r>
      <w:r w:rsidRPr="00C841D6">
        <w:rPr>
          <w:rStyle w:val="Emphasis"/>
          <w:highlight w:val="cyan"/>
        </w:rPr>
        <w:t>it was,</w:t>
      </w:r>
      <w:r w:rsidRPr="00067F8E">
        <w:rPr>
          <w:rStyle w:val="Emphasis"/>
        </w:rPr>
        <w:t xml:space="preserve"> but appropriately so. The controversy arises principally when </w:t>
      </w:r>
      <w:r w:rsidRPr="00C841D6">
        <w:rPr>
          <w:rStyle w:val="Emphasis"/>
          <w:highlight w:val="cyan"/>
        </w:rPr>
        <w:t>the court strikes down a law enacted</w:t>
      </w:r>
      <w:r w:rsidRPr="00067F8E">
        <w:rPr>
          <w:rStyle w:val="Emphasis"/>
        </w:rPr>
        <w:t xml:space="preserve"> by Congress or a state legislature. That was what the court did in the infamous Dred Scott decision, which struck down the Missouri Compromise that prohibited slavery in parts of the Louisiana Territory. But </w:t>
      </w:r>
      <w:r w:rsidRPr="00C841D6">
        <w:rPr>
          <w:rStyle w:val="Emphasis"/>
          <w:highlight w:val="cyan"/>
        </w:rPr>
        <w:t>that was also what the court did in Brown v. Board of Education, when it declared state-mandated school segregation unconstitutional.</w:t>
      </w:r>
      <w:r w:rsidRPr="00067F8E">
        <w:rPr>
          <w:rStyle w:val="Emphasis"/>
        </w:rPr>
        <w:t xml:space="preserve"> That was what the court did in Roe v. Wade, when it invalidated state laws prohibiting abortion, and this term, when it struck down the District of Columbia's gun-control law.</w:t>
      </w:r>
      <w:r w:rsidRPr="00067F8E">
        <w:rPr>
          <w:sz w:val="12"/>
        </w:rPr>
        <w:t xml:space="preserve"> In today's political terms, one of these decisions could be labeled conservative, one liberal, one mainstream and one racist. What made all of them controversial was not that the court was making law but that it was remaking law enacted by elected representatives. The presumption in a democracy is that the majority rules, and frustration results when unelected judges set aside the majority's rules. The frustration is tempered if the court bases its decision on clear-cut constitutional rights or if the explanation resonates at some basic level even among those who are disappointed in the outcome. But clear-cut cases are rare for the Supreme Court. If the Constitution's meaning in a case is clear, the case will probably be resolved by the lower courts. So how should a Supreme Court justice go about resolving the constitutional issues that divide the court? That is the question the Senate will be exploring with Judge Sonia Sotomayor. The questions will focus on specific issues -- whether, for example, the nominee agrees that the Constitution protects the right to choose an abortion. Concerns will be expressed, and assurances given, in familiar terms -- that the nominee is or is not a judicial activist or does or does not believe the court should make law or policy. The real debate, however, will be over who gets to decide the most controversial issues of the day -- elected representatives who are responsive to majority will or an independent judiciary that is (relatively) immune from public pressure. Everyone has an opinion about abortion, same-sex marriage, gun control and affirmative action. But we should care as much about who decides these issues as we do about what decision is made. </w:t>
      </w:r>
      <w:r w:rsidRPr="00C841D6">
        <w:rPr>
          <w:rStyle w:val="StyleBoldUnderline"/>
          <w:highlight w:val="cyan"/>
        </w:rPr>
        <w:t>Calling something a "constitutional right" means that the court,</w:t>
      </w:r>
      <w:r w:rsidRPr="00634B9B">
        <w:rPr>
          <w:rStyle w:val="StyleBoldUnderline"/>
        </w:rPr>
        <w:t xml:space="preserve"> not Congress or state legislatures</w:t>
      </w:r>
      <w:r w:rsidRPr="00C841D6">
        <w:rPr>
          <w:rStyle w:val="StyleBoldUnderline"/>
          <w:highlight w:val="cyan"/>
        </w:rPr>
        <w:t>, has the final word</w:t>
      </w:r>
      <w:r w:rsidRPr="00634B9B">
        <w:rPr>
          <w:rStyle w:val="StyleBoldUnderline"/>
        </w:rPr>
        <w:t xml:space="preserve"> -- in every sense. </w:t>
      </w:r>
      <w:r w:rsidRPr="00C841D6">
        <w:rPr>
          <w:rStyle w:val="StyleBoldUnderline"/>
          <w:highlight w:val="cyan"/>
        </w:rPr>
        <w:t xml:space="preserve">Legislation </w:t>
      </w:r>
      <w:r w:rsidRPr="00B22515">
        <w:rPr>
          <w:rStyle w:val="StyleBoldUnderline"/>
        </w:rPr>
        <w:t>is by its nature tentative. It</w:t>
      </w:r>
      <w:r w:rsidRPr="00634B9B">
        <w:rPr>
          <w:rStyle w:val="StyleBoldUnderline"/>
        </w:rPr>
        <w:t xml:space="preserve"> </w:t>
      </w:r>
      <w:r w:rsidRPr="00C841D6">
        <w:rPr>
          <w:rStyle w:val="StyleBoldUnderline"/>
          <w:highlight w:val="cyan"/>
        </w:rPr>
        <w:t>can be revoked</w:t>
      </w:r>
      <w:r w:rsidRPr="00634B9B">
        <w:rPr>
          <w:rStyle w:val="StyleBoldUnderline"/>
        </w:rPr>
        <w:t xml:space="preserve"> at any time for any reason</w:t>
      </w:r>
      <w:r w:rsidRPr="00C841D6">
        <w:rPr>
          <w:rStyle w:val="StyleBoldUnderline"/>
          <w:highlight w:val="cyan"/>
        </w:rPr>
        <w:t>. A</w:t>
      </w:r>
      <w:r w:rsidRPr="00634B9B">
        <w:rPr>
          <w:rStyle w:val="StyleBoldUnderline"/>
        </w:rPr>
        <w:t xml:space="preserve"> </w:t>
      </w:r>
      <w:r w:rsidRPr="00C841D6">
        <w:rPr>
          <w:rStyle w:val="StyleBoldUnderline"/>
          <w:highlight w:val="cyan"/>
        </w:rPr>
        <w:t>constitutional decision by the Supreme Court</w:t>
      </w:r>
      <w:r w:rsidRPr="00634B9B">
        <w:rPr>
          <w:rStyle w:val="StyleBoldUnderline"/>
        </w:rPr>
        <w:t xml:space="preserve">, however, </w:t>
      </w:r>
      <w:r w:rsidRPr="00C841D6">
        <w:rPr>
          <w:rStyle w:val="StyleBoldUnderline"/>
          <w:highlight w:val="cyan"/>
        </w:rPr>
        <w:t>is for all time</w:t>
      </w:r>
      <w:r w:rsidRPr="00634B9B">
        <w:rPr>
          <w:rStyle w:val="StyleBoldUnderline"/>
        </w:rPr>
        <w:t>. It is a statement that a principle is so fundamental that it cannot be subject to majority rule, now or ever. That is what the Supreme Court is deciding when it declares something a matter of constitutional right. It is the kind of judgment that a justice must be confident enough to make at times, but modest enough not to make too eagerly.</w:t>
      </w:r>
    </w:p>
    <w:p w14:paraId="47B4ADB3" w14:textId="77777777" w:rsidR="00754D3A" w:rsidRPr="00E47933" w:rsidRDefault="00754D3A" w:rsidP="00754D3A">
      <w:pPr>
        <w:pStyle w:val="Heading4"/>
      </w:pPr>
      <w:r>
        <w:t>Court opinions have the force of law</w:t>
      </w:r>
    </w:p>
    <w:p w14:paraId="79787A66" w14:textId="77777777" w:rsidR="00754D3A" w:rsidRDefault="00754D3A" w:rsidP="00754D3A">
      <w:r w:rsidRPr="00772FD6">
        <w:rPr>
          <w:rStyle w:val="StyleStyleBold12pt"/>
        </w:rPr>
        <w:t xml:space="preserve">Cole 15 </w:t>
      </w:r>
      <w:r>
        <w:t>[David Cole</w:t>
      </w:r>
      <w:r>
        <w:rPr>
          <w:rFonts w:ascii="Times New Roman" w:hAnsi="Times New Roman" w:cs="Times New Roman"/>
        </w:rPr>
        <w:t> </w:t>
      </w:r>
      <w:r>
        <w:t>teaches constitutional law, national security, and criminal justice at Georgetown University Law Center. He is also the legal affairs correspondent for The Nation, and a regular contributor to the New York Review of Books. Washington Post, The power of a Supreme Court dissent, 10-29-2015, Accessible Online at https://www.washingtonpost.com/opinions/the-power-of-a-supreme-court-dissent/2015/10/29/fbc80acc-66cb-11e5-8325-a42b5a459b1e_story.html?utm_term=.087c78be1a75] 7-7-2017</w:t>
      </w:r>
    </w:p>
    <w:p w14:paraId="1DFC9B1C" w14:textId="77777777" w:rsidR="00754D3A" w:rsidRDefault="00754D3A" w:rsidP="00754D3A">
      <w:r>
        <w:t xml:space="preserve">Each of these historic opinions was eloquent, passionate, well-reasoned and persuasive — as any good dissent must be. </w:t>
      </w:r>
      <w:r w:rsidRPr="00772FD6">
        <w:rPr>
          <w:rStyle w:val="Emphasis"/>
        </w:rPr>
        <w:t>A Supreme Court majority opinion has the force of law</w:t>
      </w:r>
      <w:r w:rsidRPr="00772FD6">
        <w:rPr>
          <w:rStyle w:val="StyleBoldUnderline"/>
        </w:rPr>
        <w:t>, regardless of how well it is written or reasoned. It reflects what Justice William Brennan called “the rule of five”: Whatever five justices agree to, by definition, becomes law.</w:t>
      </w:r>
      <w:r>
        <w:t xml:space="preserve"> A dissent’s only influence, by contrast, depends on its ability to articulate a more appealing vision of what the law should be. Majority opinions are exercises in power; dissents are appeals to our better judgment. The majority prevails, but the dissenter’s role is by far the more romantic; it is the work of the individual who, on principle, stands against the crowd. While precedent demands that justices follow the law, we celebrate as great those who departed from precedent as lone dissenting voices and ultimately saw their views adopted into law. We assign authority to the majority, but we valorize the dissenter.</w:t>
      </w:r>
    </w:p>
    <w:p w14:paraId="1BA9447A" w14:textId="77777777" w:rsidR="00754D3A" w:rsidRPr="005E55CD" w:rsidRDefault="00754D3A" w:rsidP="00754D3A">
      <w:pPr>
        <w:rPr>
          <w:b/>
          <w:u w:val="single"/>
        </w:rPr>
      </w:pPr>
    </w:p>
    <w:p w14:paraId="6D07C488" w14:textId="77777777" w:rsidR="00A0313B" w:rsidRDefault="00A0313B" w:rsidP="00754D3A">
      <w:pPr>
        <w:pStyle w:val="Heading3"/>
      </w:pPr>
      <w:r>
        <w:t>Regulation = Rule</w:t>
      </w:r>
    </w:p>
    <w:p w14:paraId="6CB347A6" w14:textId="77777777" w:rsidR="00A0313B" w:rsidRDefault="00A0313B" w:rsidP="00A0313B">
      <w:pPr>
        <w:pStyle w:val="Heading4"/>
      </w:pPr>
      <w:r>
        <w:t>Rules and Regs are the same</w:t>
      </w:r>
    </w:p>
    <w:p w14:paraId="34D09DA5" w14:textId="77777777" w:rsidR="00A0313B" w:rsidRDefault="00A0313B" w:rsidP="00A0313B">
      <w:r w:rsidRPr="00A0313B">
        <w:rPr>
          <w:rStyle w:val="StyleStyleBold12pt"/>
        </w:rPr>
        <w:t>NDE No Date</w:t>
      </w:r>
      <w:r>
        <w:t xml:space="preserve">   (Nebraska Department of Education, “General Information Regarding NDE Rules and Regulations,” https://www.education.ne.gov/LEGAL/index.html) KVA</w:t>
      </w:r>
    </w:p>
    <w:p w14:paraId="423CA3F9" w14:textId="77777777" w:rsidR="00A0313B" w:rsidRDefault="00A0313B" w:rsidP="00A0313B">
      <w:r>
        <w:t xml:space="preserve">The Administrative Procedures Act (Sections 84-901 to 84-920 of the Revised Statutes of Nebraska) contains the main statutory provisions detailing how state agency rules and regulations are adopted. </w:t>
      </w:r>
      <w:r w:rsidRPr="00A0313B">
        <w:rPr>
          <w:rStyle w:val="StyleBoldUnderline"/>
        </w:rPr>
        <w:t>Under state law, the terms "rules" and "regulations" may be used interchangeably. The State Board of Education has the authority to adopt state rules and regulations for carrying out the State Board's constitutional responsibilities and those responsibilities assigned to the State Department of Education by the Legislature</w:t>
      </w:r>
      <w:r>
        <w:t>. State regulations that are properly adopted and filed with the Secretary of State have the effect of statutory law (See Nucor Steel v. Leuenberger, 233 Neb. 863 (1989).</w:t>
      </w:r>
    </w:p>
    <w:p w14:paraId="090B07DC" w14:textId="77777777" w:rsidR="00A0313B" w:rsidRPr="00A0313B" w:rsidRDefault="00A0313B" w:rsidP="00A0313B"/>
    <w:p w14:paraId="7E184C2C" w14:textId="77777777" w:rsidR="00A0313B" w:rsidRPr="00A0313B" w:rsidRDefault="00A0313B" w:rsidP="00A0313B"/>
    <w:p w14:paraId="2E79B7F9" w14:textId="5E0B99CE" w:rsidR="00754D3A" w:rsidRDefault="00754D3A" w:rsidP="00754D3A">
      <w:pPr>
        <w:pStyle w:val="Heading3"/>
      </w:pPr>
      <w:r>
        <w:t xml:space="preserve">Regulation = </w:t>
      </w:r>
      <w:r w:rsidRPr="00101D3C">
        <w:t>Self-</w:t>
      </w:r>
      <w:r>
        <w:t>Imposed</w:t>
      </w:r>
    </w:p>
    <w:p w14:paraId="0E93A30D" w14:textId="77777777" w:rsidR="00754D3A" w:rsidRDefault="00754D3A" w:rsidP="00754D3A">
      <w:pPr>
        <w:pStyle w:val="Heading4"/>
      </w:pPr>
      <w:r>
        <w:t>“Regulation” includes non-state self-regulation</w:t>
      </w:r>
    </w:p>
    <w:p w14:paraId="50E2EA29" w14:textId="77777777" w:rsidR="00754D3A" w:rsidRDefault="00754D3A" w:rsidP="00754D3A">
      <w:r w:rsidRPr="00FB1CE6">
        <w:rPr>
          <w:rStyle w:val="StyleStyleBold12pt"/>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2C3E08D4" w14:textId="77777777" w:rsidR="00754D3A" w:rsidRDefault="00754D3A" w:rsidP="00754D3A">
      <w:pPr>
        <w:rPr>
          <w:sz w:val="16"/>
        </w:rPr>
      </w:pPr>
      <w:r w:rsidRPr="00101D3C">
        <w:rPr>
          <w:sz w:val="16"/>
        </w:rPr>
        <w:t xml:space="preserve">2.3 Nature of the regulator </w:t>
      </w:r>
      <w:r w:rsidRPr="00B23B53">
        <w:rPr>
          <w:rStyle w:val="StyleBoldUnderline"/>
        </w:rPr>
        <w:t>Scholars assessing the concept have also addressed the question of whether regulation is solely carried out by state actors</w:t>
      </w:r>
      <w:r w:rsidRPr="00101D3C">
        <w:rPr>
          <w:sz w:val="16"/>
        </w:rPr>
        <w:t xml:space="preserve"> (see also Ogus 1994, pp. 257–261). </w:t>
      </w:r>
      <w:r w:rsidRPr="00B23B53">
        <w:rPr>
          <w:rStyle w:val="StyleBoldUnderline"/>
        </w:rPr>
        <w:t>This question is at the heart of discussions of whether self-regulation by industry can be regarded as a form of regulation</w:t>
      </w:r>
      <w:r w:rsidRPr="00101D3C">
        <w:rPr>
          <w:sz w:val="16"/>
        </w:rPr>
        <w:t xml:space="preserve">. This question distinguishes the first two conceptions identified by Baldwin et al. from their third conception – that is, regulation as “all mechanisms of social control” (1998, p. 4) – which explicitly includes the possibility of self-regulation.11 Some earlier studies associate regulation with state actors. For Noll (1980), for instance, regulation constitutes one of the tools that governments can use to control the economy. For Selznick, regulation is exercised by “a public agency” (1985, p. 363). For Ogus, regulation is “a politico-economic concept [which] can best be understood by reference to different systems of economic organization and the legal forms which maintain them” (1994, p. 1). Regulation would normally refer to the legal means through which market deficiencies are corrected, thus, having a directive and state-centered public law character (Ogus 1994, pp. 2–3). Finally, </w:t>
      </w:r>
      <w:r w:rsidRPr="00B23B53">
        <w:rPr>
          <w:rStyle w:val="StyleBoldUnderline"/>
        </w:rPr>
        <w:t xml:space="preserve">Mitnick indicates that although his study mainly focuses on </w:t>
      </w:r>
      <w:r w:rsidRPr="00C841D6">
        <w:rPr>
          <w:rStyle w:val="StyleBoldUnderline"/>
          <w:highlight w:val="cyan"/>
        </w:rPr>
        <w:t>regulation</w:t>
      </w:r>
      <w:r w:rsidRPr="00B23B53">
        <w:rPr>
          <w:rStyle w:val="StyleBoldUnderline"/>
        </w:rPr>
        <w:t xml:space="preserve"> by government, private actors may also regulate</w:t>
      </w:r>
      <w:r w:rsidRPr="00101D3C">
        <w:rPr>
          <w:sz w:val="16"/>
        </w:rPr>
        <w:t xml:space="preserve"> (1985, p. 14). </w:t>
      </w:r>
      <w:r w:rsidRPr="00B23B53">
        <w:rPr>
          <w:rStyle w:val="StyleBoldUnderline"/>
        </w:rPr>
        <w:t xml:space="preserve">Black also explicitly </w:t>
      </w:r>
      <w:r w:rsidRPr="00C841D6">
        <w:rPr>
          <w:rStyle w:val="StyleBoldUnderline"/>
          <w:highlight w:val="cyan"/>
        </w:rPr>
        <w:t>includes</w:t>
      </w:r>
      <w:r w:rsidRPr="00B23B53">
        <w:rPr>
          <w:rStyle w:val="StyleBoldUnderline"/>
        </w:rPr>
        <w:t xml:space="preserve"> </w:t>
      </w:r>
      <w:r w:rsidRPr="00C841D6">
        <w:rPr>
          <w:rStyle w:val="StyleBoldUnderline"/>
          <w:highlight w:val="cyan"/>
        </w:rPr>
        <w:t>self-regulation and other forms of non-state regulation</w:t>
      </w:r>
      <w:r w:rsidRPr="00B23B53">
        <w:rPr>
          <w:rStyle w:val="StyleBoldUnderline"/>
        </w:rPr>
        <w:t xml:space="preserve"> – for instance, transnational regulatory regimes, such as the Forest Stewardship Council – arguing that “[</w:t>
      </w:r>
      <w:r w:rsidRPr="00C841D6">
        <w:rPr>
          <w:rStyle w:val="StyleBoldUnderline"/>
          <w:highlight w:val="cyan"/>
        </w:rPr>
        <w:t xml:space="preserve">i]f ‘regulation’ remains a concept tied inherently to the state, then in trying to analyse it, we will find contemporary forms of rule hard to understand, </w:t>
      </w:r>
      <w:r w:rsidRPr="00101D3C">
        <w:rPr>
          <w:rStyle w:val="StyleBoldUnderline"/>
        </w:rPr>
        <w:t>if indeed, we recognise them at al</w:t>
      </w:r>
      <w:r w:rsidRPr="00B23B53">
        <w:rPr>
          <w:rStyle w:val="StyleBoldUnderline"/>
        </w:rPr>
        <w:t>l”</w:t>
      </w:r>
      <w:r w:rsidRPr="00101D3C">
        <w:rPr>
          <w:sz w:val="16"/>
        </w:rPr>
        <w:t xml:space="preserve"> (2002, p. 22).</w:t>
      </w:r>
    </w:p>
    <w:p w14:paraId="62E57000" w14:textId="0B3BB1AB" w:rsidR="00754D3A" w:rsidRDefault="00754D3A" w:rsidP="00754D3A">
      <w:pPr>
        <w:pStyle w:val="Heading4"/>
      </w:pPr>
      <w:r>
        <w:t>Federal agencies regulate themselves &amp; other federal agencies</w:t>
      </w:r>
    </w:p>
    <w:p w14:paraId="170698AD" w14:textId="77777777" w:rsidR="00754D3A" w:rsidRPr="007D7768" w:rsidRDefault="00754D3A" w:rsidP="00754D3A">
      <w:pPr>
        <w:rPr>
          <w:rStyle w:val="StyleStyleBold12pt"/>
          <w:b w:val="0"/>
        </w:rPr>
      </w:pPr>
      <w:r>
        <w:rPr>
          <w:rStyle w:val="StyleStyleBold12pt"/>
        </w:rPr>
        <w:t>Durant et al. 83</w:t>
      </w:r>
      <w:r>
        <w:rPr>
          <w:rStyle w:val="StyleStyleBold12pt"/>
          <w:b w:val="0"/>
        </w:rPr>
        <w:t xml:space="preserve"> </w:t>
      </w:r>
      <w:r w:rsidRPr="007D7768">
        <w:rPr>
          <w:rStyle w:val="StyleStyleBold12pt"/>
          <w:b w:val="0"/>
          <w:sz w:val="20"/>
        </w:rPr>
        <w:t>(Robert, Dept of Poli Sci @ New Mexico St, &amp; Michael Fitzgerald &amp; Larry Thomas, “When Government Regulates Itself: The EPAITVA Air Pollution Control Experience”, Public Administration Review, Vol. 43, No. 3 (May - Jun., 1983), pp. 209-219)</w:t>
      </w:r>
    </w:p>
    <w:p w14:paraId="731BF52B" w14:textId="21F8566D" w:rsidR="00754D3A" w:rsidRPr="003101E4" w:rsidRDefault="00754D3A" w:rsidP="00754D3A">
      <w:pPr>
        <w:rPr>
          <w:rStyle w:val="StyleBoldUnderline"/>
        </w:rPr>
      </w:pPr>
      <w:r w:rsidRPr="003101E4">
        <w:rPr>
          <w:sz w:val="16"/>
        </w:rPr>
        <w:t xml:space="preserve">E. E. Schattschneider has observed that "some issues are organized into politics, while others are organized out."1 </w:t>
      </w:r>
      <w:r w:rsidRPr="003101E4">
        <w:rPr>
          <w:rStyle w:val="StyleBoldUnderline"/>
          <w:highlight w:val="cyan"/>
        </w:rPr>
        <w:t>Over</w:t>
      </w:r>
      <w:r w:rsidRPr="003101E4">
        <w:rPr>
          <w:rStyle w:val="StyleBoldUnderline"/>
        </w:rPr>
        <w:t xml:space="preserve"> the past two </w:t>
      </w:r>
      <w:r w:rsidRPr="003101E4">
        <w:rPr>
          <w:rStyle w:val="StyleBoldUnderline"/>
          <w:highlight w:val="cyan"/>
        </w:rPr>
        <w:t>decades, a substantia</w:t>
      </w:r>
      <w:r>
        <w:rPr>
          <w:rStyle w:val="StyleBoldUnderline"/>
          <w:highlight w:val="cyan"/>
        </w:rPr>
        <w:t>l expan</w:t>
      </w:r>
      <w:r w:rsidRPr="003101E4">
        <w:rPr>
          <w:rStyle w:val="StyleBoldUnderline"/>
          <w:highlight w:val="cyan"/>
        </w:rPr>
        <w:t>sion</w:t>
      </w:r>
      <w:r w:rsidRPr="003101E4">
        <w:rPr>
          <w:rStyle w:val="StyleBoldUnderline"/>
        </w:rPr>
        <w:t xml:space="preserve"> of the kinds </w:t>
      </w:r>
      <w:r w:rsidRPr="003101E4">
        <w:rPr>
          <w:rStyle w:val="StyleBoldUnderline"/>
          <w:highlight w:val="cyan"/>
        </w:rPr>
        <w:t>of</w:t>
      </w:r>
      <w:r w:rsidRPr="003101E4">
        <w:rPr>
          <w:rStyle w:val="StyleBoldUnderline"/>
        </w:rPr>
        <w:t xml:space="preserve"> issues "organized into" </w:t>
      </w:r>
      <w:r>
        <w:rPr>
          <w:rStyle w:val="StyleBoldUnderline"/>
          <w:highlight w:val="cyan"/>
        </w:rPr>
        <w:t>our na</w:t>
      </w:r>
      <w:r w:rsidRPr="003101E4">
        <w:rPr>
          <w:rStyle w:val="StyleBoldUnderline"/>
          <w:highlight w:val="cyan"/>
        </w:rPr>
        <w:t>tional political agenda</w:t>
      </w:r>
      <w:r w:rsidRPr="003101E4">
        <w:rPr>
          <w:rStyle w:val="StyleBoldUnderline"/>
        </w:rPr>
        <w:t xml:space="preserve"> </w:t>
      </w:r>
      <w:r w:rsidRPr="003101E4">
        <w:rPr>
          <w:rStyle w:val="StyleBoldUnderline"/>
          <w:highlight w:val="cyan"/>
        </w:rPr>
        <w:t>has</w:t>
      </w:r>
      <w:r w:rsidRPr="003101E4">
        <w:rPr>
          <w:rStyle w:val="StyleBoldUnderline"/>
        </w:rPr>
        <w:t xml:space="preserve"> </w:t>
      </w:r>
      <w:r w:rsidRPr="003101E4">
        <w:rPr>
          <w:rStyle w:val="StyleBoldUnderline"/>
          <w:highlight w:val="cyan"/>
        </w:rPr>
        <w:t>occurred</w:t>
      </w:r>
      <w:r w:rsidRPr="003101E4">
        <w:rPr>
          <w:sz w:val="16"/>
        </w:rPr>
        <w:t xml:space="preserve">. </w:t>
      </w:r>
      <w:r w:rsidRPr="003101E4">
        <w:rPr>
          <w:rStyle w:val="StyleBoldUnderline"/>
        </w:rPr>
        <w:t>Congress has en- acted regulatory policies dealing with housing, medical care, employment, civil rights, the environment, and public health and safety that go far beyond the scope of previous concerns</w:t>
      </w:r>
      <w:r w:rsidRPr="003101E4">
        <w:rPr>
          <w:rStyle w:val="Emphasis"/>
        </w:rPr>
        <w:t xml:space="preserve">. </w:t>
      </w:r>
      <w:r w:rsidRPr="003101E4">
        <w:rPr>
          <w:sz w:val="16"/>
        </w:rPr>
        <w:t xml:space="preserve">As a consequence, </w:t>
      </w:r>
      <w:r>
        <w:rPr>
          <w:rStyle w:val="Emphasis"/>
          <w:highlight w:val="cyan"/>
        </w:rPr>
        <w:t>the implementa</w:t>
      </w:r>
      <w:r w:rsidRPr="003101E4">
        <w:rPr>
          <w:rStyle w:val="Emphasis"/>
          <w:highlight w:val="cyan"/>
        </w:rPr>
        <w:t>tion context of regulatory policy has been altered as well</w:t>
      </w:r>
      <w:r w:rsidRPr="003101E4">
        <w:rPr>
          <w:sz w:val="16"/>
        </w:rPr>
        <w:t xml:space="preserve">. </w:t>
      </w:r>
      <w:r w:rsidRPr="003101E4">
        <w:rPr>
          <w:rStyle w:val="StyleBoldUnderline"/>
        </w:rPr>
        <w:t>Historically, federal agencies have applied, rather than been the targets of, such mandates.</w:t>
      </w:r>
      <w:r w:rsidRPr="003101E4">
        <w:rPr>
          <w:sz w:val="16"/>
        </w:rPr>
        <w:t xml:space="preserve"> </w:t>
      </w:r>
      <w:r w:rsidRPr="003101E4">
        <w:rPr>
          <w:rStyle w:val="Emphasis"/>
        </w:rPr>
        <w:t xml:space="preserve">But </w:t>
      </w:r>
      <w:r w:rsidRPr="003101E4">
        <w:rPr>
          <w:rStyle w:val="Emphasis"/>
          <w:highlight w:val="cyan"/>
        </w:rPr>
        <w:t>with</w:t>
      </w:r>
      <w:r w:rsidRPr="003101E4">
        <w:rPr>
          <w:rStyle w:val="Emphasis"/>
        </w:rPr>
        <w:t xml:space="preserve"> the in- stitution of laws known collectively as the </w:t>
      </w:r>
      <w:r w:rsidRPr="003101E4">
        <w:rPr>
          <w:rStyle w:val="Emphasis"/>
          <w:highlight w:val="cyan"/>
        </w:rPr>
        <w:t>new social regulation-affirmative action</w:t>
      </w:r>
      <w:r w:rsidRPr="003101E4">
        <w:rPr>
          <w:sz w:val="16"/>
        </w:rPr>
        <w:t xml:space="preserve">, occupational health and safety, and environmental protection-the activities of </w:t>
      </w:r>
      <w:r w:rsidRPr="003101E4">
        <w:rPr>
          <w:rStyle w:val="Emphasis"/>
          <w:highlight w:val="cyan"/>
        </w:rPr>
        <w:t>federal agencies fal</w:t>
      </w:r>
      <w:r w:rsidRPr="003101E4">
        <w:rPr>
          <w:rStyle w:val="Emphasis"/>
        </w:rPr>
        <w:t xml:space="preserve">l increasingly </w:t>
      </w:r>
      <w:r w:rsidRPr="003101E4">
        <w:rPr>
          <w:rStyle w:val="Emphasis"/>
          <w:highlight w:val="cyan"/>
        </w:rPr>
        <w:t>within the regulatory responsibilities of</w:t>
      </w:r>
      <w:r w:rsidRPr="003101E4">
        <w:rPr>
          <w:rStyle w:val="Emphasis"/>
        </w:rPr>
        <w:t xml:space="preserve"> those </w:t>
      </w:r>
      <w:r w:rsidRPr="003101E4">
        <w:rPr>
          <w:rStyle w:val="Emphasis"/>
          <w:highlight w:val="cyan"/>
        </w:rPr>
        <w:t>implementing such statutes</w:t>
      </w:r>
      <w:r w:rsidRPr="003101E4">
        <w:rPr>
          <w:sz w:val="16"/>
        </w:rPr>
        <w:t xml:space="preserve">.2 Today </w:t>
      </w:r>
      <w:r w:rsidRPr="003101E4">
        <w:rPr>
          <w:rStyle w:val="StyleBoldUnderline"/>
        </w:rPr>
        <w:t>it is not uncommon to find one federal agency legally charged with holding another accountable to the law of the land.</w:t>
      </w:r>
    </w:p>
    <w:p w14:paraId="12996809" w14:textId="77777777" w:rsidR="00754D3A" w:rsidRDefault="00754D3A" w:rsidP="00754D3A">
      <w:pPr>
        <w:pStyle w:val="Heading4"/>
      </w:pPr>
      <w:r>
        <w:t>The plan increases intragovernmental regulation</w:t>
      </w:r>
    </w:p>
    <w:p w14:paraId="2238ED06" w14:textId="77777777" w:rsidR="00754D3A" w:rsidRPr="007D7768" w:rsidRDefault="00754D3A" w:rsidP="00754D3A">
      <w:pPr>
        <w:rPr>
          <w:rStyle w:val="StyleStyleBold12pt"/>
          <w:b w:val="0"/>
        </w:rPr>
      </w:pPr>
      <w:r>
        <w:rPr>
          <w:rStyle w:val="StyleStyleBold12pt"/>
        </w:rPr>
        <w:t>Durant et al. 83</w:t>
      </w:r>
      <w:r>
        <w:rPr>
          <w:rStyle w:val="StyleStyleBold12pt"/>
          <w:b w:val="0"/>
        </w:rPr>
        <w:t xml:space="preserve"> </w:t>
      </w:r>
      <w:r w:rsidRPr="007D7768">
        <w:rPr>
          <w:rStyle w:val="StyleStyleBold12pt"/>
          <w:b w:val="0"/>
          <w:sz w:val="20"/>
        </w:rPr>
        <w:t>(Robert, Dept of Poli Sci @ New Mexico St, &amp; Michael Fitzgerald &amp; Larry Thomas, “When Government Regulates Itself: The EPAITVA Air Pollution Control Experience”, Public Administration Review, Vol. 43, No. 3 (May - Jun., 1983), pp. 209-219)</w:t>
      </w:r>
    </w:p>
    <w:p w14:paraId="7CE9CB27" w14:textId="77777777" w:rsidR="00754D3A" w:rsidRPr="0024305B" w:rsidRDefault="00754D3A" w:rsidP="00754D3A">
      <w:pPr>
        <w:rPr>
          <w:rStyle w:val="StyleBoldUnderline"/>
        </w:rPr>
      </w:pPr>
      <w:r w:rsidRPr="0024305B">
        <w:rPr>
          <w:sz w:val="16"/>
        </w:rPr>
        <w:t xml:space="preserve">It thus seems arguable that the travails spawned by intragovernmental regulation are not as insurmountable and dysfunctional as popularly assumed. Clearly, </w:t>
      </w:r>
      <w:r w:rsidRPr="0024305B">
        <w:rPr>
          <w:rStyle w:val="StyleBoldUnderline"/>
          <w:highlight w:val="cyan"/>
        </w:rPr>
        <w:t>fed</w:t>
      </w:r>
      <w:r w:rsidRPr="0024305B">
        <w:rPr>
          <w:rStyle w:val="StyleBoldUnderline"/>
        </w:rPr>
        <w:t>e</w:t>
      </w:r>
      <w:r w:rsidRPr="003101E4">
        <w:rPr>
          <w:rStyle w:val="StyleBoldUnderline"/>
        </w:rPr>
        <w:t xml:space="preserve">ral government </w:t>
      </w:r>
      <w:r w:rsidRPr="0024305B">
        <w:rPr>
          <w:rStyle w:val="StyleBoldUnderline"/>
          <w:highlight w:val="cyan"/>
        </w:rPr>
        <w:t>activities and public regulation are</w:t>
      </w:r>
      <w:r w:rsidRPr="003101E4">
        <w:rPr>
          <w:rStyle w:val="StyleBoldUnderline"/>
        </w:rPr>
        <w:t xml:space="preserve"> </w:t>
      </w:r>
      <w:r w:rsidRPr="0024305B">
        <w:rPr>
          <w:rStyle w:val="StyleBoldUnderline"/>
          <w:highlight w:val="cyan"/>
        </w:rPr>
        <w:t>not incompatible</w:t>
      </w:r>
      <w:r w:rsidRPr="003101E4">
        <w:rPr>
          <w:rStyle w:val="StyleBoldUnderline"/>
        </w:rPr>
        <w:t xml:space="preserve">; adversary </w:t>
      </w:r>
      <w:r w:rsidRPr="0024305B">
        <w:rPr>
          <w:rStyle w:val="StyleBoldUnderline"/>
          <w:highlight w:val="cyan"/>
        </w:rPr>
        <w:t>bureaucracies can hold other public agencies</w:t>
      </w:r>
      <w:r w:rsidRPr="003101E4">
        <w:rPr>
          <w:rStyle w:val="StyleBoldUnderline"/>
        </w:rPr>
        <w:t xml:space="preserve"> </w:t>
      </w:r>
      <w:r w:rsidRPr="0024305B">
        <w:rPr>
          <w:rStyle w:val="StyleBoldUnderline"/>
          <w:highlight w:val="cyan"/>
        </w:rPr>
        <w:t>accountable</w:t>
      </w:r>
      <w:r w:rsidRPr="003101E4">
        <w:rPr>
          <w:rStyle w:val="StyleBoldUnderline"/>
        </w:rPr>
        <w:t xml:space="preserve"> </w:t>
      </w:r>
      <w:r w:rsidRPr="0024305B">
        <w:rPr>
          <w:rStyle w:val="StyleBoldUnderline"/>
          <w:highlight w:val="cyan"/>
        </w:rPr>
        <w:t>to the law</w:t>
      </w:r>
      <w:r w:rsidRPr="003101E4">
        <w:rPr>
          <w:rStyle w:val="StyleBoldUnderline"/>
        </w:rPr>
        <w:t>.</w:t>
      </w:r>
      <w:r w:rsidRPr="0024305B">
        <w:rPr>
          <w:sz w:val="16"/>
        </w:rPr>
        <w:t xml:space="preserve"> What is more, doing so affords the advantages noted by Schatt- Schneider of broadened scopes of conflict with multiple arenas for pursuit of the common good by interested parties and the public. Those disadvantaged or abused in one arena may shift to another of equal standing where their influence may be heightened and their arguments sustained. </w:t>
      </w:r>
      <w:r w:rsidRPr="0024305B">
        <w:rPr>
          <w:rStyle w:val="StyleBoldUnderline"/>
          <w:highlight w:val="cyan"/>
        </w:rPr>
        <w:t>Intragovernmental regulation</w:t>
      </w:r>
      <w:r w:rsidRPr="0024305B">
        <w:rPr>
          <w:sz w:val="16"/>
        </w:rPr>
        <w:t>, and the "preemptive creative redundance" it i</w:t>
      </w:r>
      <w:r w:rsidRPr="0024305B">
        <w:rPr>
          <w:rStyle w:val="StyleBoldUnderline"/>
        </w:rPr>
        <w:t xml:space="preserve">ntroduces to the policy process, likely </w:t>
      </w:r>
      <w:r w:rsidRPr="0024305B">
        <w:rPr>
          <w:rStyle w:val="StyleBoldUnderline"/>
          <w:highlight w:val="cyan"/>
        </w:rPr>
        <w:t>provides an opportunity to</w:t>
      </w:r>
      <w:r w:rsidRPr="0024305B">
        <w:rPr>
          <w:rStyle w:val="StyleBoldUnderline"/>
        </w:rPr>
        <w:t xml:space="preserve"> temper if not </w:t>
      </w:r>
      <w:r w:rsidRPr="0024305B">
        <w:rPr>
          <w:rStyle w:val="StyleBoldUnderline"/>
          <w:highlight w:val="cyan"/>
        </w:rPr>
        <w:t>remedy the untoward</w:t>
      </w:r>
      <w:r w:rsidRPr="0024305B">
        <w:rPr>
          <w:rStyle w:val="StyleBoldUnderline"/>
        </w:rPr>
        <w:t xml:space="preserve"> </w:t>
      </w:r>
      <w:r w:rsidRPr="0024305B">
        <w:rPr>
          <w:rStyle w:val="StyleBoldUnderline"/>
          <w:highlight w:val="cyan"/>
        </w:rPr>
        <w:t>consequences that occur when disparate policies interact</w:t>
      </w:r>
      <w:r w:rsidRPr="0024305B">
        <w:rPr>
          <w:sz w:val="16"/>
          <w:highlight w:val="cyan"/>
        </w:rPr>
        <w:t xml:space="preserve">." </w:t>
      </w:r>
      <w:r w:rsidRPr="0024305B">
        <w:rPr>
          <w:rStyle w:val="StyleBoldUnderline"/>
          <w:highlight w:val="cyan"/>
        </w:rPr>
        <w:t>In a political system prone to polycentric problems</w:t>
      </w:r>
      <w:r w:rsidRPr="0024305B">
        <w:rPr>
          <w:rStyle w:val="StyleBoldUnderline"/>
        </w:rPr>
        <w:t xml:space="preserve"> as complex, little under- stood, and costly to resolve as our own, </w:t>
      </w:r>
      <w:r w:rsidRPr="0024305B">
        <w:rPr>
          <w:rStyle w:val="StyleBoldUnderline"/>
          <w:highlight w:val="cyan"/>
        </w:rPr>
        <w:t>agency</w:t>
      </w:r>
      <w:r w:rsidRPr="0024305B">
        <w:rPr>
          <w:rStyle w:val="StyleBoldUnderline"/>
        </w:rPr>
        <w:t xml:space="preserve"> </w:t>
      </w:r>
      <w:r w:rsidRPr="0024305B">
        <w:rPr>
          <w:rStyle w:val="StyleBoldUnderline"/>
          <w:highlight w:val="cyan"/>
        </w:rPr>
        <w:t>challenges</w:t>
      </w:r>
      <w:r w:rsidRPr="0024305B">
        <w:rPr>
          <w:rStyle w:val="StyleBoldUnderline"/>
        </w:rPr>
        <w:t xml:space="preserve"> </w:t>
      </w:r>
      <w:r w:rsidRPr="0024305B">
        <w:rPr>
          <w:rStyle w:val="StyleBoldUnderline"/>
          <w:highlight w:val="cyan"/>
        </w:rPr>
        <w:t>to</w:t>
      </w:r>
      <w:r w:rsidRPr="0024305B">
        <w:rPr>
          <w:rStyle w:val="StyleBoldUnderline"/>
        </w:rPr>
        <w:t xml:space="preserve"> the </w:t>
      </w:r>
      <w:r w:rsidRPr="0024305B">
        <w:rPr>
          <w:rStyle w:val="StyleBoldUnderline"/>
          <w:highlight w:val="cyan"/>
        </w:rPr>
        <w:t>implementation</w:t>
      </w:r>
      <w:r w:rsidRPr="0024305B">
        <w:rPr>
          <w:rStyle w:val="StyleBoldUnderline"/>
        </w:rPr>
        <w:t xml:space="preserve"> of particular policies </w:t>
      </w:r>
      <w:r w:rsidRPr="0024305B">
        <w:rPr>
          <w:rStyle w:val="StyleBoldUnderline"/>
          <w:highlight w:val="cyan"/>
        </w:rPr>
        <w:t>are likely unavoidable</w:t>
      </w:r>
      <w:r w:rsidRPr="0024305B">
        <w:rPr>
          <w:rStyle w:val="StyleBoldUnderline"/>
        </w:rPr>
        <w:t xml:space="preserve">.74 And given a legislative process typically ill-suited to a priori consideration of policy interaction, they are often essential. </w:t>
      </w:r>
    </w:p>
    <w:p w14:paraId="30239E6A" w14:textId="77777777" w:rsidR="00754D3A" w:rsidRDefault="00754D3A" w:rsidP="00754D3A">
      <w:pPr>
        <w:pStyle w:val="Heading4"/>
      </w:pPr>
      <w:r>
        <w:t>Government self-regulation is real</w:t>
      </w:r>
    </w:p>
    <w:p w14:paraId="61811D1A" w14:textId="77777777" w:rsidR="00754D3A" w:rsidRPr="003A4501" w:rsidRDefault="00754D3A" w:rsidP="00754D3A">
      <w:pPr>
        <w:rPr>
          <w:rStyle w:val="StyleStyleBold12pt"/>
          <w:b w:val="0"/>
        </w:rPr>
      </w:pPr>
      <w:r>
        <w:rPr>
          <w:rStyle w:val="StyleStyleBold12pt"/>
        </w:rPr>
        <w:t>Jacob &amp; Volkery 4</w:t>
      </w:r>
      <w:r>
        <w:rPr>
          <w:rStyle w:val="StyleStyleBold12pt"/>
          <w:b w:val="0"/>
        </w:rPr>
        <w:t xml:space="preserve"> </w:t>
      </w:r>
      <w:r w:rsidRPr="003A4501">
        <w:rPr>
          <w:rStyle w:val="StyleStyleBold12pt"/>
          <w:b w:val="0"/>
          <w:sz w:val="20"/>
        </w:rPr>
        <w:t>(Dr. Klaus, senior researcher at the Environmental Policy Re</w:t>
      </w:r>
      <w:r>
        <w:rPr>
          <w:rStyle w:val="StyleStyleBold12pt"/>
          <w:b w:val="0"/>
          <w:sz w:val="20"/>
        </w:rPr>
        <w:t>search Centre, Freie Universita</w:t>
      </w:r>
      <w:r w:rsidRPr="003A4501">
        <w:rPr>
          <w:rStyle w:val="StyleStyleBold12pt"/>
          <w:b w:val="0"/>
          <w:sz w:val="20"/>
        </w:rPr>
        <w:t>t Berlin and Chair of the Environmental Policy/Global Change Section of the German Association of Political Scientists, &amp; Axel, “Institutions and Instruments for Government Self-Regulation: Environmental Policy Integration in a Cross-Country Perspective”, Journal of Comparative Policy Analysis, Vol. 6, No. 3, 291 – 309, December 2004)</w:t>
      </w:r>
    </w:p>
    <w:p w14:paraId="31464B0F" w14:textId="77777777" w:rsidR="00754D3A" w:rsidRPr="0089751D" w:rsidRDefault="00754D3A" w:rsidP="00754D3A">
      <w:pPr>
        <w:rPr>
          <w:sz w:val="48"/>
        </w:rPr>
      </w:pPr>
      <w:r w:rsidRPr="0024305B">
        <w:rPr>
          <w:sz w:val="16"/>
        </w:rPr>
        <w:t xml:space="preserve">The need to incorporate environmental concerns into the decision-making procedures of non-environmental policies has long been a challenge for better government. In the 1990s, renewed impetus has been given to the concept of Environmental Policy Integration (EPI) in many OECD countries (OECD 2002a). </w:t>
      </w:r>
      <w:r w:rsidRPr="0024305B">
        <w:rPr>
          <w:rStyle w:val="StyleBoldUnderline"/>
          <w:highlight w:val="cyan"/>
        </w:rPr>
        <w:t>Whereas</w:t>
      </w:r>
      <w:r w:rsidRPr="0024305B">
        <w:rPr>
          <w:rStyle w:val="StyleBoldUnderline"/>
        </w:rPr>
        <w:t xml:space="preserve"> in the beginning </w:t>
      </w:r>
      <w:r w:rsidRPr="0024305B">
        <w:rPr>
          <w:rStyle w:val="StyleBoldUnderline"/>
          <w:highlight w:val="cyan"/>
        </w:rPr>
        <w:t>a horizontal approach</w:t>
      </w:r>
      <w:r w:rsidRPr="0024305B">
        <w:rPr>
          <w:rStyle w:val="StyleBoldUnderline"/>
        </w:rPr>
        <w:t xml:space="preserve"> was dominant, with a central institution responsible for interfering in the policy domains of other departments, </w:t>
      </w:r>
      <w:r w:rsidRPr="0024305B">
        <w:rPr>
          <w:rStyle w:val="StyleBoldUnderline"/>
          <w:highlight w:val="cyan"/>
        </w:rPr>
        <w:t>attention</w:t>
      </w:r>
      <w:r w:rsidRPr="0024305B">
        <w:rPr>
          <w:rStyle w:val="StyleBoldUnderline"/>
        </w:rPr>
        <w:t xml:space="preserve"> in the 1990s </w:t>
      </w:r>
      <w:r w:rsidRPr="0024305B">
        <w:rPr>
          <w:rStyle w:val="StyleBoldUnderline"/>
          <w:highlight w:val="cyan"/>
        </w:rPr>
        <w:t>was directed</w:t>
      </w:r>
      <w:r w:rsidRPr="0024305B">
        <w:rPr>
          <w:rStyle w:val="StyleBoldUnderline"/>
        </w:rPr>
        <w:t xml:space="preserve"> </w:t>
      </w:r>
      <w:r w:rsidRPr="0024305B">
        <w:rPr>
          <w:rStyle w:val="StyleBoldUnderline"/>
          <w:highlight w:val="cyan"/>
        </w:rPr>
        <w:t>towards</w:t>
      </w:r>
      <w:r w:rsidRPr="0024305B">
        <w:rPr>
          <w:rStyle w:val="StyleBoldUnderline"/>
        </w:rPr>
        <w:t xml:space="preserve"> more decentralized </w:t>
      </w:r>
      <w:r w:rsidRPr="0024305B">
        <w:rPr>
          <w:rStyle w:val="StyleBoldUnderline"/>
          <w:highlight w:val="cyan"/>
        </w:rPr>
        <w:t>a</w:t>
      </w:r>
      <w:r w:rsidRPr="0024305B">
        <w:rPr>
          <w:rStyle w:val="StyleBoldUnderline"/>
        </w:rPr>
        <w:t>pproaches which set objectives, but leave discretion for their deployment</w:t>
      </w:r>
      <w:r w:rsidRPr="0024305B">
        <w:rPr>
          <w:sz w:val="16"/>
        </w:rPr>
        <w:t xml:space="preserve">.1 </w:t>
      </w:r>
      <w:r w:rsidRPr="0024305B">
        <w:rPr>
          <w:rStyle w:val="Emphasis"/>
        </w:rPr>
        <w:t xml:space="preserve">We classify this </w:t>
      </w:r>
      <w:r w:rsidRPr="0024305B">
        <w:rPr>
          <w:rStyle w:val="Emphasis"/>
          <w:highlight w:val="cyan"/>
        </w:rPr>
        <w:t>vertical approach as ‘‘governmental self-regulation’’, as it shifts</w:t>
      </w:r>
      <w:r w:rsidRPr="0024305B">
        <w:rPr>
          <w:rStyle w:val="Emphasis"/>
        </w:rPr>
        <w:t xml:space="preserve"> the </w:t>
      </w:r>
      <w:r w:rsidRPr="0024305B">
        <w:rPr>
          <w:rStyle w:val="Emphasis"/>
          <w:highlight w:val="cyan"/>
        </w:rPr>
        <w:t>responsibility for merging objectives</w:t>
      </w:r>
      <w:r w:rsidRPr="0024305B">
        <w:rPr>
          <w:rStyle w:val="Emphasis"/>
        </w:rPr>
        <w:t xml:space="preserve"> </w:t>
      </w:r>
      <w:r w:rsidRPr="0024305B">
        <w:rPr>
          <w:rStyle w:val="Emphasis"/>
          <w:highlight w:val="cyan"/>
        </w:rPr>
        <w:t xml:space="preserve">and measures to </w:t>
      </w:r>
      <w:r w:rsidRPr="0024305B">
        <w:rPr>
          <w:rStyle w:val="Emphasis"/>
        </w:rPr>
        <w:t xml:space="preserve">the </w:t>
      </w:r>
      <w:r w:rsidRPr="0024305B">
        <w:rPr>
          <w:rStyle w:val="Emphasis"/>
          <w:highlight w:val="cyan"/>
        </w:rPr>
        <w:t>single departments</w:t>
      </w:r>
      <w:r w:rsidRPr="0024305B">
        <w:rPr>
          <w:rStyle w:val="Emphasis"/>
        </w:rPr>
        <w:t>.</w:t>
      </w:r>
      <w:r w:rsidRPr="0024305B">
        <w:rPr>
          <w:sz w:val="16"/>
        </w:rPr>
        <w:t xml:space="preserve"> Many scholars have emphasized the potentials for reaching a better implementation of EPI via processes of policy-learning rather than processes of strict enforcing of norm compliance (Lafferty 2001, Janicke et al. 2002, OECD 2002b, SRU 2004; see the various contributions in Lenschow 2002b).</w:t>
      </w:r>
      <w:r w:rsidRPr="00EA7450">
        <w:rPr>
          <w:lang w:eastAsia="zh-CN"/>
        </w:rPr>
        <w:t xml:space="preserve"> </w:t>
      </w:r>
    </w:p>
    <w:p w14:paraId="7BBDB00C" w14:textId="77777777" w:rsidR="00EE4B58" w:rsidRPr="00EE4B58" w:rsidRDefault="00EE4B58" w:rsidP="00EE4B58"/>
    <w:p w14:paraId="23821526" w14:textId="77777777" w:rsidR="00EE4B58" w:rsidRPr="00EE4B58" w:rsidRDefault="00EE4B58" w:rsidP="00EE4B58"/>
    <w:p w14:paraId="334A9F4B" w14:textId="2FF9F6E9" w:rsidR="00FE20A6" w:rsidRDefault="00FE20A6" w:rsidP="00754D3A">
      <w:pPr>
        <w:pStyle w:val="Heading2"/>
        <w:rPr>
          <w:lang w:eastAsia="zh-CN"/>
        </w:rPr>
      </w:pPr>
      <w:r>
        <w:rPr>
          <w:lang w:eastAsia="zh-CN"/>
        </w:rPr>
        <w:t>Funding</w:t>
      </w:r>
    </w:p>
    <w:p w14:paraId="6B2A945C" w14:textId="0001D9F0" w:rsidR="00754D3A" w:rsidRPr="00754D3A" w:rsidRDefault="00754D3A" w:rsidP="00754D3A">
      <w:pPr>
        <w:pStyle w:val="Heading3"/>
      </w:pPr>
      <w:r>
        <w:t>Funding = More Than Money</w:t>
      </w:r>
    </w:p>
    <w:p w14:paraId="11511091" w14:textId="77777777" w:rsidR="00FE20A6" w:rsidRPr="005B6292" w:rsidRDefault="00FE20A6" w:rsidP="00FE20A6">
      <w:pPr>
        <w:pStyle w:val="Heading4"/>
        <w:rPr>
          <w:rFonts w:cs="Times New Roman"/>
        </w:rPr>
      </w:pPr>
      <w:r w:rsidRPr="005B6292">
        <w:rPr>
          <w:rFonts w:cs="Times New Roman"/>
        </w:rPr>
        <w:t>“Fund” encompasses more than money</w:t>
      </w:r>
    </w:p>
    <w:p w14:paraId="6DF54724" w14:textId="77777777" w:rsidR="00FE20A6" w:rsidRDefault="00FE20A6" w:rsidP="00FE20A6">
      <w:r>
        <w:rPr>
          <w:rStyle w:val="StyleStyleBold12pt"/>
        </w:rPr>
        <w:t xml:space="preserve">Speer 2k </w:t>
      </w:r>
      <w:r>
        <w:rPr>
          <w:rStyle w:val="StyleStyleBold12pt"/>
          <w:b w:val="0"/>
        </w:rPr>
        <w:t>(</w:t>
      </w:r>
      <w:r>
        <w:t>Richard L. Speer, Chief Bankruptcy Judge, United States Bankruptcy Court for the Northern District of Ohio, “In Re: Walter Collins, Jr., Debtor(s); MPC Cash-Way Lumber Co., Plaintiff(s) v. Walter E. Collins, Jr., Defendant(s)”, 266 B.R. 123; 2000 Bankr. LEXIS 1834, 10-25, Lexis)</w:t>
      </w:r>
    </w:p>
    <w:p w14:paraId="75B72051" w14:textId="77777777" w:rsidR="00FE20A6" w:rsidRPr="00754D3A" w:rsidRDefault="00FE20A6" w:rsidP="00FE20A6">
      <w:pPr>
        <w:rPr>
          <w:sz w:val="16"/>
        </w:rPr>
      </w:pPr>
      <w:r w:rsidRPr="00754D3A">
        <w:rPr>
          <w:sz w:val="16"/>
        </w:rPr>
        <w:t xml:space="preserve">After giving this matter careful consideration, the Court finds that </w:t>
      </w:r>
      <w:r>
        <w:rPr>
          <w:rStyle w:val="StyleBoldUnderline"/>
        </w:rPr>
        <w:t>the word "fund,"</w:t>
      </w:r>
      <w:r w:rsidRPr="00754D3A">
        <w:rPr>
          <w:sz w:val="16"/>
        </w:rPr>
        <w:t xml:space="preserve"> as it is used in Michigan's Building Trust Fund Act, </w:t>
      </w:r>
      <w:r>
        <w:rPr>
          <w:rStyle w:val="StyleBoldUnderline"/>
        </w:rPr>
        <w:t>is broad enough to encompass any compensation</w:t>
      </w:r>
      <w:r w:rsidRPr="00754D3A">
        <w:rPr>
          <w:sz w:val="16"/>
        </w:rPr>
        <w:t xml:space="preserve"> paid to a contractor through the forgiveness of a debt. The Court's reasoning for this rests upon two observations: First, had the Michigan State Legislature desired to limit the applicability of Michigan's Building Trust Fund Act to solely "money" paid, it could have easily used the term "money" in the statute. However, instead the Michigan State Legislature chose to use </w:t>
      </w:r>
      <w:r>
        <w:rPr>
          <w:rStyle w:val="StyleBoldUnderline"/>
        </w:rPr>
        <w:t>the term "fund"</w:t>
      </w:r>
      <w:r w:rsidRPr="00754D3A">
        <w:rPr>
          <w:sz w:val="16"/>
        </w:rPr>
        <w:t xml:space="preserve"> which</w:t>
      </w:r>
      <w:r>
        <w:rPr>
          <w:rStyle w:val="StyleBoldUnderline"/>
        </w:rPr>
        <w:t xml:space="preserve"> is, in its common legal usage, given a broad interpretation</w:t>
      </w:r>
      <w:r w:rsidRPr="00754D3A">
        <w:rPr>
          <w:sz w:val="16"/>
        </w:rPr>
        <w:t xml:space="preserve">. </w:t>
      </w:r>
      <w:r>
        <w:rPr>
          <w:rStyle w:val="StyleBoldUnderline"/>
        </w:rPr>
        <w:t>For example, Black's Law Dictionary defines a "fund" as a generic term and all-embracing as compared with [the] term "money, etc., which is specific."</w:t>
      </w:r>
      <w:r w:rsidRPr="00754D3A">
        <w:rPr>
          <w:sz w:val="16"/>
        </w:rPr>
        <w:t xml:space="preserve"> BLACK'S LAW DICTIONARY 673 (6th ed. 1990). The second reason, the Court believes that the word "fund" is broad enough to encompass payments made through the method of debt forgiveness is that Michigan's Building Trust Fund Act, being a remedial statute, is to be liberally construed so as to advance its purpose, which is to protect people in the construction industry. People v. Miller, </w:t>
      </w:r>
      <w:hyperlink r:id="rId25" w:anchor="p343" w:history="1">
        <w:r>
          <w:rPr>
            <w:rStyle w:val="Hyperlink"/>
          </w:rPr>
          <w:t>78 Mich. App. 336, 343,</w:t>
        </w:r>
      </w:hyperlink>
      <w:r w:rsidRPr="00754D3A">
        <w:rPr>
          <w:sz w:val="16"/>
        </w:rPr>
        <w:t> </w:t>
      </w:r>
      <w:hyperlink r:id="rId26" w:anchor="p881" w:history="1">
        <w:r>
          <w:rPr>
            <w:rStyle w:val="Hyperlink"/>
          </w:rPr>
          <w:t>259 N.W.2d 877, 881</w:t>
        </w:r>
      </w:hyperlink>
      <w:r w:rsidRPr="00754D3A">
        <w:rPr>
          <w:sz w:val="16"/>
        </w:rPr>
        <w:t> (1977). In this case, of course, it is clear that the Plaintiff is included within the scope of those persons protected by the Act. Accordingly, to exclude the applicability of the statute solely on the grounds that the Defendant was compensated for his services by the forgiveness of a debt, instead of in actual money, would clearly run contrary to the Act's intentions. In fact, to hold otherwise would create an unintended loophole in the law, as any party(s) wishing to avoid the operation of Michigan's Building Trust Fund Act could, through creative accounting practices, simply designate the payment of certain construction services as the forgiveness of a debt, notwithstanding the fact that money was contemporaneously paid to the contractor for his or her services. Thus, for these reasons, the Court finds that the Defendant was subject to Michigan's Building and Trust Fund Act, and was thereby acting in a fiduciary capacity for purposes of </w:t>
      </w:r>
      <w:hyperlink r:id="rId27" w:history="1">
        <w:r>
          <w:rPr>
            <w:rStyle w:val="Hyperlink"/>
          </w:rPr>
          <w:t>11 U.S.C. § 523</w:t>
        </w:r>
      </w:hyperlink>
      <w:r w:rsidRPr="00754D3A">
        <w:rPr>
          <w:sz w:val="16"/>
        </w:rPr>
        <w:t> (a)(4). Accordingly, the only remaining question to address in this case is whether the Defendant committed the act of defalcation for purposes § 523 (a)(4).</w:t>
      </w:r>
    </w:p>
    <w:p w14:paraId="7779A8E3" w14:textId="77777777" w:rsidR="00FE20A6" w:rsidRPr="00FE20A6" w:rsidRDefault="00FE20A6" w:rsidP="00FE20A6"/>
    <w:p w14:paraId="72DA148F" w14:textId="1FD3A7F1" w:rsidR="00692732" w:rsidRDefault="00754D3A" w:rsidP="00692732">
      <w:pPr>
        <w:pStyle w:val="Heading4"/>
      </w:pPr>
      <w:r>
        <w:t xml:space="preserve"> </w:t>
      </w:r>
      <w:r w:rsidR="00692732">
        <w:t>“Funding” includes the provision of valuable assets---it’s not limited to only monetary instruments</w:t>
      </w:r>
    </w:p>
    <w:p w14:paraId="3353AB09" w14:textId="77777777" w:rsidR="00692732" w:rsidRPr="00D40EDE" w:rsidRDefault="00692732" w:rsidP="00692732">
      <w:r w:rsidRPr="00D40EDE">
        <w:rPr>
          <w:rStyle w:val="StyleStyleBold12pt"/>
        </w:rPr>
        <w:t>Cote 15 –</w:t>
      </w:r>
      <w:r>
        <w:t xml:space="preserve"> Denise Cote, United States District Judge, United States District Court for the Southern District of New York, “UNITED STATES OF AMERICA -v- ARTHUR BUDOVSKY, Defendant”, 2015 U.S. Dist. LEXIS 127717, 9-23, Lexis</w:t>
      </w:r>
    </w:p>
    <w:p w14:paraId="2BD54021" w14:textId="77777777" w:rsidR="00692732" w:rsidRDefault="00692732" w:rsidP="00692732">
      <w:r>
        <w:t xml:space="preserve">Budovsky's argument fails for several reasons. First, he argues that virtual currencies are not "monetary instruments" and thus transactions in virtual currencies are not "financial transactions." This argument ignores the statutory definition of "financial transaction," which includes not only monetary instruments, but also "funds." </w:t>
      </w:r>
      <w:r w:rsidRPr="00D40EDE">
        <w:rPr>
          <w:rStyle w:val="StyleBoldUnderline"/>
        </w:rPr>
        <w:t xml:space="preserve">Giving effect to every clause in the statutory definition, the term funds has a </w:t>
      </w:r>
      <w:r w:rsidRPr="00D40EDE">
        <w:rPr>
          <w:rStyle w:val="Emphasis"/>
        </w:rPr>
        <w:t>separate meaning</w:t>
      </w:r>
      <w:r w:rsidRPr="00D40EDE">
        <w:rPr>
          <w:rStyle w:val="StyleBoldUnderline"/>
        </w:rPr>
        <w:t xml:space="preserve"> and is </w:t>
      </w:r>
      <w:r w:rsidRPr="00D40EDE">
        <w:rPr>
          <w:rStyle w:val="Emphasis"/>
        </w:rPr>
        <w:t>not coterminous</w:t>
      </w:r>
      <w:r w:rsidRPr="00D40EDE">
        <w:rPr>
          <w:rStyle w:val="StyleBoldUnderline"/>
        </w:rPr>
        <w:t xml:space="preserve"> with the term monetary instrument</w:t>
      </w:r>
      <w:r>
        <w:t>. See In re Barnet, 737 F.3d 238, 247 (2d Cir. 2013) ("Statutory enactments should . . . be read so as to give effect, if possible, to every clause and word of a statute." (citation omitted)).</w:t>
      </w:r>
    </w:p>
    <w:p w14:paraId="2F09ECE2" w14:textId="77777777" w:rsidR="00692732" w:rsidRDefault="00692732" w:rsidP="00692732">
      <w:r>
        <w:t xml:space="preserve">Next, Budovsky appears to argue that virtual currencies cannot [*36]  be included within the term "funds." This precise argument was rejected recently in a case applying § 1956 to the owner and operator of the website Silk Road, a marketplace for illegal drugs that used the virtual currency Bitcoin. United States v. Ulbricht, 31 F. Supp. 3d 540, 568-70 (S.D.N.Y. 2014). Addressing a pretrial motion to dismiss an indictment, the Ulbricht court found that </w:t>
      </w:r>
      <w:r w:rsidRPr="00D40EDE">
        <w:rPr>
          <w:rStyle w:val="StyleBoldUnderline"/>
        </w:rPr>
        <w:t>since the term "funds" is not defined</w:t>
      </w:r>
      <w:r>
        <w:t xml:space="preserve"> under § 1956, </w:t>
      </w:r>
      <w:r w:rsidRPr="00D40EDE">
        <w:rPr>
          <w:rStyle w:val="StyleBoldUnderline"/>
        </w:rPr>
        <w:t>it must be given its ordinary meaning: assets that "can be used to pay for things in the colloquial sense."</w:t>
      </w:r>
      <w:r>
        <w:t xml:space="preserve"> Id. at 570; see also United States v. Day, 700 F.3d 713, 725 (4th Cir. 2012) (</w:t>
      </w:r>
      <w:r w:rsidRPr="00D40EDE">
        <w:rPr>
          <w:rStyle w:val="StyleBoldUnderline"/>
        </w:rPr>
        <w:t>defining funds</w:t>
      </w:r>
      <w:r>
        <w:t xml:space="preserve"> under § 1956 </w:t>
      </w:r>
      <w:r w:rsidRPr="00D40EDE">
        <w:rPr>
          <w:rStyle w:val="StyleBoldUnderline"/>
        </w:rPr>
        <w:t>to include gold since it is an asset of monetary value that is susceptible to ready financial use</w:t>
      </w:r>
      <w:r>
        <w:t>). The Ulbricht court's reasoning is adopted here.</w:t>
      </w:r>
    </w:p>
    <w:p w14:paraId="7B2E1EE0" w14:textId="77777777" w:rsidR="00692732" w:rsidRDefault="00692732" w:rsidP="00692732">
      <w:pPr>
        <w:pStyle w:val="Heading4"/>
      </w:pPr>
      <w:r>
        <w:t xml:space="preserve">“Funding” includes </w:t>
      </w:r>
      <w:r>
        <w:rPr>
          <w:u w:val="single"/>
        </w:rPr>
        <w:t>both</w:t>
      </w:r>
      <w:r>
        <w:t xml:space="preserve"> money and services</w:t>
      </w:r>
    </w:p>
    <w:p w14:paraId="336372EF" w14:textId="77777777" w:rsidR="00692732" w:rsidRPr="00DC322F" w:rsidRDefault="00692732" w:rsidP="00692732">
      <w:r w:rsidRPr="00DC322F">
        <w:rPr>
          <w:rStyle w:val="StyleStyleBold12pt"/>
        </w:rPr>
        <w:t>Rao 13 –</w:t>
      </w:r>
      <w:r>
        <w:t xml:space="preserve"> Jonnah Owen Rao, Master of Business Administration in Finance School of Business, University of Nairobi, “EFFECT OF FUNDING SOURCES ON FINANCIAL SUSTAINABILITY OF WATER SECTOR INSTITUITIONS IN KENYA”, October, http://erepository.uonbi.ac.ke/bitstream/handle/11295/58807/Rao_Effect%20of%20funding%20sources%20on%20financial%20sustainability%20of%20water%20sector%20instituitions%20in%20Kenya.pdf?sequence=3</w:t>
      </w:r>
    </w:p>
    <w:p w14:paraId="093D0289" w14:textId="77777777" w:rsidR="00692732" w:rsidRDefault="00692732" w:rsidP="00692732">
      <w:r>
        <w:t>1.1.1 Funding Sources</w:t>
      </w:r>
    </w:p>
    <w:p w14:paraId="0496EEBB" w14:textId="77777777" w:rsidR="00692732" w:rsidRDefault="00692732" w:rsidP="00692732">
      <w:r>
        <w:t xml:space="preserve">The </w:t>
      </w:r>
      <w:r w:rsidRPr="00DC322F">
        <w:rPr>
          <w:rStyle w:val="TitleChar"/>
        </w:rPr>
        <w:t>oxford</w:t>
      </w:r>
      <w:r>
        <w:t xml:space="preserve"> dictionary 2013 </w:t>
      </w:r>
      <w:r w:rsidRPr="00DC322F">
        <w:rPr>
          <w:rStyle w:val="TitleChar"/>
        </w:rPr>
        <w:t xml:space="preserve">defines funding as an act of providing resources, usually in form of money (financing), </w:t>
      </w:r>
      <w:r w:rsidRPr="00DC322F">
        <w:rPr>
          <w:rStyle w:val="Emphasis"/>
        </w:rPr>
        <w:t>or other values such as effort or time (sweat equity)</w:t>
      </w:r>
      <w:r w:rsidRPr="00DC322F">
        <w:rPr>
          <w:rStyle w:val="TitleChar"/>
        </w:rPr>
        <w:t>, for a project, a person, a business, or any other private or public institutions</w:t>
      </w:r>
      <w:r>
        <w:t>. Funds are injected into the market as capital by lenders and taken as loans by borrowers. There are two ways in which the capital can end up at the borrower. The lender can lend the capital to a financial intermediary against interest. These financial intermediaries then reinvest the money against a higher rate. The use of financial intermediaries to finance operations is called indirect finance. Lender can also go the financial markets to directly lend to a borrower. This method is called direct finance (Mishkin, 2012).</w:t>
      </w:r>
    </w:p>
    <w:p w14:paraId="2D512ED0" w14:textId="77777777" w:rsidR="00692732" w:rsidRDefault="00692732" w:rsidP="00692732"/>
    <w:p w14:paraId="1E7DA1DA" w14:textId="77777777" w:rsidR="00692732" w:rsidRDefault="00692732" w:rsidP="00692732">
      <w:pPr>
        <w:pStyle w:val="Heading4"/>
      </w:pPr>
      <w:r>
        <w:t>It includes money or other resources</w:t>
      </w:r>
    </w:p>
    <w:p w14:paraId="54B6FC30" w14:textId="77777777" w:rsidR="00692732" w:rsidRDefault="00692732" w:rsidP="00692732">
      <w:r w:rsidRPr="007C7A6C">
        <w:rPr>
          <w:rStyle w:val="StyleStyleBold12pt"/>
        </w:rPr>
        <w:t>Webster’s 17 –</w:t>
      </w:r>
      <w:r>
        <w:t xml:space="preserve"> Merriam-Webster’s Online Dictionary, “funding”, https://www.merriam-webster.com/dictionary/funding</w:t>
      </w:r>
    </w:p>
    <w:p w14:paraId="0AF5AF08" w14:textId="77777777" w:rsidR="00692732" w:rsidRDefault="00692732" w:rsidP="00692732">
      <w:r>
        <w:t>Definition of fund</w:t>
      </w:r>
    </w:p>
    <w:p w14:paraId="0E488779" w14:textId="77777777" w:rsidR="00692732" w:rsidRPr="007C7A6C" w:rsidRDefault="00692732" w:rsidP="00692732">
      <w:pPr>
        <w:rPr>
          <w:rStyle w:val="StyleBoldUnderline"/>
        </w:rPr>
      </w:pPr>
      <w:r>
        <w:t xml:space="preserve">1 a :  </w:t>
      </w:r>
      <w:r w:rsidRPr="007C7A6C">
        <w:rPr>
          <w:rStyle w:val="StyleBoldUnderline"/>
        </w:rPr>
        <w:t>a sum of money or other resources whose principal or interest is set apart for a specific objective</w:t>
      </w:r>
    </w:p>
    <w:p w14:paraId="0F81DDF7" w14:textId="77777777" w:rsidR="00692732" w:rsidRDefault="00692732" w:rsidP="00692732">
      <w:r>
        <w:t>b :  money on deposit on which checks or drafts can be drawn —usually used in plural</w:t>
      </w:r>
    </w:p>
    <w:p w14:paraId="042CF845" w14:textId="77777777" w:rsidR="00692732" w:rsidRDefault="00692732" w:rsidP="00692732">
      <w:r>
        <w:t>c :  capital</w:t>
      </w:r>
    </w:p>
    <w:p w14:paraId="4C3D10A2" w14:textId="77777777" w:rsidR="00692732" w:rsidRDefault="00692732" w:rsidP="00692732">
      <w:r>
        <w:t>d funds plural :  the stock of the British national debt —usually used with the</w:t>
      </w:r>
    </w:p>
    <w:p w14:paraId="5DB3FF13" w14:textId="77777777" w:rsidR="00692732" w:rsidRDefault="00692732" w:rsidP="00692732">
      <w:r>
        <w:t>2 :  an available quantity of material or intangible resources :  supply</w:t>
      </w:r>
    </w:p>
    <w:p w14:paraId="5D4D6F24" w14:textId="77777777" w:rsidR="00692732" w:rsidRDefault="00692732" w:rsidP="00692732">
      <w:r>
        <w:t>3 funds plural :  available pecuniary resources</w:t>
      </w:r>
    </w:p>
    <w:p w14:paraId="7EAD9FDA" w14:textId="77777777" w:rsidR="00692732" w:rsidRDefault="00692732" w:rsidP="00692732">
      <w:r>
        <w:t>4 :  an organization administering a special fund</w:t>
      </w:r>
    </w:p>
    <w:p w14:paraId="65DA5DFD" w14:textId="77777777" w:rsidR="00692732" w:rsidRDefault="00692732" w:rsidP="00692732"/>
    <w:p w14:paraId="05548D0E" w14:textId="77777777" w:rsidR="00692732" w:rsidRDefault="00692732" w:rsidP="00692732">
      <w:pPr>
        <w:pStyle w:val="Heading4"/>
      </w:pPr>
      <w:r>
        <w:t xml:space="preserve">“Funding” is </w:t>
      </w:r>
      <w:r>
        <w:rPr>
          <w:u w:val="single"/>
        </w:rPr>
        <w:t>more</w:t>
      </w:r>
      <w:r>
        <w:t xml:space="preserve"> than just money and includes </w:t>
      </w:r>
      <w:r>
        <w:rPr>
          <w:u w:val="single"/>
        </w:rPr>
        <w:t>both</w:t>
      </w:r>
      <w:r>
        <w:t xml:space="preserve"> provision of resources and subsidization</w:t>
      </w:r>
    </w:p>
    <w:p w14:paraId="17B3F2E8" w14:textId="77777777" w:rsidR="00692732" w:rsidRPr="00D40EDE" w:rsidRDefault="00692732" w:rsidP="00692732">
      <w:r w:rsidRPr="00D40EDE">
        <w:rPr>
          <w:rStyle w:val="StyleStyleBold12pt"/>
        </w:rPr>
        <w:t>French 5 –</w:t>
      </w:r>
      <w:r>
        <w:t xml:space="preserve"> Bradley T. French, JD Candidate at University of Detroit Mercy School of Law, “FREEDOM OF INFORMATION ACT - Public Body - The MHSAA is Not a "Public Body" as Defined by Section 15.232(d) of Michigan Compiled Laws and Therefore is Not Subject to the Freedom of Information Act's Disclosure Requirements. Breighner v. Michigan High School Athletic Ass'n, Inc., 683 N.W.2d 639 (Mich. 2004)”, University of Detroit Mercy Law Review, Fall, 83 U. Det. Mercy L. Rev. 19, Lexis</w:t>
      </w:r>
    </w:p>
    <w:p w14:paraId="6D7A772F" w14:textId="77777777" w:rsidR="00692732" w:rsidRDefault="00692732" w:rsidP="00692732">
      <w:r>
        <w:t xml:space="preserve">In Breighner, the court examined three parts of the plaintiff's claim that the MHSAA is a state actor. n17 First, it adopted the reasoning of the court of appeals, holding that the MHSAA was not funded by state authority. n18 This court expressly denied the trial court's interpretation of the statutory language, holding that the MHSAA was neither funded "by" nor "through" state authority. n19 </w:t>
      </w:r>
      <w:r w:rsidRPr="00D40EDE">
        <w:rPr>
          <w:rStyle w:val="StyleBoldUnderline"/>
        </w:rPr>
        <w:t>The court</w:t>
      </w:r>
      <w:r>
        <w:t xml:space="preserve"> next </w:t>
      </w:r>
      <w:r w:rsidRPr="00D40EDE">
        <w:rPr>
          <w:rStyle w:val="StyleBoldUnderline"/>
        </w:rPr>
        <w:t xml:space="preserve">turned to the term "funded," and because it was not defined in the statute, the term must be given its </w:t>
      </w:r>
      <w:r w:rsidRPr="00D40EDE">
        <w:rPr>
          <w:rStyle w:val="Emphasis"/>
        </w:rPr>
        <w:t>plain meaning</w:t>
      </w:r>
      <w:r>
        <w:t xml:space="preserve">. n20 The court then held that </w:t>
      </w:r>
      <w:r w:rsidRPr="00D40EDE">
        <w:rPr>
          <w:rStyle w:val="StyleBoldUnderline"/>
        </w:rPr>
        <w:t xml:space="preserve">the plain meaning of the term "funded" </w:t>
      </w:r>
      <w:r w:rsidRPr="00D40EDE">
        <w:rPr>
          <w:rStyle w:val="Emphasis"/>
        </w:rPr>
        <w:t>meant more than plain receipt of money</w:t>
      </w:r>
      <w:r w:rsidRPr="00D40EDE">
        <w:rPr>
          <w:rStyle w:val="StyleBoldUnderline"/>
        </w:rPr>
        <w:t xml:space="preserve"> in exchange for services by examining its definition and those of synonymous words such as "subsidized."</w:t>
      </w:r>
      <w:r>
        <w:t xml:space="preserve"> n21</w:t>
      </w:r>
    </w:p>
    <w:p w14:paraId="0E3B3C2A" w14:textId="77777777" w:rsidR="00692732" w:rsidRDefault="00692732" w:rsidP="00692732">
      <w:r>
        <w:t>[FOOTNOTE 21]</w:t>
      </w:r>
    </w:p>
    <w:p w14:paraId="117FD4ED" w14:textId="77777777" w:rsidR="00692732" w:rsidRDefault="00692732" w:rsidP="00692732">
      <w:r>
        <w:t xml:space="preserve">n21. Breighner, 683 N.W.2d at 645 n.2 (concluding that </w:t>
      </w:r>
      <w:r w:rsidRPr="00D40EDE">
        <w:rPr>
          <w:rStyle w:val="StyleBoldUnderline"/>
        </w:rPr>
        <w:t>to "fund"</w:t>
      </w:r>
      <w:r>
        <w:t xml:space="preserve"> under this statute </w:t>
      </w:r>
      <w:r w:rsidRPr="00D40EDE">
        <w:rPr>
          <w:rStyle w:val="StyleBoldUnderline"/>
        </w:rPr>
        <w:t xml:space="preserve">required some type of receipt of an allocation of government resources </w:t>
      </w:r>
      <w:r w:rsidRPr="00D40EDE">
        <w:rPr>
          <w:rStyle w:val="Emphasis"/>
        </w:rPr>
        <w:t>or</w:t>
      </w:r>
      <w:r w:rsidRPr="00D40EDE">
        <w:rPr>
          <w:rStyle w:val="StyleBoldUnderline"/>
        </w:rPr>
        <w:t xml:space="preserve"> subsidization</w:t>
      </w:r>
      <w:r>
        <w:t>).</w:t>
      </w:r>
    </w:p>
    <w:p w14:paraId="18EDF073" w14:textId="77777777" w:rsidR="00692732" w:rsidRDefault="00692732" w:rsidP="00692732"/>
    <w:p w14:paraId="6E11933E" w14:textId="77777777" w:rsidR="00FE20A6" w:rsidRDefault="00FE20A6" w:rsidP="00E036EA">
      <w:pPr>
        <w:rPr>
          <w:sz w:val="16"/>
        </w:rPr>
      </w:pPr>
    </w:p>
    <w:p w14:paraId="1B731909" w14:textId="77777777" w:rsidR="00FE20A6" w:rsidRPr="005015BA" w:rsidRDefault="00FE20A6" w:rsidP="00FE20A6">
      <w:pPr>
        <w:pStyle w:val="Heading4"/>
      </w:pPr>
      <w:r w:rsidRPr="005015BA">
        <w:t>Funding is from DoE</w:t>
      </w:r>
      <w:r>
        <w:t>D</w:t>
      </w:r>
      <w:r w:rsidRPr="005015BA">
        <w:t xml:space="preserve"> – includes school vouchers, charter and district schools, teacher prep, after school, and career education</w:t>
      </w:r>
    </w:p>
    <w:p w14:paraId="299427AB" w14:textId="77777777" w:rsidR="00FE20A6" w:rsidRPr="005015BA" w:rsidRDefault="00FE20A6" w:rsidP="00FE20A6">
      <w:pPr>
        <w:rPr>
          <w:rStyle w:val="StyleStyleBold12pt"/>
          <w:b w:val="0"/>
        </w:rPr>
      </w:pPr>
      <w:r>
        <w:rPr>
          <w:rStyle w:val="StyleStyleBold12pt"/>
        </w:rPr>
        <w:t>Zinshteyn</w:t>
      </w:r>
      <w:r w:rsidRPr="005015BA">
        <w:rPr>
          <w:rStyle w:val="StyleStyleBold12pt"/>
        </w:rPr>
        <w:t xml:space="preserve"> 17</w:t>
      </w:r>
      <w:r w:rsidRPr="005015BA">
        <w:rPr>
          <w:rStyle w:val="StyleStyleBold12pt"/>
          <w:b w:val="0"/>
        </w:rPr>
        <w:t xml:space="preserve"> </w:t>
      </w:r>
      <w:r w:rsidRPr="005015BA">
        <w:rPr>
          <w:rStyle w:val="StyleStyleBold12pt"/>
          <w:b w:val="0"/>
          <w:sz w:val="20"/>
        </w:rPr>
        <w:t>(Mikhail, Masters LSE and reporter on charter schools in CA at EdSource, “</w:t>
      </w:r>
      <w:r w:rsidRPr="005015BA">
        <w:rPr>
          <w:bCs/>
          <w:sz w:val="20"/>
        </w:rPr>
        <w:t xml:space="preserve">California would lose $400 million in federal K-12 education funding under Trump budget”, EdSource, </w:t>
      </w:r>
      <w:hyperlink r:id="rId28" w:history="1">
        <w:r w:rsidRPr="005015BA">
          <w:rPr>
            <w:rStyle w:val="Hyperlink"/>
            <w:sz w:val="20"/>
          </w:rPr>
          <w:t>https://edsource.org/2017/california-would-lose-400-million-in-federal-k-12-education-funding-under-trump-budget/582370</w:t>
        </w:r>
      </w:hyperlink>
      <w:r w:rsidRPr="005015BA">
        <w:rPr>
          <w:bCs/>
          <w:sz w:val="20"/>
        </w:rPr>
        <w:t>) AB</w:t>
      </w:r>
    </w:p>
    <w:p w14:paraId="33C283D8" w14:textId="77777777" w:rsidR="00FE20A6" w:rsidRPr="00022172" w:rsidRDefault="00FE20A6" w:rsidP="00FE20A6">
      <w:pPr>
        <w:rPr>
          <w:bCs/>
          <w:sz w:val="16"/>
        </w:rPr>
      </w:pPr>
      <w:r w:rsidRPr="005015BA">
        <w:rPr>
          <w:bCs/>
          <w:sz w:val="16"/>
        </w:rPr>
        <w:t xml:space="preserve">Presidential budgets typically serve as wish lists, and it is far from clear what parts of the document released Tuesday will be enacted by Congress. But the document provides important insights into President Donald Trump’s education agenda, and where his priorities lie. The proposed budget is </w:t>
      </w:r>
      <w:hyperlink r:id="rId29" w:history="1">
        <w:r w:rsidRPr="005015BA">
          <w:rPr>
            <w:rStyle w:val="Hyperlink"/>
            <w:sz w:val="16"/>
          </w:rPr>
          <w:t>similar to the blueprint</w:t>
        </w:r>
      </w:hyperlink>
      <w:r w:rsidRPr="005015BA">
        <w:rPr>
          <w:bCs/>
          <w:sz w:val="16"/>
        </w:rPr>
        <w:t xml:space="preserve"> released by the White House in March. In both proposals, </w:t>
      </w:r>
      <w:r w:rsidRPr="005015BA">
        <w:rPr>
          <w:b/>
          <w:bCs/>
          <w:u w:val="single"/>
        </w:rPr>
        <w:t>the U.S. Department of Education, which funds much of the K-12 and higher education programs nationally, would be downsized by more than 13 percent, from roughly $68 billion to about $59 billion.</w:t>
      </w:r>
      <w:r w:rsidRPr="005015BA">
        <w:rPr>
          <w:bCs/>
          <w:sz w:val="16"/>
        </w:rPr>
        <w:t xml:space="preserve"> Higher education programs, including student loan programs, would also be trimmed. </w:t>
      </w:r>
      <w:r w:rsidRPr="005015BA">
        <w:rPr>
          <w:b/>
          <w:bCs/>
          <w:u w:val="single"/>
        </w:rPr>
        <w:t xml:space="preserve">Gone would be $2.1 billion the </w:t>
      </w:r>
      <w:r w:rsidRPr="005015BA">
        <w:rPr>
          <w:rStyle w:val="Emphasis"/>
        </w:rPr>
        <w:t>government spends on teacher preparation</w:t>
      </w:r>
      <w:r w:rsidRPr="005015BA">
        <w:rPr>
          <w:b/>
          <w:bCs/>
          <w:u w:val="single"/>
        </w:rPr>
        <w:t xml:space="preserve"> under the Supporting Effective Instruction State Grants program</w:t>
      </w:r>
      <w:r w:rsidRPr="005015BA">
        <w:rPr>
          <w:bCs/>
          <w:sz w:val="16"/>
        </w:rPr>
        <w:t>. Also on the chopping block is $1.2 billion for after-school programs across the country — the 21st Century Community Learning Centers</w:t>
      </w:r>
      <w:r w:rsidRPr="005015BA">
        <w:rPr>
          <w:b/>
          <w:bCs/>
          <w:u w:val="single"/>
        </w:rPr>
        <w:t xml:space="preserve">. </w:t>
      </w:r>
      <w:r>
        <w:fldChar w:fldCharType="begin"/>
      </w:r>
      <w:r>
        <w:instrText xml:space="preserve"> HYPERLINK "https://www.scribd.com/document/349267777/funds-for-state-formula-allocated-and-selected-student-aid-programs" \t "_blank" </w:instrText>
      </w:r>
      <w:r>
        <w:fldChar w:fldCharType="separate"/>
      </w:r>
      <w:r w:rsidRPr="005015BA">
        <w:rPr>
          <w:rStyle w:val="Hyperlink"/>
        </w:rPr>
        <w:t>In 2015-16 California received</w:t>
      </w:r>
      <w:r>
        <w:rPr>
          <w:rStyle w:val="Hyperlink"/>
        </w:rPr>
        <w:fldChar w:fldCharType="end"/>
      </w:r>
      <w:r w:rsidRPr="005015BA">
        <w:rPr>
          <w:b/>
          <w:bCs/>
          <w:u w:val="single"/>
        </w:rPr>
        <w:t xml:space="preserve"> $249 million for teacher preparation programs, and $132 million for </w:t>
      </w:r>
      <w:r w:rsidRPr="005015BA">
        <w:rPr>
          <w:rStyle w:val="Emphasis"/>
        </w:rPr>
        <w:t>after school programs</w:t>
      </w:r>
      <w:r w:rsidRPr="005015BA">
        <w:rPr>
          <w:b/>
          <w:bCs/>
          <w:u w:val="single"/>
        </w:rPr>
        <w:t>.</w:t>
      </w:r>
      <w:r w:rsidRPr="005015BA">
        <w:rPr>
          <w:bCs/>
          <w:sz w:val="16"/>
        </w:rPr>
        <w:t xml:space="preserve"> California’s State Superintendent of Public Instruction Tom Torlakson blasted the budget’s education proposals. “I give this budget an ‘F’ grade for failing public school students in California and across the nation,” he said. Trump’s budget seeks to eliminate $3.6 trillion in total federal spending in the next decade. In explaining the cuts, Mick Mulvaney, the director of the White House Office of Management and Budget, said, “Compassion needs to be on both sides of that equation. Yes, you have to have compassion for folks who are receiving the federal funds, but also you have to have compassion for the folks who are paying it. And that is one of the things that is new about this president’s budget.” California Gov. Jerry Brown criticized the overall budget. “It gives a massive tax break to the wealthiest, while imposing painful and debilitating burdens on tens of millions of decent and hard-working people. It’s unconscionable and un-American,” he said. While proposing cuts to several education programs, the White House is also seeking to ramp up support for charter schools and to underwrite tuition for K-12 private schools using taxpayer funds. The budget plan allocates $1.4 billion for “school choice” initiatives. This includes an extra $150 million, above the current level of $333 million, to help charter schools get started, and to “replicate and expand” existing high-quality charter schools. </w:t>
      </w:r>
      <w:r w:rsidRPr="005015BA">
        <w:rPr>
          <w:b/>
          <w:bCs/>
          <w:u w:val="single"/>
        </w:rPr>
        <w:t xml:space="preserve">It also calls for an additional $250 million to provide scholarships to students from low income families to attend private schools of their choosing. </w:t>
      </w:r>
      <w:r w:rsidRPr="005015BA">
        <w:rPr>
          <w:rStyle w:val="Emphasis"/>
        </w:rPr>
        <w:t>These programs are often referred to as vouchers</w:t>
      </w:r>
      <w:r w:rsidRPr="005015BA">
        <w:rPr>
          <w:b/>
          <w:bCs/>
          <w:u w:val="single"/>
        </w:rPr>
        <w:t xml:space="preserve">, although they can be funded in a variety of ways. </w:t>
      </w:r>
      <w:r w:rsidRPr="005015BA">
        <w:rPr>
          <w:bCs/>
          <w:sz w:val="16"/>
        </w:rPr>
        <w:t xml:space="preserve">Despite the funding increase Trump is seeking for charter schools, the California Charter Schools Association took issue with the much larger cuts he is proposing to make to numerous other education programs. “We are concerned by the deep cuts included in the proposed FY 2018 budget released today by the federal government, including $54 billion in overall cuts to non-defense discretionary spending, of which $9 billion would come from the Department of Education,” said Emily Bertelli, a spokesperson for the association. “Sustaining charter schools and all public schools requires great investments at all levels,” she said. </w:t>
      </w:r>
      <w:r w:rsidRPr="005015BA">
        <w:rPr>
          <w:b/>
          <w:bCs/>
          <w:u w:val="single"/>
        </w:rPr>
        <w:t xml:space="preserve">“We call on Congress to sustain and increase its overall investment in public education funding to meet the needs of all public-school students, </w:t>
      </w:r>
      <w:r w:rsidRPr="005015BA">
        <w:rPr>
          <w:rStyle w:val="Emphasis"/>
        </w:rPr>
        <w:t>including charter and district school students</w:t>
      </w:r>
      <w:r w:rsidRPr="005015BA">
        <w:rPr>
          <w:b/>
          <w:bCs/>
          <w:u w:val="single"/>
        </w:rPr>
        <w:t>.”</w:t>
      </w:r>
      <w:r w:rsidRPr="005015BA">
        <w:rPr>
          <w:bCs/>
          <w:sz w:val="16"/>
        </w:rPr>
        <w:t xml:space="preserve"> Torlakson alluded to the fact that California voters have twice rejected private school voucher initiatives, in 1993 and 2000. “Vouchers are unpopular in California,” Torlakson said. “They take critical resources away from our public schools.” Some local school leaders also took issue with the proposed budget. Nick Melvoin, who last week defeated Los Angeles Unified board president Steve Zimmer in a runoff election, said that “the Trump budget is nothing short of an assault on our kids.” “</w:t>
      </w:r>
      <w:r w:rsidRPr="005015BA">
        <w:rPr>
          <w:b/>
          <w:bCs/>
          <w:u w:val="single"/>
        </w:rPr>
        <w:t xml:space="preserve">The cuts to worthwhile initiatives, including after school programs, </w:t>
      </w:r>
      <w:r w:rsidRPr="005015BA">
        <w:rPr>
          <w:rStyle w:val="Emphasis"/>
        </w:rPr>
        <w:t>career and technical education</w:t>
      </w:r>
      <w:r w:rsidRPr="005015BA">
        <w:rPr>
          <w:b/>
          <w:bCs/>
          <w:u w:val="single"/>
        </w:rPr>
        <w:t>, and mental health support, will only limit educational opportunities for families in Los Angeles and across the country,”</w:t>
      </w:r>
      <w:r w:rsidRPr="005015BA">
        <w:rPr>
          <w:bCs/>
          <w:sz w:val="16"/>
        </w:rPr>
        <w:t xml:space="preserve"> he said. He also called voucher programs“ineffective” and “harmful.”</w:t>
      </w:r>
    </w:p>
    <w:p w14:paraId="6AA81C6F" w14:textId="77777777" w:rsidR="00FE20A6" w:rsidRPr="005015BA" w:rsidRDefault="00FE20A6" w:rsidP="00FE20A6">
      <w:pPr>
        <w:pStyle w:val="Heading4"/>
      </w:pPr>
      <w:r w:rsidRPr="005015BA">
        <w:t>Federal funding goes out to charter, vocational, and public schools</w:t>
      </w:r>
    </w:p>
    <w:p w14:paraId="4E57D019" w14:textId="77777777" w:rsidR="00FE20A6" w:rsidRPr="005015BA" w:rsidRDefault="00FE20A6" w:rsidP="00FE20A6">
      <w:r w:rsidRPr="005015BA">
        <w:rPr>
          <w:rStyle w:val="StyleStyleBold12pt"/>
        </w:rPr>
        <w:t>EWA ND</w:t>
      </w:r>
      <w:r w:rsidRPr="005015BA">
        <w:t xml:space="preserve"> [Education Writers Association, informing people on education news and policies, no date; http://www.ewa.org/federal-k-12-funding]</w:t>
      </w:r>
    </w:p>
    <w:p w14:paraId="19D74000" w14:textId="77777777" w:rsidR="00FE20A6" w:rsidRDefault="00FE20A6" w:rsidP="00FE20A6">
      <w:r w:rsidRPr="005015BA">
        <w:t xml:space="preserve">Title I and special education aren’t the only sources of federal funding that go out to districts. </w:t>
      </w:r>
      <w:r w:rsidRPr="005015BA">
        <w:rPr>
          <w:rStyle w:val="StyleBoldUnderline"/>
        </w:rPr>
        <w:t>Schools also rely on the $1 billion Carl D. Perkins Career and Technical Education program</w:t>
      </w:r>
      <w:r w:rsidRPr="005015BA">
        <w:t xml:space="preserve"> – the biggest federal program for high schools – </w:t>
      </w:r>
      <w:r w:rsidRPr="005015BA">
        <w:rPr>
          <w:rStyle w:val="StyleBoldUnderline"/>
        </w:rPr>
        <w:t>which helps districts offer vocational programs</w:t>
      </w:r>
      <w:r w:rsidRPr="005015BA">
        <w:t xml:space="preserve">. </w:t>
      </w:r>
      <w:r w:rsidRPr="005015BA">
        <w:rPr>
          <w:rStyle w:val="StyleBoldUnderline"/>
        </w:rPr>
        <w:t>The federal government also directs roughly $2.5 billion to the Improving Teacher Quality state grant program, which goes out to states by a formula. Schools use that money to reduce class size or provide professional development, or for more innovative programs, such as offering mentors to novice teachers.</w:t>
      </w:r>
      <w:r w:rsidRPr="005015BA">
        <w:t xml:space="preserve"> For more, see President Obama’s most recent budget request. And there are a myriad of smaller, more targeted programs in the U.S. Department of Education tailored to specific goals such as turning around low-performing schools, or improving outcomes for English-language learners.</w:t>
      </w:r>
    </w:p>
    <w:p w14:paraId="531F6EBB" w14:textId="77777777" w:rsidR="00754D3A" w:rsidRDefault="00754D3A" w:rsidP="00754D3A">
      <w:pPr>
        <w:pStyle w:val="Heading3"/>
      </w:pPr>
      <w:r>
        <w:t>Funding = Conditional</w:t>
      </w:r>
    </w:p>
    <w:p w14:paraId="77E7CC54" w14:textId="77777777" w:rsidR="00754D3A" w:rsidRDefault="00754D3A" w:rsidP="00754D3A"/>
    <w:p w14:paraId="1296AEE6" w14:textId="77777777" w:rsidR="00754D3A" w:rsidRDefault="00754D3A" w:rsidP="00754D3A">
      <w:pPr>
        <w:pStyle w:val="Heading4"/>
      </w:pPr>
      <w:r>
        <w:t>Education funding includes grants, loans, investment and can be conditioned</w:t>
      </w:r>
    </w:p>
    <w:p w14:paraId="39C0751D" w14:textId="77777777" w:rsidR="00754D3A" w:rsidRPr="004A6360" w:rsidRDefault="00754D3A" w:rsidP="00754D3A">
      <w:r w:rsidRPr="004A6360">
        <w:rPr>
          <w:b/>
        </w:rPr>
        <w:t>McKenzie, 1</w:t>
      </w:r>
      <w:r>
        <w:t xml:space="preserve"> – sociologist (</w:t>
      </w:r>
      <w:r w:rsidRPr="004A6360">
        <w:t>J</w:t>
      </w:r>
      <w:r>
        <w:t>anet</w:t>
      </w:r>
      <w:r w:rsidRPr="004A6360">
        <w:t xml:space="preserve">, </w:t>
      </w:r>
      <w:r w:rsidRPr="004A6360">
        <w:rPr>
          <w:u w:val="single"/>
        </w:rPr>
        <w:t>Changing Education: A Sociology of Education Since 1944</w:t>
      </w:r>
      <w:r w:rsidRPr="004A6360">
        <w:t>, p. 74-76 google books)</w:t>
      </w:r>
    </w:p>
    <w:p w14:paraId="27599EEC" w14:textId="77777777" w:rsidR="00754D3A" w:rsidRDefault="00754D3A" w:rsidP="00754D3A"/>
    <w:p w14:paraId="34327EDB" w14:textId="77777777" w:rsidR="00754D3A" w:rsidRDefault="00754D3A" w:rsidP="00754D3A">
      <w:r>
        <w:t xml:space="preserve">Roger Dale showed how </w:t>
      </w:r>
      <w:r w:rsidRPr="00623742">
        <w:rPr>
          <w:rStyle w:val="StyleBoldUnderline"/>
        </w:rPr>
        <w:t>we may study the governance and regulation of education</w:t>
      </w:r>
      <w:r>
        <w:t xml:space="preserve"> via a simple analytical model in which he considered regulation as one area of governance activities (see Figure 4.2). This table allows us to identify and analyse influences on the governance of education </w:t>
      </w:r>
      <w:r w:rsidRPr="00623742">
        <w:rPr>
          <w:rStyle w:val="StyleBoldUnderline"/>
        </w:rPr>
        <w:t>by splitting governance activities into funding, regulation and provision/delivery</w:t>
      </w:r>
      <w:r>
        <w:t>, and splitting coordinating institutions into the state, market and community. It allows us to see how each may differ from system to system.</w:t>
      </w:r>
    </w:p>
    <w:p w14:paraId="1039571A" w14:textId="77777777" w:rsidR="00754D3A" w:rsidRDefault="00754D3A" w:rsidP="00754D3A">
      <w:r w:rsidRPr="004A6360">
        <w:rPr>
          <w:rStyle w:val="StyleBoldUnderline"/>
        </w:rPr>
        <w:t>Funding may</w:t>
      </w:r>
      <w:r>
        <w:t xml:space="preserve"> take many forms and Dale lists some common features. It may </w:t>
      </w:r>
      <w:r w:rsidRPr="004A6360">
        <w:rPr>
          <w:rStyle w:val="StyleBoldUnderline"/>
        </w:rPr>
        <w:t>be</w:t>
      </w:r>
    </w:p>
    <w:p w14:paraId="02CF3520" w14:textId="77777777" w:rsidR="00754D3A" w:rsidRDefault="00754D3A" w:rsidP="00754D3A">
      <w:r>
        <w:t>•</w:t>
      </w:r>
      <w:r>
        <w:tab/>
        <w:t>directed to organizations, individuals or both;</w:t>
      </w:r>
    </w:p>
    <w:p w14:paraId="6235B456" w14:textId="77777777" w:rsidR="00754D3A" w:rsidRDefault="00754D3A" w:rsidP="00754D3A">
      <w:r>
        <w:t>•</w:t>
      </w:r>
      <w:r>
        <w:tab/>
        <w:t xml:space="preserve">available to members of, and/or organizations within a given population or </w:t>
      </w:r>
      <w:r w:rsidRPr="004A6360">
        <w:rPr>
          <w:rStyle w:val="StyleBoldUnderline"/>
        </w:rPr>
        <w:t>targeted at particular groups or individuals</w:t>
      </w:r>
      <w:r>
        <w:t>;</w:t>
      </w:r>
    </w:p>
    <w:p w14:paraId="41542B6D" w14:textId="77777777" w:rsidR="00754D3A" w:rsidRDefault="00754D3A" w:rsidP="00754D3A">
      <w:r>
        <w:t>•</w:t>
      </w:r>
      <w:r>
        <w:tab/>
      </w:r>
      <w:r w:rsidRPr="004A6360">
        <w:rPr>
          <w:rStyle w:val="StyleBoldUnderline"/>
        </w:rPr>
        <w:t>subject to conditions</w:t>
      </w:r>
      <w:r>
        <w:t>;</w:t>
      </w:r>
    </w:p>
    <w:p w14:paraId="5512B975" w14:textId="77777777" w:rsidR="00754D3A" w:rsidRDefault="00754D3A" w:rsidP="00754D3A">
      <w:r>
        <w:t>•</w:t>
      </w:r>
      <w:r>
        <w:tab/>
      </w:r>
      <w:r w:rsidRPr="004A6360">
        <w:rPr>
          <w:rStyle w:val="StyleBoldUnderline"/>
        </w:rPr>
        <w:t>available only on a competitive basis;</w:t>
      </w:r>
    </w:p>
    <w:p w14:paraId="4A619492" w14:textId="77777777" w:rsidR="00754D3A" w:rsidRDefault="00754D3A" w:rsidP="00754D3A">
      <w:r>
        <w:t>•</w:t>
      </w:r>
      <w:r>
        <w:tab/>
      </w:r>
      <w:r w:rsidRPr="004A6360">
        <w:rPr>
          <w:rStyle w:val="StyleBoldUnderline"/>
        </w:rPr>
        <w:t>in the form of grants, loans, investment or</w:t>
      </w:r>
      <w:r>
        <w:rPr>
          <w:rStyle w:val="StyleBoldUnderline"/>
        </w:rPr>
        <w:t xml:space="preserve"> </w:t>
      </w:r>
      <w:r w:rsidRPr="004A6360">
        <w:rPr>
          <w:rStyle w:val="StyleBoldUnderline"/>
        </w:rPr>
        <w:t>subsidy</w:t>
      </w:r>
      <w:r>
        <w:t>.</w:t>
      </w:r>
    </w:p>
    <w:p w14:paraId="1C8D816E" w14:textId="77777777" w:rsidR="00754D3A" w:rsidRDefault="00754D3A" w:rsidP="00754D3A">
      <w:r>
        <w:t>The only method of state funding is through taxation and the state may try to reduce public expenditure on education in order to reduce taxation. Market funding can involve the provision of private (non-maintained) schools, supported by fees paid by parents, but also including some state subsidies and community funds (for example, from religious or voluntary organizations). Community funding involves funding from, and to, identifiable groups (such as religious or voluntary organizations) which decide how to allocate them. In the UK all three types of funding have been influenced by the state-induced proliferation of 'non-state' funding of education, whereby user fees have grown as a proportion of educational funding in 'state' schools as well as in private schools.</w:t>
      </w:r>
    </w:p>
    <w:p w14:paraId="26EC5256" w14:textId="77777777" w:rsidR="00754D3A" w:rsidRDefault="00754D3A" w:rsidP="00FE20A6"/>
    <w:p w14:paraId="7ED744FA" w14:textId="60EC7AA9" w:rsidR="00754D3A" w:rsidRDefault="00754D3A" w:rsidP="00754D3A">
      <w:pPr>
        <w:pStyle w:val="Heading3"/>
      </w:pPr>
      <w:r>
        <w:t>Funding = Broad</w:t>
      </w:r>
    </w:p>
    <w:p w14:paraId="643BFF17" w14:textId="77777777" w:rsidR="00FE20A6" w:rsidRPr="005015BA" w:rsidRDefault="00FE20A6" w:rsidP="00FE20A6">
      <w:pPr>
        <w:pStyle w:val="Heading4"/>
      </w:pPr>
      <w:r w:rsidRPr="005015BA">
        <w:t>“Funding” is a broad term that includes all money and financial resources given---attempting to arbitrarily limit it wrecks predictability</w:t>
      </w:r>
    </w:p>
    <w:p w14:paraId="6CB5EF31" w14:textId="77777777" w:rsidR="00FE20A6" w:rsidRPr="005015BA" w:rsidRDefault="00FE20A6" w:rsidP="00FE20A6">
      <w:r w:rsidRPr="005015BA">
        <w:rPr>
          <w:rStyle w:val="StyleStyleBold12pt"/>
        </w:rPr>
        <w:t>Casper 17 –</w:t>
      </w:r>
      <w:r w:rsidRPr="005015BA">
        <w:t xml:space="preserve"> Denise J. Casper, United States District Judge, “TERUMO AMERICAS HOLDING, INC. V. TURESKI”, Civil Action No. 14-13838-DJC (D. Mass. May. 1, 2017), https://casetext.com/case/terumo-americas-holding-inc-v-tureski-1</w:t>
      </w:r>
    </w:p>
    <w:p w14:paraId="22B886A6" w14:textId="53B6B927" w:rsidR="00FE20A6" w:rsidRPr="00FE20A6" w:rsidRDefault="00FE20A6" w:rsidP="00FE20A6">
      <w:pPr>
        <w:rPr>
          <w:sz w:val="16"/>
        </w:rPr>
      </w:pPr>
      <w:r w:rsidRPr="005015BA">
        <w:rPr>
          <w:rStyle w:val="TitleChar"/>
        </w:rPr>
        <w:t>The term "funding"</w:t>
      </w:r>
      <w:r w:rsidRPr="00FE20A6">
        <w:rPr>
          <w:sz w:val="16"/>
        </w:rPr>
        <w:t xml:space="preserve"> as used in Section 1.6—or otherwise—</w:t>
      </w:r>
      <w:r w:rsidRPr="005015BA">
        <w:rPr>
          <w:rStyle w:val="TitleChar"/>
        </w:rPr>
        <w:t xml:space="preserve">is not defined in the Agreement. "Under </w:t>
      </w:r>
      <w:r w:rsidRPr="005015BA">
        <w:rPr>
          <w:rStyle w:val="Emphasis"/>
        </w:rPr>
        <w:t>well-settled case law</w:t>
      </w:r>
      <w:r w:rsidRPr="00FE20A6">
        <w:rPr>
          <w:sz w:val="16"/>
        </w:rPr>
        <w:t xml:space="preserve">, Delaware </w:t>
      </w:r>
      <w:r w:rsidRPr="005015BA">
        <w:rPr>
          <w:rStyle w:val="TitleChar"/>
        </w:rPr>
        <w:t>courts look to dictionaries for assistance in determining the plain meaning of terms which are not defined</w:t>
      </w:r>
      <w:r w:rsidRPr="00FE20A6">
        <w:rPr>
          <w:sz w:val="16"/>
        </w:rPr>
        <w:t xml:space="preserve"> in a contract." Lorillard Tobacco Co. v. Am. Legacy Found., 903 A.2d 728, 738 (Del. 2006). "This is </w:t>
      </w:r>
      <w:r w:rsidRPr="005015BA">
        <w:rPr>
          <w:rStyle w:val="TitleChar"/>
        </w:rPr>
        <w:t xml:space="preserve">because dictionaries are the </w:t>
      </w:r>
      <w:r w:rsidRPr="005015BA">
        <w:rPr>
          <w:rStyle w:val="Emphasis"/>
        </w:rPr>
        <w:t>customary reference source</w:t>
      </w:r>
      <w:r w:rsidRPr="005015BA">
        <w:rPr>
          <w:rStyle w:val="TitleChar"/>
        </w:rPr>
        <w:t xml:space="preserve"> that a reasonable person</w:t>
      </w:r>
      <w:r w:rsidRPr="00FE20A6">
        <w:rPr>
          <w:sz w:val="16"/>
        </w:rPr>
        <w:t xml:space="preserve"> in the position of a party to a contract </w:t>
      </w:r>
      <w:r w:rsidRPr="005015BA">
        <w:rPr>
          <w:rStyle w:val="TitleChar"/>
        </w:rPr>
        <w:t xml:space="preserve">would use to ascertain the </w:t>
      </w:r>
      <w:r w:rsidRPr="005015BA">
        <w:rPr>
          <w:rStyle w:val="Emphasis"/>
        </w:rPr>
        <w:t>ordinary meaning</w:t>
      </w:r>
      <w:r w:rsidRPr="00FE20A6">
        <w:rPr>
          <w:sz w:val="16"/>
        </w:rPr>
        <w:t xml:space="preserve"> of words not defined in the contract." Id. "There may be more than one dictionary definition, and parties may disagree on the meaning of the definition as applied to their case, but if merely applying a definition in the dictionary suffices to create ambiguity, no term would be unambiguous." Id. at 740 (internal quotation marks and citation omitted). Neither party asserts that "funding" has a "'gloss' in the [relevant] industry" and thus under Delaware law </w:t>
      </w:r>
      <w:r w:rsidRPr="005015BA">
        <w:rPr>
          <w:rStyle w:val="TitleChar"/>
        </w:rPr>
        <w:t xml:space="preserve">the term "should be construed in accordance with its </w:t>
      </w:r>
      <w:r w:rsidRPr="005015BA">
        <w:rPr>
          <w:rStyle w:val="Emphasis"/>
        </w:rPr>
        <w:t>ordinary dictionary meaning</w:t>
      </w:r>
      <w:r w:rsidRPr="005015BA">
        <w:rPr>
          <w:rStyle w:val="TitleChar"/>
        </w:rPr>
        <w:t>."</w:t>
      </w:r>
      <w:r w:rsidRPr="00FE20A6">
        <w:rPr>
          <w:sz w:val="16"/>
        </w:rPr>
        <w:t xml:space="preserve"> See Lorillard Tobacco Co., 903 A.2d at 740 (internal quotation mark and citation omitted). While Tureski argues that he and "others were well aware, through personal experience and general industry knowledge, that the total all-inclusive costs for a clinical trial from start to completion was typically tens (or even hundreds) of millions of dollars," D. 140 at 17-18, this does indicate that the term "funding," as used in the Agreement, has a specific meaning in the industry. </w:t>
      </w:r>
      <w:r w:rsidRPr="005015BA">
        <w:rPr>
          <w:rStyle w:val="TitleChar"/>
        </w:rPr>
        <w:t>According to Black's Law</w:t>
      </w:r>
      <w:r w:rsidRPr="00FE20A6">
        <w:rPr>
          <w:sz w:val="16"/>
        </w:rPr>
        <w:t xml:space="preserve"> Dictionary, </w:t>
      </w:r>
      <w:r w:rsidRPr="005015BA">
        <w:rPr>
          <w:rStyle w:val="TitleChar"/>
        </w:rPr>
        <w:t>funding is defined a</w:t>
      </w:r>
      <w:r w:rsidRPr="00FE20A6">
        <w:rPr>
          <w:sz w:val="16"/>
        </w:rPr>
        <w:t xml:space="preserve">s "3. </w:t>
      </w:r>
      <w:r w:rsidRPr="005015BA">
        <w:rPr>
          <w:rStyle w:val="TitleChar"/>
        </w:rPr>
        <w:t xml:space="preserve">The provision or allocation of </w:t>
      </w:r>
      <w:r w:rsidRPr="005015BA">
        <w:rPr>
          <w:rStyle w:val="Emphasis"/>
        </w:rPr>
        <w:t>money</w:t>
      </w:r>
      <w:r w:rsidRPr="005015BA">
        <w:rPr>
          <w:rStyle w:val="TitleChar"/>
        </w:rPr>
        <w:t xml:space="preserve"> for a specific purpose</w:t>
      </w:r>
      <w:r w:rsidRPr="00FE20A6">
        <w:rPr>
          <w:sz w:val="16"/>
        </w:rPr>
        <w:t xml:space="preserve">, such as for a pension plan, by putting the money into a reserve fund or investments" </w:t>
      </w:r>
      <w:r w:rsidRPr="005015BA">
        <w:rPr>
          <w:rStyle w:val="TitleChar"/>
        </w:rPr>
        <w:t>and</w:t>
      </w:r>
      <w:r w:rsidRPr="00FE20A6">
        <w:rPr>
          <w:sz w:val="16"/>
        </w:rPr>
        <w:t xml:space="preserve"> "4. </w:t>
      </w:r>
      <w:r w:rsidRPr="005015BA">
        <w:rPr>
          <w:rStyle w:val="TitleChar"/>
        </w:rPr>
        <w:t xml:space="preserve">The provision of </w:t>
      </w:r>
      <w:r w:rsidRPr="005015BA">
        <w:rPr>
          <w:rStyle w:val="Emphasis"/>
        </w:rPr>
        <w:t>financial resources</w:t>
      </w:r>
      <w:r w:rsidRPr="005015BA">
        <w:rPr>
          <w:rStyle w:val="TitleChar"/>
        </w:rPr>
        <w:t xml:space="preserve"> to finance a particular activity or project</w:t>
      </w:r>
      <w:r w:rsidRPr="00FE20A6">
        <w:rPr>
          <w:sz w:val="16"/>
        </w:rPr>
        <w:t xml:space="preserve">, such as a research study." Funding, Black's Law Dictionary (10th ed. 2014). </w:t>
      </w:r>
      <w:r w:rsidRPr="005015BA">
        <w:rPr>
          <w:rStyle w:val="TitleChar"/>
        </w:rPr>
        <w:t>The Oxford English Dictionary defines funding as</w:t>
      </w:r>
      <w:r w:rsidRPr="00FE20A6">
        <w:rPr>
          <w:sz w:val="16"/>
        </w:rPr>
        <w:t xml:space="preserve"> "1. </w:t>
      </w:r>
      <w:r w:rsidRPr="005015BA">
        <w:rPr>
          <w:rStyle w:val="TitleChar"/>
        </w:rPr>
        <w:t>Money provided</w:t>
      </w:r>
      <w:r w:rsidRPr="00FE20A6">
        <w:rPr>
          <w:sz w:val="16"/>
        </w:rPr>
        <w:t xml:space="preserve">, especially by an organization or government, </w:t>
      </w:r>
      <w:r w:rsidRPr="005015BA">
        <w:rPr>
          <w:rStyle w:val="TitleChar"/>
        </w:rPr>
        <w:t>for a particular purpose</w:t>
      </w:r>
      <w:r w:rsidRPr="00FE20A6">
        <w:rPr>
          <w:sz w:val="16"/>
        </w:rPr>
        <w:t xml:space="preserve">." Funding, Oxford English Dictionary, https://en.oxforddictionaries.com/definition/funding (last accessed on May 1, 2016). The Cambridge American Content Dictionary defines funding as "money made available for a particular purpose," funding, Cambridge American Content Dictionary, http://dictionary.cambridge.org/us/dictionary/english/funding (last accessed on May 1, 2017) </w:t>
      </w:r>
      <w:r w:rsidRPr="005015BA">
        <w:rPr>
          <w:rStyle w:val="TitleChar"/>
        </w:rPr>
        <w:t>and the Cambridge Business English Dictionary defines it to mean "money given by an organization or a government for a particular purpose,"</w:t>
      </w:r>
      <w:r w:rsidRPr="00FE20A6">
        <w:rPr>
          <w:sz w:val="16"/>
        </w:rPr>
        <w:t xml:space="preserve"> funding, Cambridge Business English Dictionary, http://dictionary.cambridge.org/us/dictionary/english/funding (last accessed on May 1, 2017). Likewise, the Business Dictionary, defines funding as "1. Providing financial resources to finance a need, program, or project. In general, this term is used when a firm fills the need for cash from its own internal reserves, and the term 'financing' is used when the need is filled from external or borrowed money." Funding, Business Dictionary, http://www.businessdictionary.com/definition/funding.html (last accessed on May 1, 2017). The Supreme Court has considered and described this source as a "colloquial business authorit[y]." See Vance v. Ball State Univ., ___ U.S. ___, 133 S. Ct. 2434, 2444 &amp; n.5 (2013); see also In re Filene's Basement, No. 11-13511-KJC, 2014 WL 172137, at *5 (Bankr. D. Del. Jan. 15, 2014) (considering the source). </w:t>
      </w:r>
      <w:r w:rsidRPr="005015BA">
        <w:rPr>
          <w:rStyle w:val="TitleChar"/>
        </w:rPr>
        <w:t xml:space="preserve">These </w:t>
      </w:r>
      <w:r w:rsidRPr="005015BA">
        <w:rPr>
          <w:rStyle w:val="Emphasis"/>
        </w:rPr>
        <w:t>broad definitions</w:t>
      </w:r>
      <w:r w:rsidRPr="005015BA">
        <w:rPr>
          <w:rStyle w:val="TitleChar"/>
        </w:rPr>
        <w:t xml:space="preserve"> lead the Court to conclude that an </w:t>
      </w:r>
      <w:r w:rsidRPr="005015BA">
        <w:rPr>
          <w:rStyle w:val="Emphasis"/>
        </w:rPr>
        <w:t>objective, reasonable third party</w:t>
      </w:r>
      <w:r w:rsidRPr="005015BA">
        <w:rPr>
          <w:rStyle w:val="TitleChar"/>
        </w:rPr>
        <w:t xml:space="preserve"> would read the term "funding"</w:t>
      </w:r>
      <w:r w:rsidRPr="00FE20A6">
        <w:rPr>
          <w:sz w:val="16"/>
        </w:rPr>
        <w:t xml:space="preserve"> in the clause "funding for the CLI Development Plan" </w:t>
      </w:r>
      <w:r w:rsidRPr="005015BA">
        <w:rPr>
          <w:rStyle w:val="TitleChar"/>
        </w:rPr>
        <w:t>as including the monies and financial resources</w:t>
      </w:r>
      <w:r w:rsidRPr="00FE20A6">
        <w:rPr>
          <w:sz w:val="16"/>
        </w:rPr>
        <w:t xml:space="preserve"> Terumo expended for, or made in provision of, the CLI Developmental Plan. That is, considering the dictionary definitions of "funding," those monies and financial resources—whether in the form of the salaries of Harvest personnel working full-time on the CLI Pivotal Clinical Trial and their incurred travel and entertainment expenses, or the costs of "external" third parties such as InVentiv and their expenses, see, e.g., D. 127 </w:t>
      </w:r>
      <w:r w:rsidRPr="00FE20A6">
        <w:rPr>
          <w:sz w:val="12"/>
        </w:rPr>
        <w:t>¶¶</w:t>
      </w:r>
      <w:r w:rsidRPr="00FE20A6">
        <w:rPr>
          <w:sz w:val="16"/>
        </w:rPr>
        <w:t xml:space="preserve"> 78-83, 118-22; D. 131 </w:t>
      </w:r>
      <w:r w:rsidRPr="00FE20A6">
        <w:rPr>
          <w:sz w:val="12"/>
        </w:rPr>
        <w:t>¶¶</w:t>
      </w:r>
      <w:r w:rsidRPr="00FE20A6">
        <w:rPr>
          <w:sz w:val="16"/>
        </w:rPr>
        <w:t xml:space="preserve"> 78-83, 118-22—are properly included towards Terumo's $6 million funding obligation as "funding for" the CLI Developmental Plan. </w:t>
      </w:r>
      <w:r w:rsidRPr="005015BA">
        <w:rPr>
          <w:rStyle w:val="TitleChar"/>
        </w:rPr>
        <w:t>Notably, Tureski's proposed interpretation—the</w:t>
      </w:r>
      <w:r w:rsidRPr="00FE20A6">
        <w:rPr>
          <w:sz w:val="16"/>
        </w:rPr>
        <w:t xml:space="preserve"> four </w:t>
      </w:r>
      <w:r w:rsidRPr="005015BA">
        <w:rPr>
          <w:rStyle w:val="TitleChar"/>
        </w:rPr>
        <w:t>categories of funding—is not supported by any of the dictionary definitions and,</w:t>
      </w:r>
      <w:r w:rsidRPr="00FE20A6">
        <w:rPr>
          <w:sz w:val="16"/>
        </w:rPr>
        <w:t xml:space="preserve"> therefore, </w:t>
      </w:r>
      <w:r w:rsidRPr="005015BA">
        <w:rPr>
          <w:rStyle w:val="TitleChar"/>
        </w:rPr>
        <w:t>it is difficult to conclude</w:t>
      </w:r>
      <w:r w:rsidRPr="00FE20A6">
        <w:rPr>
          <w:sz w:val="16"/>
        </w:rPr>
        <w:t xml:space="preserve">, as he urges, </w:t>
      </w:r>
      <w:r w:rsidRPr="005015BA">
        <w:rPr>
          <w:rStyle w:val="TitleChar"/>
        </w:rPr>
        <w:t>that a reasonable third party would not read the term in such a way</w:t>
      </w:r>
      <w:r w:rsidRPr="00FE20A6">
        <w:rPr>
          <w:sz w:val="16"/>
        </w:rPr>
        <w:t xml:space="preserve">. Cf. Seaford Golf &amp; Country Club v. E.I. duPont de Nemours &amp; Co., 925 A.2d 1255, 1261-62 (Del. 2007) (finding term ambiguous where dictionary definitions supported both parties' respective interpretations). Reading the Agreement as a whole, see In re Viking Pump, Inc., 2016 WL 4771312, at *8, Tureski's interpretation of "funding" is also not reasonable given that there is no part of the Agreement that includes or alludes to the four categories of funding he proposes such that an objective third party would not read them into the term. </w:t>
      </w:r>
      <w:r w:rsidRPr="005015BA">
        <w:rPr>
          <w:rStyle w:val="TitleChar"/>
        </w:rPr>
        <w:t>The parties</w:t>
      </w:r>
      <w:r w:rsidRPr="00FE20A6">
        <w:rPr>
          <w:sz w:val="16"/>
        </w:rPr>
        <w:t xml:space="preserve"> otherwise defined the scope or </w:t>
      </w:r>
      <w:r w:rsidRPr="005015BA">
        <w:rPr>
          <w:rStyle w:val="Emphasis"/>
        </w:rPr>
        <w:t>excluded</w:t>
      </w:r>
      <w:r w:rsidRPr="005015BA">
        <w:rPr>
          <w:rStyle w:val="TitleChar"/>
        </w:rPr>
        <w:t xml:space="preserve"> specific costs</w:t>
      </w:r>
      <w:r w:rsidRPr="00FE20A6">
        <w:rPr>
          <w:sz w:val="16"/>
        </w:rPr>
        <w:t xml:space="preserve"> and expenses </w:t>
      </w:r>
      <w:r w:rsidRPr="005015BA">
        <w:rPr>
          <w:rStyle w:val="TitleChar"/>
        </w:rPr>
        <w:t>where certain broad terms are used</w:t>
      </w:r>
      <w:r w:rsidRPr="00FE20A6">
        <w:rPr>
          <w:sz w:val="16"/>
        </w:rPr>
        <w:t xml:space="preserve"> in the Agreement. D. 128-1 (e.g., Sections 1.6(b)(x), 5.7(a), 8.2(a)); 128-2 (e.g., Schedule 3.9 </w:t>
      </w:r>
      <w:r w:rsidRPr="00FE20A6">
        <w:rPr>
          <w:sz w:val="12"/>
        </w:rPr>
        <w:t>¶</w:t>
      </w:r>
      <w:r w:rsidRPr="00FE20A6">
        <w:rPr>
          <w:sz w:val="16"/>
        </w:rPr>
        <w:t xml:space="preserve"> 195); D. 126 at 17-18; see 2009 Caiola Family Trust v. PWA, LLC, No. C.A. 8028-VCP, 2014 WL 1813174, at *11 (Del. Ch. Apr. 30, 2014) (rejecting plaintiff's interpretation of the section at issue where, among other things, it was inconsistent with other sections of the agreement). </w:t>
      </w:r>
      <w:r w:rsidRPr="005015BA">
        <w:rPr>
          <w:rStyle w:val="TitleChar"/>
        </w:rPr>
        <w:t xml:space="preserve">As such, if the parties had </w:t>
      </w:r>
      <w:r w:rsidRPr="005015BA">
        <w:rPr>
          <w:rStyle w:val="Emphasis"/>
        </w:rPr>
        <w:t>intended to limit</w:t>
      </w:r>
      <w:r w:rsidRPr="005015BA">
        <w:rPr>
          <w:rStyle w:val="TitleChar"/>
        </w:rPr>
        <w:t xml:space="preserve"> "funding," they </w:t>
      </w:r>
      <w:r w:rsidRPr="005015BA">
        <w:rPr>
          <w:rStyle w:val="Emphasis"/>
        </w:rPr>
        <w:t>could have done</w:t>
      </w:r>
      <w:r w:rsidRPr="005015BA">
        <w:rPr>
          <w:rStyle w:val="TitleChar"/>
        </w:rPr>
        <w:t xml:space="preserve"> so as they had in other parts of the Agreement</w:t>
      </w:r>
      <w:r w:rsidRPr="00FE20A6">
        <w:rPr>
          <w:sz w:val="16"/>
        </w:rPr>
        <w:t>.</w:t>
      </w:r>
    </w:p>
    <w:p w14:paraId="391B187E" w14:textId="5F4548AC" w:rsidR="00754D3A" w:rsidRPr="005015BA" w:rsidRDefault="00754D3A" w:rsidP="00754D3A">
      <w:pPr>
        <w:pStyle w:val="Heading3"/>
      </w:pPr>
      <w:r>
        <w:t>Funding = Tax Credits</w:t>
      </w:r>
    </w:p>
    <w:p w14:paraId="5F877A94" w14:textId="77777777" w:rsidR="00754D3A" w:rsidRPr="005015BA" w:rsidRDefault="00754D3A" w:rsidP="00754D3A">
      <w:pPr>
        <w:pStyle w:val="Heading4"/>
      </w:pPr>
      <w:r w:rsidRPr="005015BA">
        <w:t>“Funding” includes tax credits</w:t>
      </w:r>
    </w:p>
    <w:p w14:paraId="6B7673AD" w14:textId="77777777" w:rsidR="00754D3A" w:rsidRPr="005015BA" w:rsidRDefault="00754D3A" w:rsidP="00754D3A">
      <w:r w:rsidRPr="005015BA">
        <w:rPr>
          <w:rStyle w:val="StyleStyleBold12pt"/>
        </w:rPr>
        <w:t>Maryland 11 –</w:t>
      </w:r>
      <w:r w:rsidRPr="005015BA">
        <w:t xml:space="preserve"> Maryland General Assembly, Department of Legislative Services, “FISCAL AND POLICY NOTE – HB 1282”, 3-16, http://mgaleg.maryland.gov/2011rs/fnotes/bil_0002/hb1282.pdf</w:t>
      </w:r>
    </w:p>
    <w:p w14:paraId="3A40B3FA" w14:textId="77777777" w:rsidR="00754D3A" w:rsidRPr="005015BA" w:rsidRDefault="00754D3A" w:rsidP="00754D3A">
      <w:r w:rsidRPr="005015BA">
        <w:t xml:space="preserve">This bill requires a vehicle parking facility to allow a motorcycle to park in the facility on payment of any applicable charges if the facility is owned, operated, leased, or receives funding from the State or a political subdivision. </w:t>
      </w:r>
      <w:r w:rsidRPr="005015BA">
        <w:rPr>
          <w:rStyle w:val="TitleChar"/>
        </w:rPr>
        <w:t xml:space="preserve">The bill defines “funding” as any form of assurance, guarantee, grant payment, credit, </w:t>
      </w:r>
      <w:r w:rsidRPr="005015BA">
        <w:rPr>
          <w:rStyle w:val="Emphasis"/>
        </w:rPr>
        <w:t>tax credit</w:t>
      </w:r>
      <w:r w:rsidRPr="005015BA">
        <w:rPr>
          <w:rStyle w:val="TitleChar"/>
        </w:rPr>
        <w:t>, or other assistance</w:t>
      </w:r>
      <w:r w:rsidRPr="005015BA">
        <w:t>.</w:t>
      </w:r>
    </w:p>
    <w:p w14:paraId="3816E09C" w14:textId="27990604" w:rsidR="00F56764" w:rsidRPr="009D1722" w:rsidRDefault="00F56764" w:rsidP="00F56764">
      <w:pPr>
        <w:pStyle w:val="Heading3"/>
      </w:pPr>
      <w:r>
        <w:t xml:space="preserve">Funding = No Limit </w:t>
      </w:r>
    </w:p>
    <w:p w14:paraId="60B392B7" w14:textId="77777777" w:rsidR="00F56764" w:rsidRDefault="00F56764" w:rsidP="00F56764">
      <w:pPr>
        <w:pStyle w:val="Heading4"/>
      </w:pPr>
      <w:r>
        <w:t>Budgetary brightlines are a terrible standard on this topic</w:t>
      </w:r>
    </w:p>
    <w:p w14:paraId="641072B6" w14:textId="77777777" w:rsidR="00F56764" w:rsidRPr="00C219A3" w:rsidRDefault="00F56764" w:rsidP="00F56764">
      <w:r>
        <w:t xml:space="preserve">Heather </w:t>
      </w:r>
      <w:r w:rsidRPr="00C219A3">
        <w:rPr>
          <w:rStyle w:val="StyleStyleBold12pt"/>
        </w:rPr>
        <w:t>Gonzalez</w:t>
      </w:r>
      <w:r>
        <w:t xml:space="preserve"> (Specialist in Education Policy at the Congressional Research Service) </w:t>
      </w:r>
      <w:r w:rsidRPr="00C219A3">
        <w:rPr>
          <w:rStyle w:val="StyleStyleBold12pt"/>
        </w:rPr>
        <w:t>and</w:t>
      </w:r>
      <w:r>
        <w:t xml:space="preserve"> Jessica </w:t>
      </w:r>
      <w:r w:rsidRPr="00C219A3">
        <w:rPr>
          <w:rStyle w:val="StyleStyleBold12pt"/>
        </w:rPr>
        <w:t>Tollestrup</w:t>
      </w:r>
      <w:r>
        <w:t xml:space="preserve"> (Specialist in Social Policy at the Congressional Research Service) April </w:t>
      </w:r>
      <w:r w:rsidRPr="00C219A3">
        <w:rPr>
          <w:rStyle w:val="StyleStyleBold12pt"/>
        </w:rPr>
        <w:t>2016</w:t>
      </w:r>
      <w:r>
        <w:t xml:space="preserve"> “Department of Education Funding: Key Concepts and FAQ” https://fas.org/sgp/crs/misc/R44477.pdf</w:t>
      </w:r>
    </w:p>
    <w:p w14:paraId="660D9019" w14:textId="77777777" w:rsidR="00F56764" w:rsidRPr="00C219A3" w:rsidRDefault="00F56764" w:rsidP="00F56764">
      <w:pPr>
        <w:rPr>
          <w:rStyle w:val="StyleBoldUnderline"/>
        </w:rPr>
      </w:pPr>
      <w:r w:rsidRPr="00C219A3">
        <w:rPr>
          <w:rStyle w:val="StyleBoldUnderline"/>
        </w:rPr>
        <w:t>How much does the federal government spend on education</w:t>
      </w:r>
      <w:r>
        <w:t xml:space="preserve">? In short, </w:t>
      </w:r>
      <w:r w:rsidRPr="00C219A3">
        <w:rPr>
          <w:rStyle w:val="StyleBoldUnderline"/>
        </w:rPr>
        <w:t>the answer depends on what federal accounts or activities are defined as “education</w:t>
      </w:r>
      <w:r>
        <w:rPr>
          <w:rStyle w:val="StyleBoldUnderline"/>
        </w:rPr>
        <w:t xml:space="preserve"> </w:t>
      </w:r>
      <w:r w:rsidRPr="00C219A3">
        <w:rPr>
          <w:rStyle w:val="StyleBoldUnderline"/>
        </w:rPr>
        <w:t>spending,” on the fiscal year, on the point in the fiscal year when budget authority is estimated,</w:t>
      </w:r>
      <w:r>
        <w:rPr>
          <w:rStyle w:val="StyleBoldUnderline"/>
        </w:rPr>
        <w:t xml:space="preserve"> </w:t>
      </w:r>
      <w:r w:rsidRPr="00C219A3">
        <w:rPr>
          <w:rStyle w:val="StyleBoldUnderline"/>
        </w:rPr>
        <w:t>and which federal agency is reporting. Any aggregation of federal funding provided for</w:t>
      </w:r>
      <w:r>
        <w:rPr>
          <w:rStyle w:val="StyleBoldUnderline"/>
        </w:rPr>
        <w:t xml:space="preserve"> </w:t>
      </w:r>
      <w:r w:rsidRPr="00C219A3">
        <w:rPr>
          <w:rStyle w:val="StyleBoldUnderline"/>
        </w:rPr>
        <w:t>educational purposes across agencies or accounts requires judgements about which activities</w:t>
      </w:r>
      <w:r>
        <w:rPr>
          <w:rStyle w:val="StyleBoldUnderline"/>
        </w:rPr>
        <w:t xml:space="preserve"> </w:t>
      </w:r>
      <w:r w:rsidRPr="00C219A3">
        <w:rPr>
          <w:rStyle w:val="StyleBoldUnderline"/>
        </w:rPr>
        <w:t>should be counted (in whole or in part) and about how such activities should be grouped</w:t>
      </w:r>
      <w:r>
        <w:t xml:space="preserve"> (e.g., higher education, K-12, etc.). </w:t>
      </w:r>
      <w:r w:rsidRPr="00C219A3">
        <w:rPr>
          <w:rStyle w:val="StyleBoldUnderline"/>
        </w:rPr>
        <w:t>Moreover, any such exercise may be limited by the granularity of</w:t>
      </w:r>
      <w:r>
        <w:rPr>
          <w:rStyle w:val="StyleBoldUnderline"/>
        </w:rPr>
        <w:t xml:space="preserve"> </w:t>
      </w:r>
      <w:r w:rsidRPr="00C219A3">
        <w:rPr>
          <w:rStyle w:val="StyleBoldUnderline"/>
        </w:rPr>
        <w:t>information available about the use of the funds. Complicating the situation is the fact that federal</w:t>
      </w:r>
      <w:r>
        <w:rPr>
          <w:rStyle w:val="StyleBoldUnderline"/>
        </w:rPr>
        <w:t xml:space="preserve"> </w:t>
      </w:r>
      <w:r w:rsidRPr="00C219A3">
        <w:rPr>
          <w:rStyle w:val="StyleBoldUnderline"/>
        </w:rPr>
        <w:t>funding for education overlaps with (but is not the same as) funding for ED</w:t>
      </w:r>
      <w:r>
        <w:t xml:space="preserve">. The following sections explore and describe two commonly referenced ways that the federal government accounts for the funds it spends on education: by Treasury Department function code, and as calculated and tracked in ED’s Digest of Education Statistics. Function 500 </w:t>
      </w:r>
      <w:r w:rsidRPr="00C219A3">
        <w:rPr>
          <w:rStyle w:val="StyleBoldUnderline"/>
        </w:rPr>
        <w:t>The Treasury Department classifies all federal funding according to certain numbered functions</w:t>
      </w:r>
      <w:r>
        <w:rPr>
          <w:rStyle w:val="StyleBoldUnderline"/>
        </w:rPr>
        <w:t xml:space="preserve"> </w:t>
      </w:r>
      <w:r>
        <w:t xml:space="preserve">(e.g., Health (550), Transportation (400)) </w:t>
      </w:r>
      <w:r w:rsidRPr="00C219A3">
        <w:rPr>
          <w:rStyle w:val="StyleBoldUnderline"/>
        </w:rPr>
        <w:t>and by numbered subfunctions</w:t>
      </w:r>
      <w:r>
        <w:t xml:space="preserve"> (e.g., Health Care Services (551), Health Research, and Training (552)). </w:t>
      </w:r>
      <w:r w:rsidRPr="00C219A3">
        <w:rPr>
          <w:rStyle w:val="StyleBoldUnderline"/>
        </w:rPr>
        <w:t>The</w:t>
      </w:r>
      <w:r>
        <w:t xml:space="preserve"> Congressional Budget Office (</w:t>
      </w:r>
      <w:r w:rsidRPr="00C219A3">
        <w:rPr>
          <w:rStyle w:val="StyleBoldUnderline"/>
        </w:rPr>
        <w:t>CBO</w:t>
      </w:r>
      <w:r>
        <w:t>), Office of Management and Budget (</w:t>
      </w:r>
      <w:r w:rsidRPr="00C219A3">
        <w:rPr>
          <w:rStyle w:val="StyleBoldUnderline"/>
        </w:rPr>
        <w:t>OMB), and congressional budget process all use this same</w:t>
      </w:r>
      <w:r>
        <w:rPr>
          <w:rStyle w:val="StyleBoldUnderline"/>
        </w:rPr>
        <w:t xml:space="preserve"> </w:t>
      </w:r>
      <w:r w:rsidRPr="00C219A3">
        <w:rPr>
          <w:rStyle w:val="StyleBoldUnderline"/>
        </w:rPr>
        <w:t>taxonomy.</w:t>
      </w:r>
      <w:r>
        <w:rPr>
          <w:rStyle w:val="StyleBoldUnderline"/>
        </w:rPr>
        <w:t xml:space="preserve"> </w:t>
      </w:r>
      <w:r w:rsidRPr="00C219A3">
        <w:rPr>
          <w:rStyle w:val="StyleBoldUnderline"/>
        </w:rPr>
        <w:t>Federal education funding is included in function 500</w:t>
      </w:r>
      <w:r>
        <w:t xml:space="preserve"> (Education, Training, Employment, and Social Services). </w:t>
      </w:r>
      <w:r w:rsidRPr="00C219A3">
        <w:rPr>
          <w:rStyle w:val="StyleBoldUnderline"/>
        </w:rPr>
        <w:t>Within function 500, subfunction 501 includes elementary, secondary, and</w:t>
      </w:r>
      <w:r>
        <w:rPr>
          <w:rStyle w:val="StyleBoldUnderline"/>
        </w:rPr>
        <w:t xml:space="preserve"> </w:t>
      </w:r>
      <w:r w:rsidRPr="00C219A3">
        <w:rPr>
          <w:rStyle w:val="StyleBoldUnderline"/>
        </w:rPr>
        <w:t>vocational education; and subfunction 502 includes higher education. While these are two of the</w:t>
      </w:r>
      <w:r>
        <w:rPr>
          <w:rStyle w:val="StyleBoldUnderline"/>
        </w:rPr>
        <w:t xml:space="preserve"> </w:t>
      </w:r>
      <w:r w:rsidRPr="00C219A3">
        <w:rPr>
          <w:rStyle w:val="StyleBoldUnderline"/>
        </w:rPr>
        <w:t>primary areas in which federal education funding is concentrated, simply adding the totals for</w:t>
      </w:r>
      <w:r>
        <w:rPr>
          <w:rStyle w:val="StyleBoldUnderline"/>
        </w:rPr>
        <w:t xml:space="preserve"> </w:t>
      </w:r>
      <w:r w:rsidRPr="00C219A3">
        <w:rPr>
          <w:rStyle w:val="StyleBoldUnderline"/>
        </w:rPr>
        <w:t>these two subfunctions does not capture all federal funding for education. For example, other</w:t>
      </w:r>
      <w:r>
        <w:rPr>
          <w:rStyle w:val="StyleBoldUnderline"/>
        </w:rPr>
        <w:t xml:space="preserve"> </w:t>
      </w:r>
      <w:r w:rsidRPr="00C219A3">
        <w:rPr>
          <w:rStyle w:val="StyleBoldUnderline"/>
        </w:rPr>
        <w:t>subfunctions, such as 503</w:t>
      </w:r>
      <w:r>
        <w:t xml:space="preserve"> (research and general education aids) </w:t>
      </w:r>
      <w:r w:rsidRPr="00C219A3">
        <w:rPr>
          <w:rStyle w:val="StyleBoldUnderline"/>
        </w:rPr>
        <w:t>and 504</w:t>
      </w:r>
      <w:r>
        <w:t xml:space="preserve"> (training and employment), </w:t>
      </w:r>
      <w:r w:rsidRPr="00C219A3">
        <w:rPr>
          <w:rStyle w:val="StyleBoldUnderline"/>
        </w:rPr>
        <w:t>could be considered federal education spending as well</w:t>
      </w:r>
      <w:r>
        <w:t xml:space="preserve">. </w:t>
      </w:r>
      <w:r w:rsidRPr="00C219A3">
        <w:rPr>
          <w:rStyle w:val="StyleBoldUnderline"/>
        </w:rPr>
        <w:t>Only a portion of total outlays for subfunctions 501 and 502 were spent by ED, and not all ED</w:t>
      </w:r>
      <w:r>
        <w:rPr>
          <w:rStyle w:val="StyleBoldUnderline"/>
        </w:rPr>
        <w:t xml:space="preserve"> </w:t>
      </w:r>
      <w:r w:rsidRPr="00C219A3">
        <w:rPr>
          <w:rStyle w:val="StyleBoldUnderline"/>
        </w:rPr>
        <w:t>funding is classified as function 500. For example, other agencies (such as the National Science</w:t>
      </w:r>
      <w:r>
        <w:rPr>
          <w:rStyle w:val="StyleBoldUnderline"/>
        </w:rPr>
        <w:t xml:space="preserve"> </w:t>
      </w:r>
      <w:r w:rsidRPr="00C219A3">
        <w:rPr>
          <w:rStyle w:val="StyleBoldUnderline"/>
        </w:rPr>
        <w:t>Foundation and National Institutes of Health) provide federal funds for educational programs and</w:t>
      </w:r>
      <w:r>
        <w:rPr>
          <w:rStyle w:val="StyleBoldUnderline"/>
        </w:rPr>
        <w:t xml:space="preserve"> </w:t>
      </w:r>
      <w:r w:rsidRPr="00C219A3">
        <w:rPr>
          <w:rStyle w:val="StyleBoldUnderline"/>
        </w:rPr>
        <w:t>activities that may be captured in the totals for subfunctions 501 and 502. In addition, some ED</w:t>
      </w:r>
      <w:r>
        <w:rPr>
          <w:rStyle w:val="StyleBoldUnderline"/>
        </w:rPr>
        <w:t xml:space="preserve"> </w:t>
      </w:r>
      <w:r w:rsidRPr="00C219A3">
        <w:rPr>
          <w:rStyle w:val="StyleBoldUnderline"/>
        </w:rPr>
        <w:t>programs and activities are classified under other functional categories, such as ED’s</w:t>
      </w:r>
      <w:r>
        <w:rPr>
          <w:rStyle w:val="StyleBoldUnderline"/>
        </w:rPr>
        <w:t xml:space="preserve"> </w:t>
      </w:r>
      <w:r w:rsidRPr="00C219A3">
        <w:rPr>
          <w:rStyle w:val="StyleBoldUnderline"/>
        </w:rPr>
        <w:t>Rehabilitation Services and Disability Research account</w:t>
      </w:r>
      <w:r>
        <w:t xml:space="preserve"> (</w:t>
      </w:r>
      <w:r w:rsidRPr="00C219A3">
        <w:rPr>
          <w:rStyle w:val="StyleBoldUnderline"/>
        </w:rPr>
        <w:t>subfunction 506, social services</w:t>
      </w:r>
      <w:r>
        <w:t xml:space="preserve">) </w:t>
      </w:r>
      <w:r w:rsidRPr="00C219A3">
        <w:rPr>
          <w:rStyle w:val="StyleBoldUnderline"/>
        </w:rPr>
        <w:t>or the</w:t>
      </w:r>
      <w:r>
        <w:rPr>
          <w:rStyle w:val="StyleBoldUnderline"/>
        </w:rPr>
        <w:t xml:space="preserve"> </w:t>
      </w:r>
      <w:r w:rsidRPr="00C219A3">
        <w:rPr>
          <w:rStyle w:val="StyleBoldUnderline"/>
        </w:rPr>
        <w:t>Office for Civil Rights (subfunction 751, federal law enforcement activities).</w:t>
      </w:r>
    </w:p>
    <w:p w14:paraId="315E0312" w14:textId="77777777" w:rsidR="00F56764" w:rsidRDefault="00F56764" w:rsidP="00F56764"/>
    <w:p w14:paraId="04973D66" w14:textId="77777777" w:rsidR="00754D3A" w:rsidRPr="00754D3A" w:rsidRDefault="00754D3A" w:rsidP="00754D3A"/>
    <w:p w14:paraId="770FD6E1" w14:textId="628A48A3" w:rsidR="00E036EA" w:rsidRDefault="00FE20A6" w:rsidP="00754D3A">
      <w:pPr>
        <w:pStyle w:val="Heading2"/>
      </w:pPr>
      <w:r>
        <w:t>Of</w:t>
      </w:r>
      <w:r w:rsidR="00BF4A03">
        <w:t>:</w:t>
      </w:r>
    </w:p>
    <w:p w14:paraId="35B363CF" w14:textId="77777777" w:rsidR="00E036EA" w:rsidRDefault="00E036EA" w:rsidP="00E036EA">
      <w:pPr>
        <w:pStyle w:val="Heading4"/>
      </w:pPr>
      <w:r>
        <w:t>Related to an object</w:t>
      </w:r>
    </w:p>
    <w:p w14:paraId="3E08CF98" w14:textId="77777777" w:rsidR="00E036EA" w:rsidRDefault="00E036EA" w:rsidP="00E036EA">
      <w:r w:rsidRPr="00B71E4D">
        <w:rPr>
          <w:rStyle w:val="Heading2Char2"/>
        </w:rPr>
        <w:t>Oxford Dictionary 10</w:t>
      </w:r>
      <w:r>
        <w:t xml:space="preserve"> (“Of”, </w:t>
      </w:r>
      <w:r w:rsidRPr="00B71E4D">
        <w:t>http://www.oxforddictionaries.com/definition/of?view=uk</w:t>
      </w:r>
      <w:r>
        <w:t>)</w:t>
      </w:r>
    </w:p>
    <w:p w14:paraId="7310DA6D" w14:textId="77777777" w:rsidR="00E036EA" w:rsidRPr="00B71E4D" w:rsidRDefault="00E036EA" w:rsidP="00E036EA">
      <w:r w:rsidRPr="00B71E4D">
        <w:t>Pronunciation:/</w:t>
      </w:r>
      <w:r w:rsidRPr="00B71E4D">
        <w:rPr>
          <w:rFonts w:ascii="Lucida Sans Unicode" w:hAnsi="Lucida Sans Unicode" w:cs="Lucida Sans Unicode"/>
        </w:rPr>
        <w:t>ɒ</w:t>
      </w:r>
      <w:r w:rsidRPr="00B71E4D">
        <w:t>v, (ə)v/</w:t>
      </w:r>
    </w:p>
    <w:p w14:paraId="68986A20" w14:textId="77777777" w:rsidR="00E036EA" w:rsidRPr="00B71E4D" w:rsidRDefault="00E036EA" w:rsidP="00E036EA">
      <w:r w:rsidRPr="00B71E4D">
        <w:t>preposition</w:t>
      </w:r>
    </w:p>
    <w:p w14:paraId="3A2C486F" w14:textId="77777777" w:rsidR="00E036EA" w:rsidRPr="00B71E4D" w:rsidRDefault="00E036EA" w:rsidP="00E036EA">
      <w:r w:rsidRPr="00B71E4D">
        <w:t xml:space="preserve">1 </w:t>
      </w:r>
      <w:r w:rsidRPr="007571EE">
        <w:rPr>
          <w:rStyle w:val="StyleBoldUnderline"/>
          <w:highlight w:val="yellow"/>
        </w:rPr>
        <w:t>expressing</w:t>
      </w:r>
      <w:r w:rsidRPr="007571EE">
        <w:rPr>
          <w:rStyle w:val="StyleBoldUnderline"/>
        </w:rPr>
        <w:t xml:space="preserve"> the </w:t>
      </w:r>
      <w:r w:rsidRPr="007571EE">
        <w:rPr>
          <w:rStyle w:val="StyleBoldUnderline"/>
          <w:highlight w:val="yellow"/>
        </w:rPr>
        <w:t>relationship between</w:t>
      </w:r>
      <w:r w:rsidRPr="007571EE">
        <w:rPr>
          <w:rStyle w:val="StyleBoldUnderline"/>
        </w:rPr>
        <w:t xml:space="preserve"> a </w:t>
      </w:r>
      <w:r w:rsidRPr="007571EE">
        <w:rPr>
          <w:rStyle w:val="StyleBoldUnderline"/>
          <w:highlight w:val="yellow"/>
        </w:rPr>
        <w:t>part and</w:t>
      </w:r>
      <w:r w:rsidRPr="007571EE">
        <w:rPr>
          <w:rStyle w:val="StyleBoldUnderline"/>
        </w:rPr>
        <w:t xml:space="preserve"> a </w:t>
      </w:r>
      <w:r w:rsidRPr="007571EE">
        <w:rPr>
          <w:rStyle w:val="StyleBoldUnderline"/>
          <w:highlight w:val="yellow"/>
        </w:rPr>
        <w:t>whole</w:t>
      </w:r>
      <w:r w:rsidRPr="00B71E4D">
        <w:t>:</w:t>
      </w:r>
    </w:p>
    <w:p w14:paraId="4FE39900" w14:textId="77777777" w:rsidR="00E036EA" w:rsidRDefault="00E036EA" w:rsidP="00E036EA">
      <w:r w:rsidRPr="00B71E4D">
        <w:t xml:space="preserve">with the word denoting the part functioning as the head of the phrase:the sleeve of his coat in the back of the car the days of the week </w:t>
      </w:r>
    </w:p>
    <w:p w14:paraId="69716432" w14:textId="77777777" w:rsidR="00E036EA" w:rsidRDefault="00E036EA" w:rsidP="00E036EA"/>
    <w:p w14:paraId="3E1DD224" w14:textId="77777777" w:rsidR="00E036EA" w:rsidRDefault="00E036EA" w:rsidP="00E036EA">
      <w:pPr>
        <w:pStyle w:val="Heading4"/>
      </w:pPr>
      <w:r>
        <w:t>Associated with</w:t>
      </w:r>
    </w:p>
    <w:p w14:paraId="19139236" w14:textId="77777777" w:rsidR="00E036EA" w:rsidRDefault="00E036EA" w:rsidP="00E036EA">
      <w:r w:rsidRPr="0017019F">
        <w:rPr>
          <w:rStyle w:val="Heading2Char2"/>
        </w:rPr>
        <w:t>AHD 10</w:t>
      </w:r>
      <w:r>
        <w:t xml:space="preserve"> (American Heritage Dictionary, “of”, </w:t>
      </w:r>
      <w:r w:rsidRPr="0017019F">
        <w:t>http://education.yahoo.com/reference/dictionary/entry/of</w:t>
      </w:r>
      <w:r>
        <w:t>)</w:t>
      </w:r>
    </w:p>
    <w:p w14:paraId="1EDCE102" w14:textId="77777777" w:rsidR="00E036EA" w:rsidRPr="0017019F" w:rsidRDefault="00E036EA" w:rsidP="00E036EA">
      <w:r w:rsidRPr="0017019F">
        <w:t>of (</w:t>
      </w:r>
      <w:r>
        <w:rPr>
          <w:noProof/>
        </w:rPr>
        <w:drawing>
          <wp:inline distT="0" distB="0" distL="0" distR="0" wp14:anchorId="123F02CF" wp14:editId="165B8077">
            <wp:extent cx="66675" cy="190500"/>
            <wp:effectExtent l="0" t="0" r="9525" b="0"/>
            <wp:docPr id="16" name="Picture 16"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brev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675" cy="190500"/>
                    </a:xfrm>
                    <a:prstGeom prst="rect">
                      <a:avLst/>
                    </a:prstGeom>
                    <a:noFill/>
                    <a:ln>
                      <a:noFill/>
                    </a:ln>
                  </pic:spPr>
                </pic:pic>
              </a:graphicData>
            </a:graphic>
          </wp:inline>
        </w:drawing>
      </w:r>
      <w:r w:rsidRPr="0017019F">
        <w:t xml:space="preserve">v, </w:t>
      </w:r>
      <w:r>
        <w:rPr>
          <w:noProof/>
        </w:rPr>
        <w:drawing>
          <wp:inline distT="0" distB="0" distL="0" distR="0" wp14:anchorId="4F5C10B9" wp14:editId="19FA6B97">
            <wp:extent cx="66675" cy="142875"/>
            <wp:effectExtent l="0" t="0" r="9525" b="9525"/>
            <wp:docPr id="17" name="Picture 17"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brev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75" cy="142875"/>
                    </a:xfrm>
                    <a:prstGeom prst="rect">
                      <a:avLst/>
                    </a:prstGeom>
                    <a:noFill/>
                    <a:ln>
                      <a:noFill/>
                    </a:ln>
                  </pic:spPr>
                </pic:pic>
              </a:graphicData>
            </a:graphic>
          </wp:inline>
        </w:drawing>
      </w:r>
      <w:r w:rsidRPr="0017019F">
        <w:t xml:space="preserve">v; </w:t>
      </w:r>
      <w:r>
        <w:rPr>
          <w:noProof/>
        </w:rPr>
        <w:drawing>
          <wp:inline distT="0" distB="0" distL="0" distR="0" wp14:anchorId="36FE464A" wp14:editId="53DB54D5">
            <wp:extent cx="57150" cy="142875"/>
            <wp:effectExtent l="0" t="0" r="0" b="9525"/>
            <wp:docPr id="18" name="Picture 18"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hw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 cy="142875"/>
                    </a:xfrm>
                    <a:prstGeom prst="rect">
                      <a:avLst/>
                    </a:prstGeom>
                    <a:noFill/>
                    <a:ln>
                      <a:noFill/>
                    </a:ln>
                  </pic:spPr>
                </pic:pic>
              </a:graphicData>
            </a:graphic>
          </wp:inline>
        </w:drawing>
      </w:r>
      <w:r w:rsidRPr="0017019F">
        <w:t xml:space="preserve">v when unstressed) </w:t>
      </w:r>
      <w:hyperlink r:id="rId33" w:history="1">
        <w:r w:rsidRPr="0017019F">
          <w:t>KEY</w:t>
        </w:r>
      </w:hyperlink>
      <w:r w:rsidRPr="0017019F">
        <w:t> </w:t>
      </w:r>
      <w:r w:rsidRPr="0017019F">
        <w:br/>
        <w:t>PREPOSITION:</w:t>
      </w:r>
    </w:p>
    <w:p w14:paraId="1AB0D6D5" w14:textId="77777777" w:rsidR="00E036EA" w:rsidRPr="0017019F" w:rsidRDefault="00E036EA" w:rsidP="00E036EA">
      <w:r w:rsidRPr="0017019F">
        <w:t xml:space="preserve">Derived or coming from; originating at or from: customs of the South. </w:t>
      </w:r>
    </w:p>
    <w:p w14:paraId="0D2E5956" w14:textId="77777777" w:rsidR="00E036EA" w:rsidRPr="0017019F" w:rsidRDefault="00E036EA" w:rsidP="00E036EA">
      <w:r w:rsidRPr="0017019F">
        <w:t xml:space="preserve">Caused by; resulting from: a death of tuberculosis. </w:t>
      </w:r>
    </w:p>
    <w:p w14:paraId="4625F54F" w14:textId="77777777" w:rsidR="00E036EA" w:rsidRPr="0017019F" w:rsidRDefault="00E036EA" w:rsidP="00E036EA">
      <w:r w:rsidRPr="0017019F">
        <w:t xml:space="preserve">Away from; at a distance from: a mile east of here. </w:t>
      </w:r>
    </w:p>
    <w:p w14:paraId="3940B2F6" w14:textId="77777777" w:rsidR="00E036EA" w:rsidRPr="0017019F" w:rsidRDefault="00E036EA" w:rsidP="00E036EA">
      <w:r w:rsidRPr="0017019F">
        <w:t xml:space="preserve">So as to be separated or relieved from: robbed of one's dignity; cured of distemper. </w:t>
      </w:r>
    </w:p>
    <w:p w14:paraId="021E6A5A" w14:textId="77777777" w:rsidR="00E036EA" w:rsidRPr="0017019F" w:rsidRDefault="00E036EA" w:rsidP="00E036EA">
      <w:r w:rsidRPr="0017019F">
        <w:t xml:space="preserve">From the total or group comprising: give of one's time; two of my friends; most of the cases. </w:t>
      </w:r>
    </w:p>
    <w:p w14:paraId="63E2B025" w14:textId="77777777" w:rsidR="00E036EA" w:rsidRPr="0017019F" w:rsidRDefault="00E036EA" w:rsidP="00E036EA">
      <w:r w:rsidRPr="0017019F">
        <w:t xml:space="preserve">Composed or made from: a dress of silk. </w:t>
      </w:r>
    </w:p>
    <w:p w14:paraId="0A8C7727" w14:textId="77777777" w:rsidR="00E036EA" w:rsidRDefault="00E036EA" w:rsidP="00E036EA">
      <w:r w:rsidRPr="007571EE">
        <w:rPr>
          <w:rStyle w:val="StyleBoldUnderline"/>
          <w:highlight w:val="yellow"/>
        </w:rPr>
        <w:t>Associated with</w:t>
      </w:r>
      <w:r w:rsidRPr="007571EE">
        <w:rPr>
          <w:rStyle w:val="StyleBoldUnderline"/>
        </w:rPr>
        <w:t xml:space="preserve"> or adhering to: </w:t>
      </w:r>
      <w:r w:rsidRPr="007571EE">
        <w:rPr>
          <w:rStyle w:val="StyleBoldUnderline"/>
          <w:highlight w:val="yellow"/>
        </w:rPr>
        <w:t>people of your religion</w:t>
      </w:r>
      <w:r w:rsidRPr="0017019F">
        <w:t xml:space="preserve">. </w:t>
      </w:r>
    </w:p>
    <w:p w14:paraId="0585227D" w14:textId="445F0B3F" w:rsidR="00BF4A03" w:rsidRDefault="00BF4A03" w:rsidP="00754D3A">
      <w:pPr>
        <w:pStyle w:val="Heading2"/>
      </w:pPr>
      <w:r>
        <w:t>Elementary</w:t>
      </w:r>
      <w:r w:rsidR="00FE20A6">
        <w:t>:</w:t>
      </w:r>
    </w:p>
    <w:p w14:paraId="37DAEE44" w14:textId="733B2CF5" w:rsidR="00BF4A03" w:rsidRPr="005015BA" w:rsidRDefault="00BF4A03" w:rsidP="00BF4A03">
      <w:pPr>
        <w:pStyle w:val="Heading4"/>
      </w:pPr>
      <w:r w:rsidRPr="005015BA">
        <w:t xml:space="preserve"> “Elementary” education is K-8</w:t>
      </w:r>
    </w:p>
    <w:p w14:paraId="64F37527" w14:textId="77777777" w:rsidR="00BF4A03" w:rsidRPr="005015BA" w:rsidRDefault="00BF4A03" w:rsidP="00BF4A03">
      <w:r w:rsidRPr="005015BA">
        <w:rPr>
          <w:rStyle w:val="StyleStyleBold12pt"/>
        </w:rPr>
        <w:t>Education Degree 17 –</w:t>
      </w:r>
      <w:r w:rsidRPr="005015BA">
        <w:t xml:space="preserve"> “Elementary Education Programs”, http://www.educationdegree.com/programs/elementary-education/</w:t>
      </w:r>
    </w:p>
    <w:p w14:paraId="6AE239D3" w14:textId="77777777" w:rsidR="00BF4A03" w:rsidRPr="005015BA" w:rsidRDefault="00BF4A03" w:rsidP="00BF4A03">
      <w:r w:rsidRPr="005015BA">
        <w:t>Elementary Education Degrees Online</w:t>
      </w:r>
    </w:p>
    <w:p w14:paraId="03D139A2" w14:textId="77777777" w:rsidR="00BF4A03" w:rsidRPr="005015BA" w:rsidRDefault="00BF4A03" w:rsidP="00BF4A03">
      <w:r w:rsidRPr="005015BA">
        <w:t>Are you a generalist or a specialist?</w:t>
      </w:r>
    </w:p>
    <w:p w14:paraId="0C9CB793" w14:textId="77777777" w:rsidR="00BF4A03" w:rsidRDefault="00BF4A03" w:rsidP="00BF4A03">
      <w:r w:rsidRPr="005015BA">
        <w:rPr>
          <w:rStyle w:val="StyleBoldUnderline"/>
        </w:rPr>
        <w:t>The term "elementary education" broadly refers to the teaching of students in grades K-8</w:t>
      </w:r>
      <w:r w:rsidRPr="005015BA">
        <w:t>. But, within the field, there is opportunity for a wide variety of specialization in areas such as reading, special education, English as a second language and more.</w:t>
      </w:r>
    </w:p>
    <w:p w14:paraId="1362D621" w14:textId="77777777" w:rsidR="00CE3833" w:rsidRDefault="00CE3833" w:rsidP="00BF4A03"/>
    <w:p w14:paraId="2EEA12DA" w14:textId="77777777" w:rsidR="00CE3833" w:rsidRPr="00CE3833" w:rsidRDefault="00CE3833" w:rsidP="00CE3833">
      <w:pPr>
        <w:pStyle w:val="Heading4"/>
      </w:pPr>
      <w:r w:rsidRPr="00CE3833">
        <w:t>Elementary and Secondary education have clearly-defined ages</w:t>
      </w:r>
    </w:p>
    <w:p w14:paraId="64E2030B" w14:textId="33F7316F" w:rsidR="00CE3833" w:rsidRPr="00CE3833" w:rsidRDefault="00CE3833" w:rsidP="00CE3833">
      <w:r w:rsidRPr="00CE3833">
        <w:t>[Antonella Corsi-</w:t>
      </w:r>
      <w:r w:rsidRPr="00CE3833">
        <w:rPr>
          <w:rStyle w:val="StyleStyleBold12pt"/>
        </w:rPr>
        <w:t>Bunker</w:t>
      </w:r>
      <w:r>
        <w:rPr>
          <w:rStyle w:val="StyleStyleBold12pt"/>
        </w:rPr>
        <w:t xml:space="preserve"> ‘13</w:t>
      </w:r>
      <w:r w:rsidRPr="00CE3833">
        <w:t xml:space="preserve">, Corsi-Bunker is an International Scholar Coordinator and Advisor at the International Student and Scholar Services of the University of Minnesota, “Guide to the Education System in the United States”, International Student &amp; Scholar Services of the University of Minnesota, 07-17-2013, </w:t>
      </w:r>
      <w:hyperlink r:id="rId34" w:history="1">
        <w:r w:rsidRPr="00CE3833">
          <w:t>https://isss.umn.edu/publications/USEducation/4.pdf</w:t>
        </w:r>
      </w:hyperlink>
      <w:r w:rsidRPr="00CE3833">
        <w:t>] Accessed 07-7-2017.</w:t>
      </w:r>
    </w:p>
    <w:p w14:paraId="4D9BB2A2" w14:textId="77777777" w:rsidR="00CE3833" w:rsidRPr="00C1579D" w:rsidRDefault="00CE3833" w:rsidP="00CE3833">
      <w:pPr>
        <w:rPr>
          <w:sz w:val="16"/>
        </w:rPr>
      </w:pPr>
      <w:r w:rsidRPr="00F65D49">
        <w:rPr>
          <w:rStyle w:val="StyleBoldUnderline"/>
          <w:highlight w:val="yellow"/>
        </w:rPr>
        <w:t>The first years of compulsory schooling are called elementary or primary school</w:t>
      </w:r>
      <w:r w:rsidRPr="00E27C9D">
        <w:rPr>
          <w:sz w:val="16"/>
        </w:rPr>
        <w:t xml:space="preserve"> (just to confuse the issue, elementary schools are also called grade or grammar schools</w:t>
      </w:r>
      <w:r w:rsidRPr="00E27C9D">
        <w:rPr>
          <w:rStyle w:val="StyleBoldUnderline"/>
        </w:rPr>
        <w:t xml:space="preserve">). </w:t>
      </w:r>
      <w:r w:rsidRPr="00F65D49">
        <w:rPr>
          <w:rStyle w:val="StyleBoldUnderline"/>
          <w:highlight w:val="yellow"/>
        </w:rPr>
        <w:t>Secondary education is for children aged 12 to 18.</w:t>
      </w:r>
      <w:r w:rsidRPr="00E27C9D">
        <w:rPr>
          <w:sz w:val="16"/>
        </w:rPr>
        <w:t xml:space="preserve"> Secondary school generally takes place in a high school, which is often divided into junior and senior high. Junior high (also called Middle School) is for those aged 11 to 14 and senior high is for students aged 15 to 18. </w:t>
      </w:r>
      <w:r w:rsidRPr="00F65D49">
        <w:rPr>
          <w:rStyle w:val="StyleBoldUnderline"/>
          <w:highlight w:val="yellow"/>
        </w:rPr>
        <w:t>Primary education starts at the age of five</w:t>
      </w:r>
      <w:r w:rsidRPr="00E27C9D">
        <w:rPr>
          <w:rStyle w:val="StyleBoldUnderline"/>
        </w:rPr>
        <w:t>, in Kindergarten. To qualify for kindergarten a child must be five years old on or before a ‘cut-off’ date</w:t>
      </w:r>
      <w:r w:rsidRPr="00E27C9D">
        <w:rPr>
          <w:sz w:val="16"/>
        </w:rPr>
        <w:t xml:space="preserve"> (in the State of Minnesota the cutoff date is 1st September) to attend that year. For example, if your child turns 5 years old on July 31, 2007, then he will start school in September, 2007. If your child turns 5 years old on December 12, 2007, then she will begin school in September, 2008.Usually a child must be enrolled in kindergarten or first grade in the calendar year in which he turns six. Elementary school, which is almost always co-educational (mixed boys and girls), is usually attended from the age of 5 or 6 until 11 (grades K to 6), when students go on to a middle or junior high school. </w:t>
      </w:r>
      <w:r w:rsidRPr="00E27C9D">
        <w:rPr>
          <w:rStyle w:val="StyleBoldUnderline"/>
        </w:rPr>
        <w:t xml:space="preserve">In some school districts, </w:t>
      </w:r>
      <w:r w:rsidRPr="00F65D49">
        <w:rPr>
          <w:rStyle w:val="StyleBoldUnderline"/>
          <w:highlight w:val="yellow"/>
        </w:rPr>
        <w:t>students attend elementary school until 14</w:t>
      </w:r>
      <w:r w:rsidRPr="00E27C9D">
        <w:rPr>
          <w:rStyle w:val="StyleBoldUnderline"/>
        </w:rPr>
        <w:t xml:space="preserve"> (up to grade 8) before attending a senior high school.</w:t>
      </w:r>
    </w:p>
    <w:p w14:paraId="6920D16F" w14:textId="77777777" w:rsidR="00CE3833" w:rsidRPr="00A1174C" w:rsidRDefault="00CE3833" w:rsidP="00CE3833">
      <w:pPr>
        <w:pStyle w:val="Heading4"/>
      </w:pPr>
      <w:r>
        <w:t xml:space="preserve">Primary and Secondary Education refers to teaching students that are 5-18 years old </w:t>
      </w:r>
    </w:p>
    <w:p w14:paraId="2B0F6E56" w14:textId="77777777" w:rsidR="00CE3833" w:rsidRPr="00196932" w:rsidRDefault="00CE3833" w:rsidP="00CE3833">
      <w:pPr>
        <w:rPr>
          <w:rStyle w:val="StyleStyleBold12pt"/>
          <w:b w:val="0"/>
        </w:rPr>
      </w:pPr>
      <w:r>
        <w:rPr>
          <w:rStyle w:val="StyleStyleBold12pt"/>
        </w:rPr>
        <w:t xml:space="preserve">Corsi-Bunker 13 </w:t>
      </w:r>
      <w:r w:rsidRPr="00A1174C">
        <w:rPr>
          <w:rStyle w:val="StyleStyleBold12pt"/>
          <w:b w:val="0"/>
        </w:rPr>
        <w:t xml:space="preserve">[Antonell Corsi-Bunker is an </w:t>
      </w:r>
      <w:r w:rsidRPr="00A1174C">
        <w:rPr>
          <w:rStyle w:val="StyleStyleBold12pt"/>
          <w:rFonts w:hint="cs"/>
          <w:b w:val="0"/>
        </w:rPr>
        <w:t>‎</w:t>
      </w:r>
      <w:r w:rsidRPr="00A1174C">
        <w:rPr>
          <w:rStyle w:val="StyleStyleBold12pt"/>
          <w:b w:val="0"/>
        </w:rPr>
        <w:t>International Scholar Coordinator and Advisor at International Student and Scholar Services, University of Minnesota. “Guide to the Education System in the United States”, International Student and Scholar Services, published on July 17, 2013. https://isss.umn.edu/publications/USEducation/4.pdf] Accessed: July 8, 2017</w:t>
      </w:r>
    </w:p>
    <w:p w14:paraId="0A089903" w14:textId="77777777" w:rsidR="00CE3833" w:rsidRDefault="00CE3833" w:rsidP="00CE3833">
      <w:r w:rsidRPr="00F65D49">
        <w:rPr>
          <w:rStyle w:val="Emphasis"/>
          <w:highlight w:val="yellow"/>
        </w:rPr>
        <w:t>The first years of compulsory schooling are called elementary or primary school</w:t>
      </w:r>
      <w:r>
        <w:t xml:space="preserve"> (just to confuse the issue, elementary schools are also called grade or grammar schools). </w:t>
      </w:r>
      <w:r w:rsidRPr="00F65D49">
        <w:rPr>
          <w:rStyle w:val="Emphasis"/>
          <w:highlight w:val="yellow"/>
        </w:rPr>
        <w:t>Secondary education is for children aged 12 to 18. Secondary school generally takes place in a high school, which is often divided into junior and senior high.</w:t>
      </w:r>
      <w:r>
        <w:t xml:space="preserve"> Junior high (also called Middle School) is for those aged 11 to 14 and senior high is for students aged 15 to 18. Primary education starts at the age of five, in Kindergarten. To qualify for kindergarten a child must be five years old on or before a ‘cut-off’ date (in the State of Minnesota the cutoff date is 1st September) to attend that year. For example, if your child turns 5 years old on July 31, 2007, then he will start school in September, 2007. If your child turns 5 years old on December 12, 2007, then she will begin school in September, 2008.Usually a child must be enrolled in kindergarten or first grade in the calendar year in which he turns six. </w:t>
      </w:r>
      <w:r w:rsidRPr="00F65D49">
        <w:rPr>
          <w:rStyle w:val="Emphasis"/>
          <w:highlight w:val="yellow"/>
        </w:rPr>
        <w:t>Elementary school, which is almost always co-educational (mixed boys and girls), is usually attended from the age of 5 or 6 until 11</w:t>
      </w:r>
      <w:r>
        <w:t xml:space="preserve"> (grades K to 6), when students go on to a middle or junior high school. In some school districts, students attend elementary school until 14 (up to grade 8) before attending a senior high school.</w:t>
      </w:r>
    </w:p>
    <w:p w14:paraId="51BD7A64" w14:textId="77777777" w:rsidR="00CE3833" w:rsidRDefault="00CE3833" w:rsidP="00BF4A03"/>
    <w:p w14:paraId="00FC74AA" w14:textId="0D3F3619" w:rsidR="00BF4A03" w:rsidRDefault="00BF4A03" w:rsidP="00754D3A">
      <w:pPr>
        <w:pStyle w:val="Heading2"/>
      </w:pPr>
      <w:r>
        <w:t>Secondary</w:t>
      </w:r>
      <w:r w:rsidR="00FE20A6">
        <w:t>:</w:t>
      </w:r>
    </w:p>
    <w:p w14:paraId="03DBF8B1" w14:textId="293C9426" w:rsidR="00CE3833" w:rsidRPr="005015BA" w:rsidRDefault="00CE3833" w:rsidP="00CE3833">
      <w:pPr>
        <w:pStyle w:val="Heading3"/>
      </w:pPr>
      <w:r w:rsidRPr="005015BA">
        <w:t>Seco</w:t>
      </w:r>
      <w:r>
        <w:t>ndary =</w:t>
      </w:r>
      <w:r w:rsidRPr="005015BA">
        <w:t xml:space="preserve"> Intermediate </w:t>
      </w:r>
    </w:p>
    <w:p w14:paraId="28E0566C" w14:textId="77777777" w:rsidR="00CE3833" w:rsidRPr="005015BA" w:rsidRDefault="00CE3833" w:rsidP="00CE3833">
      <w:pPr>
        <w:pStyle w:val="Heading4"/>
      </w:pPr>
      <w:r w:rsidRPr="005015BA">
        <w:t>Secondary school is a school intermediate between elementary and college and usually offering general, technical, vocational, or college-preparatory courses</w:t>
      </w:r>
    </w:p>
    <w:p w14:paraId="416048F2" w14:textId="77777777" w:rsidR="00CE3833" w:rsidRPr="005015BA" w:rsidRDefault="00CE3833" w:rsidP="00CE3833">
      <w:r w:rsidRPr="005015BA">
        <w:rPr>
          <w:rStyle w:val="StyleStyleBold12pt"/>
        </w:rPr>
        <w:t xml:space="preserve">Merriam Webster ND </w:t>
      </w:r>
      <w:r w:rsidRPr="005015BA">
        <w:t>(dictionary, “secondary school”, https://www.merriam-webster.com/dictionary/secondary%20school)</w:t>
      </w:r>
    </w:p>
    <w:p w14:paraId="1FB24C0B" w14:textId="418073B0" w:rsidR="00CE3833" w:rsidRPr="00CE3833" w:rsidRDefault="00CE3833" w:rsidP="00CE3833">
      <w:pPr>
        <w:rPr>
          <w:u w:val="single"/>
        </w:rPr>
      </w:pPr>
      <w:r w:rsidRPr="005015BA">
        <w:rPr>
          <w:rStyle w:val="StyleBoldUnderline"/>
        </w:rPr>
        <w:t>Definition of secondary school:  a school intermediate between elementary school and college and usually offering general, technical, vocational, or college-preparatory courses</w:t>
      </w:r>
    </w:p>
    <w:p w14:paraId="161C0270" w14:textId="5F195A23" w:rsidR="00CE3833" w:rsidRDefault="00CE3833" w:rsidP="00CE3833">
      <w:pPr>
        <w:pStyle w:val="Heading3"/>
      </w:pPr>
      <w:r>
        <w:t>Secondary = Grades</w:t>
      </w:r>
    </w:p>
    <w:p w14:paraId="4B963E41" w14:textId="77777777" w:rsidR="00CE3833" w:rsidRDefault="00CE3833" w:rsidP="00CE3833"/>
    <w:p w14:paraId="5DDF2CF6" w14:textId="77777777" w:rsidR="00CE3833" w:rsidRDefault="00CE3833" w:rsidP="00CE3833">
      <w:pPr>
        <w:pStyle w:val="Heading4"/>
      </w:pPr>
      <w:r>
        <w:t>“Secondary education” is schooling in grade levels 6-12</w:t>
      </w:r>
    </w:p>
    <w:p w14:paraId="55CCC20A" w14:textId="77777777" w:rsidR="00CE3833" w:rsidRPr="00D13240" w:rsidRDefault="00CE3833" w:rsidP="00CE3833">
      <w:r w:rsidRPr="00D13240">
        <w:rPr>
          <w:rStyle w:val="StyleStyleBold12pt"/>
        </w:rPr>
        <w:t>Laws 17 –</w:t>
      </w:r>
      <w:r>
        <w:t xml:space="preserve"> “Secondary Education Explained”, http://education.laws.com/secondary-education</w:t>
      </w:r>
    </w:p>
    <w:p w14:paraId="2B3CF052" w14:textId="77777777" w:rsidR="00CE3833" w:rsidRDefault="00CE3833" w:rsidP="00CE3833">
      <w:r w:rsidRPr="00D13240">
        <w:rPr>
          <w:rStyle w:val="StyleBoldUnderline"/>
        </w:rPr>
        <w:t>In the most basic sense, education refers to any act or experience that yields a formative effect on the character, mind or physical ability of an individual, particularly a child</w:t>
      </w:r>
      <w:r>
        <w:t xml:space="preserve">. In a technical sense, education refers to the process by which social functions deliberately transmit an accumulated knowledge, skill-set and system of values from one generation to another. </w:t>
      </w:r>
    </w:p>
    <w:p w14:paraId="5BDC48D6" w14:textId="77777777" w:rsidR="00CE3833" w:rsidRDefault="00CE3833" w:rsidP="00CE3833">
      <w:r>
        <w:t>The foundation of the educational system is built by teaching professionals. Teachers in educational institutions are responsible for directing the education of students through the delivery of various educational resources as well as knowledge concerning a wide array of subjects including: reading, writing, science, history, health, mathematics etc.</w:t>
      </w:r>
    </w:p>
    <w:p w14:paraId="2CE32BC9" w14:textId="77777777" w:rsidR="00CE3833" w:rsidRDefault="00CE3833" w:rsidP="00CE3833">
      <w:r>
        <w:t>The process of teaching a particular subject, which is commonly found at the non-elementary levels of education and carried-out by teachers or professors at institutions of higher learning, is referred to as schooling. Furthermore, there are also educational fields and institutions for those who want a more specific vocational skill-set or who would like to be educated in an informal setting. These institutions, such as museums, libraries and the Internet space can be an effective and more personal experience regarding the ability to obtain knowledge.</w:t>
      </w:r>
    </w:p>
    <w:p w14:paraId="22138308" w14:textId="77777777" w:rsidR="00CE3833" w:rsidRPr="00D13240" w:rsidRDefault="00CE3833" w:rsidP="00CE3833">
      <w:pPr>
        <w:rPr>
          <w:rStyle w:val="StyleBoldUnderline"/>
        </w:rPr>
      </w:pPr>
      <w:r w:rsidRPr="00D13240">
        <w:rPr>
          <w:rStyle w:val="StyleBoldUnderline"/>
        </w:rPr>
        <w:t>What is Secondary Education?</w:t>
      </w:r>
    </w:p>
    <w:p w14:paraId="6196888B" w14:textId="77777777" w:rsidR="00CE3833" w:rsidRDefault="00CE3833" w:rsidP="00CE3833">
      <w:r w:rsidRPr="00D13240">
        <w:rPr>
          <w:rStyle w:val="StyleBoldUnderline"/>
        </w:rPr>
        <w:t xml:space="preserve">Secondary education refers to a </w:t>
      </w:r>
      <w:r w:rsidRPr="00D13240">
        <w:rPr>
          <w:rStyle w:val="Emphasis"/>
        </w:rPr>
        <w:t>specific stage</w:t>
      </w:r>
      <w:r w:rsidRPr="00D13240">
        <w:rPr>
          <w:rStyle w:val="StyleBoldUnderline"/>
        </w:rPr>
        <w:t xml:space="preserve"> of education; although the definitions vary regarding location, in the most general of definitions, secondary education refers to the stage of learning that directly follows primary school. In the majority of jurisdictions throughout the world, secondary education is the final stage of compulsory education</w:t>
      </w:r>
      <w:r>
        <w:t xml:space="preserve">. That being said, in some developed nations, secondary education can also refer to a period of compulsory and a period of non-compulsory (college or university work) education. </w:t>
      </w:r>
    </w:p>
    <w:p w14:paraId="67013700" w14:textId="77777777" w:rsidR="00CE3833" w:rsidRDefault="00CE3833" w:rsidP="00CE3833">
      <w:r>
        <w:t xml:space="preserve">This level of education is typically characterized by the transition from the compulsory, comprehensive educational system offered to minors, to the optional or selective tertiary “higher” education for adults. With that in mind, secondary education, in the majority of developed nations, will include university and vocational schools, but depending on the systems, high schools, middle schools and prepatory schools may also be grouped in the secondary classification. </w:t>
      </w:r>
    </w:p>
    <w:p w14:paraId="34A7FA87" w14:textId="77777777" w:rsidR="00CE3833" w:rsidRPr="00D13240" w:rsidRDefault="00CE3833" w:rsidP="00CE3833">
      <w:pPr>
        <w:rPr>
          <w:rStyle w:val="StyleBoldUnderline"/>
        </w:rPr>
      </w:pPr>
      <w:r w:rsidRPr="00D13240">
        <w:rPr>
          <w:rStyle w:val="StyleBoldUnderline"/>
        </w:rPr>
        <w:t xml:space="preserve">Secondary Education </w:t>
      </w:r>
      <w:r w:rsidRPr="00D13240">
        <w:rPr>
          <w:rStyle w:val="Emphasis"/>
        </w:rPr>
        <w:t>in the United States of America</w:t>
      </w:r>
      <w:r w:rsidRPr="00D13240">
        <w:rPr>
          <w:rStyle w:val="StyleBoldUnderline"/>
        </w:rPr>
        <w:t>:</w:t>
      </w:r>
    </w:p>
    <w:p w14:paraId="2B42ECBA" w14:textId="77777777" w:rsidR="00CE3833" w:rsidRPr="00D13240" w:rsidRDefault="00CE3833" w:rsidP="00CE3833">
      <w:r w:rsidRPr="00D13240">
        <w:rPr>
          <w:rStyle w:val="StyleBoldUnderline"/>
        </w:rPr>
        <w:t xml:space="preserve">Based on the education program of the United States, secondary education is formally defined and comprised of grades 6, 7, 8, and 9 through 12. As a result of this classification system, secondary education will typically </w:t>
      </w:r>
      <w:r w:rsidRPr="00D13240">
        <w:rPr>
          <w:rStyle w:val="Emphasis"/>
        </w:rPr>
        <w:t>denote high school learning</w:t>
      </w:r>
      <w:r>
        <w:t xml:space="preserve">—although many jurisdictions will offer grades 6-8 in a middle school and 9-12 in a high school. Regardless of the jurisdictional system of schools, </w:t>
      </w:r>
      <w:r w:rsidRPr="00D13240">
        <w:rPr>
          <w:rStyle w:val="StyleBoldUnderline"/>
        </w:rPr>
        <w:t xml:space="preserve">secondary education in the United States incorporates all learning achieved at </w:t>
      </w:r>
      <w:r w:rsidRPr="00D13240">
        <w:rPr>
          <w:rStyle w:val="Emphasis"/>
        </w:rPr>
        <w:t>grade levels 6 through 12</w:t>
      </w:r>
      <w:r w:rsidRPr="00D13240">
        <w:t xml:space="preserve">. </w:t>
      </w:r>
    </w:p>
    <w:p w14:paraId="6D6CD95F" w14:textId="77777777" w:rsidR="00CE3833" w:rsidRPr="00CE3833" w:rsidRDefault="00CE3833" w:rsidP="00CE3833"/>
    <w:p w14:paraId="4AD8A475" w14:textId="77777777" w:rsidR="00BF4A03" w:rsidRDefault="00BF4A03" w:rsidP="00BF4A03">
      <w:pPr>
        <w:pStyle w:val="Heading4"/>
      </w:pPr>
      <w:r>
        <w:t>Elementary and Secondary education includes instruction of adults</w:t>
      </w:r>
    </w:p>
    <w:p w14:paraId="7429EA47" w14:textId="77777777" w:rsidR="00BF4A03" w:rsidRDefault="00BF4A03" w:rsidP="00BF4A03">
      <w:r w:rsidRPr="005B653F">
        <w:rPr>
          <w:rStyle w:val="StyleStyleBold12pt"/>
        </w:rPr>
        <w:t>MDEASE 17</w:t>
      </w:r>
      <w:r>
        <w:t xml:space="preserve"> [Missouri Department of Elementary and Secondary Education, Adult Education &amp; Literacy, Missouri Department of Elementary and Secondary Education, 1-24-2017, Accessible Online at https://dese.mo.gov/adult-learning-rehabilitation-services/adult-education-literacy] 7-9-2017</w:t>
      </w:r>
    </w:p>
    <w:p w14:paraId="53E24EF0" w14:textId="69DE5880" w:rsidR="00BF4A03" w:rsidRDefault="00BF4A03" w:rsidP="00BF4A03">
      <w:r>
        <w:t xml:space="preserve">The Missouri </w:t>
      </w:r>
      <w:r w:rsidRPr="00196932">
        <w:t>Adult Education and Literacy (AEL) Program provides</w:t>
      </w:r>
      <w:r>
        <w:t xml:space="preserve"> assistance that helps Missouri adults get the basic skills they need to be productive workers, family members, and citizens. The major areas of support are </w:t>
      </w:r>
      <w:r w:rsidRPr="00196932">
        <w:rPr>
          <w:rStyle w:val="StyleBoldUnderline"/>
        </w:rPr>
        <w:t>Adult Basic Education, Adult Secondary Education</w:t>
      </w:r>
      <w:r>
        <w:t xml:space="preserve">, and English Language Acquisition. These </w:t>
      </w:r>
      <w:r w:rsidRPr="00196932">
        <w:rPr>
          <w:rStyle w:val="StyleBoldUnderline"/>
        </w:rPr>
        <w:t>programs emphasize basic skills such as reading, writing, math, English language competency, and problem-solving</w:t>
      </w:r>
      <w:r>
        <w:t xml:space="preserve">. Program Description Eligible Recipients or Participants Funding or Grants Available Based on the 2000 Census, approximately 756,515 Missouri adults aged 16 years and older are not enrolled in school and did not possess a high school credential. This represents 22.11% of the total population of the state of Missouri. In addition, according to the Missouri State Assessment of Adult Literacy (SAAL) conducted in 2003, 35% of Missouri adults have prose literacy skills at or below the basic skill level. In addition, 26% of Missouri adults are at or below the basic skills level in document literacy and 49% are at or below the basic skill level in quantitative literacy. The Missouri SAAL report defines literacy as. Adult Education and Family Literacy Act of 1998 defines literacy as follows: “…an individual's ability to read, write, and speak in English, compute, and solve problems, at levels of proficiency necessary to function on the job, in the family of the individual, and in society.” </w:t>
      </w:r>
      <w:r w:rsidRPr="00196932">
        <w:rPr>
          <w:rStyle w:val="StyleBoldUnderline"/>
        </w:rPr>
        <w:t>The purpose of the Adult Education and Literacy</w:t>
      </w:r>
      <w:r>
        <w:t xml:space="preserve"> program </w:t>
      </w:r>
      <w:r w:rsidRPr="00196932">
        <w:rPr>
          <w:rStyle w:val="StyleBoldUnderline"/>
        </w:rPr>
        <w:t>is to</w:t>
      </w:r>
      <w:r>
        <w:t xml:space="preserve">: A. Assist adults to become literate and obtain the knowledge and skills necessary for employment and self-sufficiency. B. Assist adults who are parents to obtain the educational skills necessary to become full partners in the educational development of their children. C. </w:t>
      </w:r>
      <w:r w:rsidRPr="00196932">
        <w:rPr>
          <w:rStyle w:val="StyleBoldUnderline"/>
        </w:rPr>
        <w:t>Assist adults in the completion of a secondary school education.</w:t>
      </w:r>
      <w:r>
        <w:rPr>
          <w:rStyle w:val="StyleBoldUnderline"/>
        </w:rPr>
        <w:t xml:space="preserve"> </w:t>
      </w:r>
      <w:r>
        <w:t>PROGRAM DESCRIPTION: Adult Education &amp; Literacy instruction is designed to expand the educational opportunities for adults and to establish programs that will enable adults to acquire basic skills necessary to function in society and allow them to secure training that will enable them to become more employable, productive and responsible citizens as well as allowing them to continue their education to at least the level of completion of secondary school. Many programs offer English as a second language instruction to individuals unable to speak, read, or write the English language.</w:t>
      </w:r>
    </w:p>
    <w:p w14:paraId="51DEDB11" w14:textId="117534F9" w:rsidR="00274600" w:rsidRDefault="00274600" w:rsidP="00274600">
      <w:pPr>
        <w:pStyle w:val="Heading3"/>
      </w:pPr>
      <w:r>
        <w:t>Secondary = Adults/ESL Learners</w:t>
      </w:r>
    </w:p>
    <w:p w14:paraId="6D86EBCC" w14:textId="77777777" w:rsidR="00274600" w:rsidRDefault="00274600" w:rsidP="00274600">
      <w:pPr>
        <w:pStyle w:val="Heading4"/>
      </w:pPr>
      <w:r>
        <w:t>Secondary Education is also applied to adults seeking high school credentials and/or learning English</w:t>
      </w:r>
    </w:p>
    <w:p w14:paraId="6C10DC08" w14:textId="77777777" w:rsidR="00274600" w:rsidRDefault="00274600" w:rsidP="00274600">
      <w:r w:rsidRPr="003534A9">
        <w:rPr>
          <w:rStyle w:val="StyleStyleBold12pt"/>
        </w:rPr>
        <w:t>McCann 14</w:t>
      </w:r>
      <w:r>
        <w:t xml:space="preserve"> [Clare McCann, </w:t>
      </w:r>
      <w:r w:rsidRPr="003534A9">
        <w:t>a policy analyst with the Education Policy Program</w:t>
      </w:r>
      <w:r>
        <w:t xml:space="preserve"> at the New America Foundation, “</w:t>
      </w:r>
      <w:r w:rsidRPr="003534A9">
        <w:t>Adult Secondary Education</w:t>
      </w:r>
      <w:r>
        <w:t xml:space="preserve">”, published Feb 8, 2014, </w:t>
      </w:r>
      <w:hyperlink r:id="rId35" w:history="1">
        <w:r w:rsidRPr="00DB5A91">
          <w:rPr>
            <w:rStyle w:val="Hyperlink"/>
          </w:rPr>
          <w:t>http://www.edcentral.org/edcyclopedia/adult-secondary-education/</w:t>
        </w:r>
      </w:hyperlink>
      <w:r>
        <w:t xml:space="preserve">, accessed 6-26-17, DMJ] </w:t>
      </w:r>
    </w:p>
    <w:p w14:paraId="5DD60089" w14:textId="77777777" w:rsidR="00274600" w:rsidRDefault="00274600" w:rsidP="00274600"/>
    <w:p w14:paraId="75DF7BAE" w14:textId="77777777" w:rsidR="00274600" w:rsidRPr="003534A9" w:rsidRDefault="00274600" w:rsidP="00274600">
      <w:pPr>
        <w:rPr>
          <w:sz w:val="16"/>
          <w:highlight w:val="green"/>
        </w:rPr>
      </w:pPr>
      <w:r w:rsidRPr="003534A9">
        <w:rPr>
          <w:rStyle w:val="StyleBoldUnderline"/>
          <w:highlight w:val="green"/>
        </w:rPr>
        <w:t xml:space="preserve">Adult Secondary Education </w:t>
      </w:r>
      <w:r w:rsidRPr="003534A9">
        <w:rPr>
          <w:rStyle w:val="StyleBoldUnderline"/>
        </w:rPr>
        <w:t xml:space="preserve">Educational </w:t>
      </w:r>
      <w:r w:rsidRPr="003534A9">
        <w:rPr>
          <w:rStyle w:val="StyleBoldUnderline"/>
          <w:highlight w:val="green"/>
        </w:rPr>
        <w:t xml:space="preserve">services funded by </w:t>
      </w:r>
      <w:r w:rsidRPr="003534A9">
        <w:rPr>
          <w:rStyle w:val="StyleBoldUnderline"/>
        </w:rPr>
        <w:t>the Adult Education and Family Literacy Act (</w:t>
      </w:r>
      <w:r w:rsidRPr="003534A9">
        <w:rPr>
          <w:rStyle w:val="StyleBoldUnderline"/>
          <w:highlight w:val="green"/>
        </w:rPr>
        <w:t>AEFLA</w:t>
      </w:r>
      <w:r w:rsidRPr="003534A9">
        <w:rPr>
          <w:rStyle w:val="StyleBoldUnderline"/>
        </w:rPr>
        <w:t xml:space="preserve">) </w:t>
      </w:r>
      <w:r w:rsidRPr="003534A9">
        <w:rPr>
          <w:rStyle w:val="StyleBoldUnderline"/>
          <w:highlight w:val="green"/>
        </w:rPr>
        <w:t>are divided into three distinct programs</w:t>
      </w:r>
      <w:r w:rsidRPr="003534A9">
        <w:rPr>
          <w:rStyle w:val="StyleBoldUnderline"/>
        </w:rPr>
        <w:t>:</w:t>
      </w:r>
      <w:r w:rsidRPr="003534A9">
        <w:rPr>
          <w:sz w:val="16"/>
        </w:rPr>
        <w:t xml:space="preserve"> </w:t>
      </w:r>
      <w:r w:rsidRPr="003534A9">
        <w:rPr>
          <w:rStyle w:val="StyleBoldUnderline"/>
        </w:rPr>
        <w:t xml:space="preserve">1) </w:t>
      </w:r>
      <w:r w:rsidRPr="003534A9">
        <w:rPr>
          <w:rStyle w:val="StyleBoldUnderline"/>
          <w:highlight w:val="green"/>
        </w:rPr>
        <w:t xml:space="preserve">Adult Basic Education </w:t>
      </w:r>
      <w:r w:rsidRPr="003534A9">
        <w:rPr>
          <w:rStyle w:val="StyleBoldUnderline"/>
        </w:rPr>
        <w:t>(ABE</w:t>
      </w:r>
      <w:r w:rsidRPr="003534A9">
        <w:rPr>
          <w:sz w:val="16"/>
        </w:rPr>
        <w:t xml:space="preserve">) that target adults at very low literacy levels; </w:t>
      </w:r>
      <w:r w:rsidRPr="003534A9">
        <w:rPr>
          <w:rStyle w:val="StyleBoldUnderline"/>
        </w:rPr>
        <w:t xml:space="preserve">2) </w:t>
      </w:r>
      <w:r w:rsidRPr="003534A9">
        <w:rPr>
          <w:rStyle w:val="StyleBoldUnderline"/>
          <w:highlight w:val="green"/>
        </w:rPr>
        <w:t>Adult</w:t>
      </w:r>
      <w:r w:rsidRPr="003534A9">
        <w:rPr>
          <w:sz w:val="16"/>
          <w:highlight w:val="green"/>
        </w:rPr>
        <w:t xml:space="preserve"> </w:t>
      </w:r>
      <w:r w:rsidRPr="003534A9">
        <w:rPr>
          <w:rStyle w:val="StyleBoldUnderline"/>
          <w:highlight w:val="green"/>
        </w:rPr>
        <w:t xml:space="preserve">Secondary Education </w:t>
      </w:r>
      <w:r w:rsidRPr="003534A9">
        <w:rPr>
          <w:rStyle w:val="StyleBoldUnderline"/>
        </w:rPr>
        <w:t xml:space="preserve">(ASE) </w:t>
      </w:r>
      <w:r w:rsidRPr="003534A9">
        <w:rPr>
          <w:rStyle w:val="StyleBoldUnderline"/>
          <w:highlight w:val="green"/>
        </w:rPr>
        <w:t>for adults</w:t>
      </w:r>
      <w:r w:rsidRPr="003534A9">
        <w:rPr>
          <w:sz w:val="16"/>
          <w:highlight w:val="green"/>
        </w:rPr>
        <w:t xml:space="preserve"> </w:t>
      </w:r>
      <w:r w:rsidRPr="003534A9">
        <w:rPr>
          <w:sz w:val="16"/>
        </w:rPr>
        <w:t xml:space="preserve">whose literacy skills are at the high school level and/or are </w:t>
      </w:r>
      <w:r w:rsidRPr="003534A9">
        <w:rPr>
          <w:rStyle w:val="StyleBoldUnderline"/>
          <w:highlight w:val="green"/>
        </w:rPr>
        <w:t>seeking a high school credential</w:t>
      </w:r>
      <w:r w:rsidRPr="003534A9">
        <w:rPr>
          <w:rStyle w:val="StyleBoldUnderline"/>
        </w:rPr>
        <w:t xml:space="preserve">; </w:t>
      </w:r>
      <w:r w:rsidRPr="003534A9">
        <w:rPr>
          <w:rStyle w:val="StyleBoldUnderline"/>
          <w:highlight w:val="green"/>
        </w:rPr>
        <w:t xml:space="preserve">and </w:t>
      </w:r>
      <w:r w:rsidRPr="003534A9">
        <w:rPr>
          <w:rStyle w:val="StyleBoldUnderline"/>
        </w:rPr>
        <w:t xml:space="preserve">3) </w:t>
      </w:r>
      <w:r w:rsidRPr="003534A9">
        <w:rPr>
          <w:rStyle w:val="StyleBoldUnderline"/>
          <w:highlight w:val="green"/>
        </w:rPr>
        <w:t xml:space="preserve">English Language </w:t>
      </w:r>
      <w:r w:rsidRPr="003534A9">
        <w:rPr>
          <w:rStyle w:val="StyleBoldUnderline"/>
        </w:rPr>
        <w:t>(EL)</w:t>
      </w:r>
      <w:r w:rsidRPr="003534A9">
        <w:rPr>
          <w:sz w:val="16"/>
        </w:rPr>
        <w:t xml:space="preserve"> classes for adults who lack proficiency in English. In program year 2011-12, AEFLA programs enrolled 1.7 million participants, with 48% in ABE programs, 40% in EL programs and 12% in ASE. The characteristics of program participants vary by the type of program, with ASE programs serving younger (under 25) students while participants in EL programs tend to be older. </w:t>
      </w:r>
      <w:r w:rsidRPr="003534A9">
        <w:rPr>
          <w:rStyle w:val="StyleBoldUnderline"/>
          <w:highlight w:val="green"/>
        </w:rPr>
        <w:t>To be eligible for an AEFLA-funded program</w:t>
      </w:r>
      <w:r w:rsidRPr="003534A9">
        <w:rPr>
          <w:sz w:val="16"/>
          <w:highlight w:val="green"/>
        </w:rPr>
        <w:t xml:space="preserve">, </w:t>
      </w:r>
      <w:r w:rsidRPr="003534A9">
        <w:rPr>
          <w:rStyle w:val="StyleBoldUnderline"/>
          <w:highlight w:val="green"/>
        </w:rPr>
        <w:t>participants must be at least 16 years old, cannot be enrolled in secondary school, and must lack basic educational skills necessary to function effectively in society or a high school diploma or its equivalent</w:t>
      </w:r>
      <w:r w:rsidRPr="003534A9">
        <w:rPr>
          <w:rStyle w:val="StyleBoldUnderline"/>
        </w:rPr>
        <w:t xml:space="preserve">, </w:t>
      </w:r>
      <w:r w:rsidRPr="003534A9">
        <w:rPr>
          <w:rStyle w:val="StyleBoldUnderline"/>
          <w:highlight w:val="green"/>
        </w:rPr>
        <w:t>or be unable to speak, read, or write English.</w:t>
      </w:r>
    </w:p>
    <w:p w14:paraId="13937ADF" w14:textId="77777777" w:rsidR="001E0A77" w:rsidRPr="00066736" w:rsidRDefault="001E0A77" w:rsidP="001E0A77">
      <w:pPr>
        <w:pStyle w:val="Heading4"/>
        <w:rPr>
          <w:sz w:val="24"/>
        </w:rPr>
      </w:pPr>
      <w:r w:rsidRPr="00066736">
        <w:rPr>
          <w:sz w:val="24"/>
        </w:rPr>
        <w:t>Secondary education includes adult secondary education – as long as students are acquiring credit toward a high school diploma, its topical</w:t>
      </w:r>
    </w:p>
    <w:p w14:paraId="1BDD773C" w14:textId="77777777" w:rsidR="001E0A77" w:rsidRPr="00066736" w:rsidRDefault="001E0A77" w:rsidP="001E0A77">
      <w:pPr>
        <w:rPr>
          <w:sz w:val="14"/>
          <w:szCs w:val="16"/>
        </w:rPr>
      </w:pPr>
      <w:r w:rsidRPr="00066736">
        <w:rPr>
          <w:rStyle w:val="StyleStyleBold12pt"/>
        </w:rPr>
        <w:t>Pryor</w:t>
      </w:r>
      <w:r w:rsidRPr="00066736">
        <w:rPr>
          <w:sz w:val="14"/>
          <w:szCs w:val="16"/>
        </w:rPr>
        <w:t xml:space="preserve">, Eleventh Circuit United States Court of Appeals Judge, </w:t>
      </w:r>
      <w:r w:rsidRPr="00066736">
        <w:rPr>
          <w:rStyle w:val="StyleStyleBold12pt"/>
        </w:rPr>
        <w:t>2016</w:t>
      </w:r>
    </w:p>
    <w:p w14:paraId="1A33F172" w14:textId="77777777" w:rsidR="001E0A77" w:rsidRPr="00066736" w:rsidRDefault="001E0A77" w:rsidP="001E0A77">
      <w:pPr>
        <w:rPr>
          <w:sz w:val="14"/>
          <w:szCs w:val="16"/>
        </w:rPr>
      </w:pPr>
      <w:r w:rsidRPr="00066736">
        <w:rPr>
          <w:sz w:val="14"/>
          <w:szCs w:val="16"/>
        </w:rPr>
        <w:t>[William H., 12-6-16, “CARVER MIDDLE SCHOOL GAY-STRAIGHT ALLIANCE, an unincorporated association, H.F., a minor by and through parent Janine Faughnan, Plaintiffs-Appellants, v. SCHOOL BOARD OF LAKE COUNTY, FLORIDA, Defendant-Appellee.,” pg. 8-9, Lexis, NVM]</w:t>
      </w:r>
    </w:p>
    <w:p w14:paraId="55C2622D" w14:textId="77777777" w:rsidR="001E0A77" w:rsidRPr="00066736" w:rsidRDefault="001E0A77" w:rsidP="001E0A77">
      <w:pPr>
        <w:rPr>
          <w:sz w:val="10"/>
          <w:szCs w:val="16"/>
        </w:rPr>
      </w:pPr>
      <w:r w:rsidRPr="00066736">
        <w:rPr>
          <w:sz w:val="10"/>
          <w:szCs w:val="16"/>
        </w:rPr>
        <w:t xml:space="preserve">[HN11] Florida law does not expressly define "secondary education," but it does define the substantially similar term "adult secondary education" in its "K-20 Education Code." Fla. Stat. §§ 1000-1013. </w:t>
      </w:r>
      <w:r w:rsidRPr="00066736">
        <w:rPr>
          <w:rStyle w:val="StyleBoldUnderline"/>
          <w:sz w:val="20"/>
        </w:rPr>
        <w:t>"'Adult secondary education' means courses through which a person receives high school credit that leads to the award of a high school diploma or courses of instruction through which a student prepares to take the</w:t>
      </w:r>
      <w:r w:rsidRPr="00066736">
        <w:rPr>
          <w:sz w:val="10"/>
          <w:szCs w:val="16"/>
        </w:rPr>
        <w:t xml:space="preserve"> [**17] </w:t>
      </w:r>
      <w:r w:rsidRPr="00066736">
        <w:rPr>
          <w:rStyle w:val="StyleBoldUnderline"/>
          <w:sz w:val="20"/>
        </w:rPr>
        <w:t>high school equivalency examination</w:t>
      </w:r>
      <w:r w:rsidRPr="00066736">
        <w:rPr>
          <w:sz w:val="10"/>
          <w:szCs w:val="16"/>
        </w:rPr>
        <w:t xml:space="preserve">." Id. § 1004.02(4) (emphasis added). </w:t>
      </w:r>
      <w:r w:rsidRPr="00066736">
        <w:rPr>
          <w:rStyle w:val="StyleBoldUnderline"/>
          <w:sz w:val="20"/>
        </w:rPr>
        <w:t>Because this section defines a term, we afford it great weight</w:t>
      </w:r>
      <w:r w:rsidRPr="00066736">
        <w:rPr>
          <w:sz w:val="10"/>
          <w:szCs w:val="16"/>
        </w:rPr>
        <w:t>. See Antonin Scalia &amp; Bryan Garner, Reading Law: The Interpretation of Legal Texts 228 (2012).</w:t>
      </w:r>
    </w:p>
    <w:p w14:paraId="1D3D484B" w14:textId="77777777" w:rsidR="001E0A77" w:rsidRPr="00066736" w:rsidRDefault="001E0A77" w:rsidP="001E0A77">
      <w:pPr>
        <w:rPr>
          <w:sz w:val="10"/>
          <w:szCs w:val="16"/>
        </w:rPr>
      </w:pPr>
      <w:r w:rsidRPr="00066736">
        <w:rPr>
          <w:rStyle w:val="StyleBoldUnderline"/>
          <w:sz w:val="20"/>
        </w:rPr>
        <w:t>"Adult" modifies "secondary education" only to distinguish the kind of student who receives the education</w:t>
      </w:r>
      <w:r w:rsidRPr="00066736">
        <w:rPr>
          <w:sz w:val="10"/>
          <w:szCs w:val="16"/>
        </w:rPr>
        <w:t xml:space="preserve">. "Adult secondary education" is defined within the chapter of the Education Code entitled "Public Postsecondary Education." Fla. Stat. ch. 1004. Later in the same chapter, </w:t>
      </w:r>
      <w:r w:rsidRPr="00066736">
        <w:rPr>
          <w:rStyle w:val="StyleBoldUnderline"/>
          <w:sz w:val="20"/>
        </w:rPr>
        <w:t>Florida law establishes that locally governed state colleges have two roles: the primary role is to provide "postsecondary academic education</w:t>
      </w:r>
      <w:r w:rsidRPr="00066736">
        <w:rPr>
          <w:sz w:val="10"/>
          <w:szCs w:val="16"/>
        </w:rPr>
        <w:t xml:space="preserve"> and career degree education," Fla. Stat. § 1004.65(5), </w:t>
      </w:r>
      <w:r w:rsidRPr="00066736">
        <w:rPr>
          <w:rStyle w:val="StyleBoldUnderline"/>
          <w:sz w:val="20"/>
        </w:rPr>
        <w:t>and the subsidiary "role . . . includes the offering of programs in . . . adult secondary education</w:t>
      </w:r>
      <w:r w:rsidRPr="00066736">
        <w:rPr>
          <w:sz w:val="10"/>
          <w:szCs w:val="16"/>
        </w:rPr>
        <w:t>." Id. § 1004.65(6) (emphasis added). "</w:t>
      </w:r>
      <w:r w:rsidRPr="00066736">
        <w:rPr>
          <w:rStyle w:val="StyleBoldUnderline"/>
          <w:sz w:val="20"/>
        </w:rPr>
        <w:t>Adult" signifies that it is adults, not adolescents, who receive education under this chapter</w:t>
      </w:r>
      <w:r w:rsidRPr="00066736">
        <w:rPr>
          <w:sz w:val="10"/>
          <w:szCs w:val="16"/>
        </w:rPr>
        <w:t>.</w:t>
      </w:r>
    </w:p>
    <w:p w14:paraId="530B26F5" w14:textId="77777777" w:rsidR="001E0A77" w:rsidRPr="00066736" w:rsidRDefault="001E0A77" w:rsidP="001E0A77">
      <w:pPr>
        <w:rPr>
          <w:sz w:val="10"/>
          <w:szCs w:val="16"/>
        </w:rPr>
      </w:pPr>
      <w:r w:rsidRPr="00066736">
        <w:rPr>
          <w:sz w:val="10"/>
          <w:szCs w:val="16"/>
        </w:rPr>
        <w:t xml:space="preserve">[HN12] Other provisions of the Education Code also suggest that </w:t>
      </w:r>
      <w:r w:rsidRPr="00066736">
        <w:rPr>
          <w:rStyle w:val="StyleBoldUnderline"/>
          <w:sz w:val="20"/>
        </w:rPr>
        <w:t>the term "secondary education" means courses through which students can obtain high school credit</w:t>
      </w:r>
      <w:r w:rsidRPr="00066736">
        <w:rPr>
          <w:sz w:val="10"/>
          <w:szCs w:val="16"/>
        </w:rPr>
        <w:t xml:space="preserve">. One provision grants certain state colleges authority to "develop charter schools that offer secondary education." Id. § 1002.33(5) (emphasis added). That provision establishes that </w:t>
      </w:r>
      <w:r w:rsidRPr="00066736">
        <w:rPr>
          <w:rStyle w:val="StyleBoldUnderline"/>
          <w:sz w:val="20"/>
        </w:rPr>
        <w:t>students</w:t>
      </w:r>
      <w:r w:rsidRPr="00066736">
        <w:rPr>
          <w:sz w:val="10"/>
          <w:szCs w:val="16"/>
        </w:rPr>
        <w:t xml:space="preserve"> [**18] </w:t>
      </w:r>
      <w:r w:rsidRPr="00066736">
        <w:rPr>
          <w:rStyle w:val="StyleBoldUnderline"/>
          <w:sz w:val="20"/>
        </w:rPr>
        <w:t>can "graduat[e]</w:t>
      </w:r>
      <w:r w:rsidRPr="00066736">
        <w:rPr>
          <w:sz w:val="10"/>
          <w:szCs w:val="16"/>
        </w:rPr>
        <w:t xml:space="preserve">" </w:t>
      </w:r>
      <w:r w:rsidRPr="00066736">
        <w:rPr>
          <w:rStyle w:val="StyleBoldUnderline"/>
          <w:sz w:val="20"/>
        </w:rPr>
        <w:t xml:space="preserve">from "high school" at </w:t>
      </w:r>
      <w:r w:rsidRPr="00066736">
        <w:rPr>
          <w:sz w:val="10"/>
          <w:szCs w:val="16"/>
        </w:rPr>
        <w:t xml:space="preserve">these </w:t>
      </w:r>
      <w:r w:rsidRPr="00066736">
        <w:rPr>
          <w:rStyle w:val="StyleBoldUnderline"/>
          <w:sz w:val="20"/>
        </w:rPr>
        <w:t>charter schools,</w:t>
      </w:r>
      <w:r w:rsidRPr="00066736">
        <w:rPr>
          <w:sz w:val="10"/>
          <w:szCs w:val="16"/>
        </w:rPr>
        <w:t xml:space="preserve"> id., </w:t>
      </w:r>
      <w:r w:rsidRPr="00066736">
        <w:rPr>
          <w:rStyle w:val="StyleBoldUnderline"/>
          <w:sz w:val="20"/>
        </w:rPr>
        <w:t xml:space="preserve">which supports the definition </w:t>
      </w:r>
      <w:r w:rsidRPr="00066736">
        <w:rPr>
          <w:sz w:val="10"/>
          <w:szCs w:val="16"/>
        </w:rPr>
        <w:t xml:space="preserve">in section 1004.02 </w:t>
      </w:r>
      <w:r w:rsidRPr="00066736">
        <w:rPr>
          <w:rStyle w:val="StyleBoldUnderline"/>
          <w:sz w:val="20"/>
        </w:rPr>
        <w:t>that secondary education includes courses for which high school credit is available</w:t>
      </w:r>
      <w:r w:rsidRPr="00066736">
        <w:rPr>
          <w:sz w:val="10"/>
          <w:szCs w:val="16"/>
        </w:rPr>
        <w:t xml:space="preserve">. Another provision requires the Department of Juvenile Justice to provide an educational program that includes, separately, "[s]econdary education" and "[h]igh school equivalency examination preparation." Id. § 1003.51(2)(h). To be sure, </w:t>
      </w:r>
      <w:r w:rsidRPr="00066736">
        <w:rPr>
          <w:rStyle w:val="StyleBoldUnderline"/>
          <w:sz w:val="20"/>
        </w:rPr>
        <w:t xml:space="preserve">the definition of "adult secondary education" </w:t>
      </w:r>
      <w:r w:rsidRPr="00066736">
        <w:rPr>
          <w:sz w:val="10"/>
          <w:szCs w:val="16"/>
        </w:rPr>
        <w:t xml:space="preserve">in section 1004.02 </w:t>
      </w:r>
      <w:r w:rsidRPr="00066736">
        <w:rPr>
          <w:rStyle w:val="StyleBoldUnderline"/>
          <w:sz w:val="20"/>
        </w:rPr>
        <w:t>includes preparation for equivalency exams, and</w:t>
      </w:r>
      <w:r w:rsidRPr="00066736">
        <w:rPr>
          <w:sz w:val="10"/>
          <w:szCs w:val="16"/>
        </w:rPr>
        <w:t xml:space="preserve"> section 1003.51(2)(h) suggests that </w:t>
      </w:r>
      <w:r w:rsidRPr="00066736">
        <w:rPr>
          <w:rStyle w:val="StyleBoldUnderline"/>
          <w:sz w:val="20"/>
        </w:rPr>
        <w:t>"secondary education" does not include that preparation</w:t>
      </w:r>
      <w:r w:rsidRPr="00066736">
        <w:rPr>
          <w:sz w:val="10"/>
          <w:szCs w:val="16"/>
        </w:rPr>
        <w:t xml:space="preserve">. But </w:t>
      </w:r>
      <w:r w:rsidRPr="00066736">
        <w:rPr>
          <w:rStyle w:val="StyleBoldUnderline"/>
          <w:sz w:val="20"/>
        </w:rPr>
        <w:t>this provision raises doubt only as to whether preparation for equivalency exams falls within "secondary education." It does not suggest that "secondary education" excludes courses through which students can obtain high school credit</w:t>
      </w:r>
      <w:r w:rsidRPr="00066736">
        <w:rPr>
          <w:sz w:val="10"/>
          <w:szCs w:val="16"/>
        </w:rPr>
        <w:t xml:space="preserve">. Finally, with a few exceptions, colleges and universities in Florida require students to obtain a high school diploma before enrolling in programs that provide post-secondary education. Fla. Stat. §§ 1007.263(2)-(3) (associate degrees); State Univ. Sys. of Fla., Reg. 6.002(1)(d) (bachelor's degrees). </w:t>
      </w:r>
      <w:r w:rsidRPr="00066736">
        <w:rPr>
          <w:rStyle w:val="StyleBoldUnderline"/>
          <w:sz w:val="20"/>
        </w:rPr>
        <w:t>Because "post-secondary education" comes after "secondary education,"</w:t>
      </w:r>
      <w:r w:rsidRPr="00066736">
        <w:rPr>
          <w:sz w:val="10"/>
          <w:szCs w:val="16"/>
        </w:rPr>
        <w:t xml:space="preserve"> these provisions suggest that </w:t>
      </w:r>
      <w:r w:rsidRPr="00066736">
        <w:rPr>
          <w:rStyle w:val="StyleBoldUnderline"/>
          <w:sz w:val="20"/>
        </w:rPr>
        <w:t xml:space="preserve">secondary education encompasses courses </w:t>
      </w:r>
      <w:r w:rsidRPr="00066736">
        <w:rPr>
          <w:sz w:val="10"/>
          <w:szCs w:val="16"/>
        </w:rPr>
        <w:t xml:space="preserve">[**19] </w:t>
      </w:r>
      <w:r w:rsidRPr="00066736">
        <w:rPr>
          <w:rStyle w:val="StyleBoldUnderline"/>
          <w:sz w:val="20"/>
        </w:rPr>
        <w:t>provided for high school credit. When read together, these provisions establish that a public school "provides secondary education" if it provides courses through which students can obtain high school credit</w:t>
      </w:r>
      <w:r w:rsidRPr="00066736">
        <w:rPr>
          <w:sz w:val="10"/>
          <w:szCs w:val="16"/>
        </w:rPr>
        <w:t>.</w:t>
      </w:r>
    </w:p>
    <w:p w14:paraId="6DE26A4E" w14:textId="77777777" w:rsidR="001E0A77" w:rsidRPr="00066736" w:rsidRDefault="001E0A77" w:rsidP="001E0A77">
      <w:pPr>
        <w:rPr>
          <w:sz w:val="14"/>
          <w:szCs w:val="16"/>
        </w:rPr>
      </w:pPr>
    </w:p>
    <w:p w14:paraId="2BFB3364" w14:textId="77777777" w:rsidR="00BF4A03" w:rsidRPr="00196932" w:rsidRDefault="00BF4A03" w:rsidP="00BF4A03"/>
    <w:p w14:paraId="564C5EAB" w14:textId="77777777" w:rsidR="00BF4A03" w:rsidRPr="00BF4A03" w:rsidRDefault="00BF4A03" w:rsidP="00BF4A03"/>
    <w:p w14:paraId="2EB12821" w14:textId="6BECE44A" w:rsidR="001E7AE4" w:rsidRPr="001E7AE4" w:rsidRDefault="00BF4A03" w:rsidP="001E7AE4">
      <w:pPr>
        <w:pStyle w:val="Heading2"/>
      </w:pPr>
      <w:r>
        <w:t>Education:</w:t>
      </w:r>
    </w:p>
    <w:p w14:paraId="393B2D47" w14:textId="48CE0599" w:rsidR="001E0A77" w:rsidRDefault="001E0A77" w:rsidP="001E0A77">
      <w:pPr>
        <w:pStyle w:val="Heading3"/>
      </w:pPr>
      <w:r>
        <w:t xml:space="preserve">Education = School System </w:t>
      </w:r>
    </w:p>
    <w:p w14:paraId="22B9A709" w14:textId="16313FE7" w:rsidR="001E0A77" w:rsidRPr="001E0A77" w:rsidRDefault="001E0A77" w:rsidP="001E0A77">
      <w:pPr>
        <w:pStyle w:val="Heading4"/>
      </w:pPr>
      <w:r>
        <w:t xml:space="preserve">Education is the entire school system. </w:t>
      </w:r>
    </w:p>
    <w:p w14:paraId="2E44BEA8" w14:textId="77777777" w:rsidR="001E0A77" w:rsidRPr="00066736" w:rsidRDefault="001E0A77" w:rsidP="001E0A77">
      <w:pPr>
        <w:rPr>
          <w:sz w:val="14"/>
          <w:szCs w:val="16"/>
        </w:rPr>
      </w:pPr>
      <w:r w:rsidRPr="00066736">
        <w:rPr>
          <w:rStyle w:val="StyleStyleBold12pt"/>
        </w:rPr>
        <w:t>Jung and Lippitt 96</w:t>
      </w:r>
      <w:r w:rsidRPr="00066736">
        <w:rPr>
          <w:sz w:val="14"/>
          <w:szCs w:val="16"/>
        </w:rPr>
        <w:t xml:space="preserve"> Charles Jung is acting project director at the Center for Research on Utilization of Specific Knowledge at UMich’s Institute for Social Research. Ronald Lippitt is Program Director the Center for Research on Utilization of Specific Knowledge at UMich’s Institute for Social Research. (“The Study of Change as a Concept in Research Utilization,” Theory Into Practice Vol. 5, No. 1, Planning for Educational Change (Feb., 1966), pp. 25-29 Taylor &amp; Francis, </w:t>
      </w:r>
      <w:hyperlink r:id="rId36" w:anchor="page_scan_tab_contents" w:history="1">
        <w:r w:rsidRPr="00066736">
          <w:rPr>
            <w:rStyle w:val="Hyperlink"/>
            <w:sz w:val="20"/>
          </w:rPr>
          <w:t>JSTOR</w:t>
        </w:r>
      </w:hyperlink>
      <w:r w:rsidRPr="00066736">
        <w:rPr>
          <w:sz w:val="14"/>
          <w:szCs w:val="16"/>
        </w:rPr>
        <w:t>) AAB</w:t>
      </w:r>
    </w:p>
    <w:p w14:paraId="1E52FFE9" w14:textId="77777777" w:rsidR="001E0A77" w:rsidRPr="00066736" w:rsidRDefault="001E0A77" w:rsidP="001E0A77">
      <w:pPr>
        <w:rPr>
          <w:sz w:val="10"/>
          <w:szCs w:val="16"/>
        </w:rPr>
      </w:pPr>
      <w:r w:rsidRPr="00066736">
        <w:rPr>
          <w:rStyle w:val="StyleBoldUnderline"/>
          <w:sz w:val="20"/>
        </w:rPr>
        <w:t xml:space="preserve">Education is </w:t>
      </w:r>
      <w:r w:rsidRPr="00066736">
        <w:rPr>
          <w:sz w:val="10"/>
          <w:szCs w:val="16"/>
        </w:rPr>
        <w:t xml:space="preserve">defined here as </w:t>
      </w:r>
      <w:r w:rsidRPr="00066736">
        <w:rPr>
          <w:rStyle w:val="StyleBoldUnderline"/>
          <w:sz w:val="20"/>
        </w:rPr>
        <w:t>creating and maintain- ing good learning experiences for children</w:t>
      </w:r>
      <w:r w:rsidRPr="00066736">
        <w:rPr>
          <w:sz w:val="10"/>
          <w:szCs w:val="16"/>
        </w:rPr>
        <w:t xml:space="preserve">. </w:t>
      </w:r>
      <w:r w:rsidRPr="00066736">
        <w:rPr>
          <w:rStyle w:val="Emphasis"/>
          <w:sz w:val="20"/>
        </w:rPr>
        <w:t>This must be considered in the context of the total school sys- tem, not just the classroom.</w:t>
      </w:r>
      <w:r w:rsidRPr="00066736">
        <w:rPr>
          <w:sz w:val="10"/>
          <w:szCs w:val="16"/>
        </w:rPr>
        <w:t xml:space="preserve"> The primary objective of the system is to support the child's motivation and perception of himself as a learner so he will be active in learning experiences. This is seen as the major responsibility of the teacher. </w:t>
      </w:r>
      <w:r w:rsidRPr="00066736">
        <w:rPr>
          <w:rStyle w:val="StyleBoldUnderline"/>
          <w:sz w:val="20"/>
        </w:rPr>
        <w:t>The instrumental means require creating an organizational system which supports the teacher's efforts and providing the classroom with materials and curriculum designs which are up to date and appropriate in content and method.</w:t>
      </w:r>
      <w:r w:rsidRPr="00066736">
        <w:rPr>
          <w:sz w:val="10"/>
          <w:szCs w:val="16"/>
        </w:rPr>
        <w:t xml:space="preserve"> </w:t>
      </w:r>
      <w:r w:rsidRPr="00066736">
        <w:rPr>
          <w:rStyle w:val="StyleBoldUnderline"/>
          <w:sz w:val="20"/>
        </w:rPr>
        <w:t xml:space="preserve">The structure of the school system is a coordination of educational process at five levels of human phenomena-the pupil as a functioning, unique self; the classroom peer group; direct workers with the pupils (e.g., teacher, counselor, etc.); those who directly facilitate or inhibit the efforts of the direct workers; and </w:t>
      </w:r>
      <w:r w:rsidRPr="00066736">
        <w:rPr>
          <w:rStyle w:val="Emphasis"/>
          <w:sz w:val="20"/>
        </w:rPr>
        <w:t>persons who influence the policy and structure of the school system as a total com- munity organization</w:t>
      </w:r>
      <w:r w:rsidRPr="00066736">
        <w:rPr>
          <w:sz w:val="10"/>
          <w:szCs w:val="16"/>
        </w:rPr>
        <w:t>. Persons at these levels need to have three kinds of awareness and knowledge in order to help improve educational activities: (1) a diagnosis of the priority needs for change; (2) an awareness of existing innovations as alternatives for action toward change; (3) knowledge of the re- sources available to work toward change.</w:t>
      </w:r>
    </w:p>
    <w:p w14:paraId="71304F0E" w14:textId="77777777" w:rsidR="001E0A77" w:rsidRPr="00066736" w:rsidRDefault="001E0A77" w:rsidP="001E0A77">
      <w:pPr>
        <w:pStyle w:val="Heading4"/>
        <w:rPr>
          <w:rFonts w:cs="Times New Roman"/>
          <w:sz w:val="24"/>
        </w:rPr>
      </w:pPr>
      <w:r w:rsidRPr="00066736">
        <w:rPr>
          <w:rFonts w:cs="Times New Roman"/>
          <w:sz w:val="24"/>
        </w:rPr>
        <w:t>Education is more than just instruction</w:t>
      </w:r>
    </w:p>
    <w:p w14:paraId="6555BBE1" w14:textId="77777777" w:rsidR="001E0A77" w:rsidRPr="00066736" w:rsidRDefault="001E0A77" w:rsidP="001E0A77">
      <w:pPr>
        <w:rPr>
          <w:sz w:val="14"/>
          <w:szCs w:val="16"/>
        </w:rPr>
      </w:pPr>
      <w:r w:rsidRPr="00066736">
        <w:rPr>
          <w:rStyle w:val="StyleStyleBold12pt"/>
        </w:rPr>
        <w:t>Black’s Law Dictionary, No Date</w:t>
      </w:r>
      <w:r w:rsidRPr="00066736">
        <w:rPr>
          <w:sz w:val="14"/>
          <w:szCs w:val="16"/>
        </w:rPr>
        <w:t>(“What is EDUCATION?”, The Law Dictionary, http://thelawdictionary.org/education/,//SL)</w:t>
      </w:r>
    </w:p>
    <w:p w14:paraId="251580E1" w14:textId="77777777" w:rsidR="001E0A77" w:rsidRDefault="001E0A77" w:rsidP="001E0A77">
      <w:pPr>
        <w:rPr>
          <w:sz w:val="10"/>
          <w:szCs w:val="16"/>
        </w:rPr>
      </w:pPr>
      <w:r w:rsidRPr="00066736">
        <w:rPr>
          <w:sz w:val="10"/>
          <w:szCs w:val="16"/>
        </w:rPr>
        <w:t xml:space="preserve">Within the meaning of a statute relative to the powers and duties of guardians, </w:t>
      </w:r>
      <w:r w:rsidRPr="00066736">
        <w:rPr>
          <w:rStyle w:val="StyleBoldUnderline"/>
          <w:sz w:val="20"/>
        </w:rPr>
        <w:t>this term comprehends not merely the instruction received at school</w:t>
      </w:r>
      <w:r w:rsidRPr="00066736">
        <w:rPr>
          <w:sz w:val="10"/>
          <w:szCs w:val="16"/>
        </w:rPr>
        <w:t xml:space="preserve"> or college ,</w:t>
      </w:r>
      <w:r w:rsidRPr="00066736">
        <w:rPr>
          <w:rStyle w:val="StyleBoldUnderline"/>
          <w:sz w:val="20"/>
        </w:rPr>
        <w:t>but the whole course of training, moral, intellectual, and physical. Education maybe particularly directed to either the mental, moral, or physical powers and faculties</w:t>
      </w:r>
      <w:r w:rsidRPr="00066736">
        <w:rPr>
          <w:sz w:val="10"/>
          <w:szCs w:val="16"/>
        </w:rPr>
        <w:t>,"</w:t>
      </w:r>
      <w:r w:rsidRPr="00066736">
        <w:rPr>
          <w:rStyle w:val="StyleBoldUnderline"/>
          <w:sz w:val="20"/>
        </w:rPr>
        <w:t>but In its broadest aud best sense it relates to them all.</w:t>
      </w:r>
      <w:r w:rsidRPr="00066736">
        <w:rPr>
          <w:sz w:val="10"/>
          <w:szCs w:val="16"/>
        </w:rPr>
        <w:t xml:space="preserve"> Mount Herman Boys'School v. Gill, 145 Mass. 139, 13 N. E. 354; Cook v. State, 90 Tenn. 407, 10 S. W. 471,13 L. It. A. 183; Ruohs v. Backer, 6 Heisk. (Tenn.) 400, 19 Am. Rep. 598.</w:t>
      </w:r>
    </w:p>
    <w:p w14:paraId="7A6D379D" w14:textId="2B700A8D" w:rsidR="001E0A77" w:rsidRDefault="001E0A77" w:rsidP="001E0A77">
      <w:pPr>
        <w:pStyle w:val="Heading3"/>
      </w:pPr>
      <w:r>
        <w:t xml:space="preserve">Education = Learning </w:t>
      </w:r>
    </w:p>
    <w:p w14:paraId="02DEA611" w14:textId="77777777" w:rsidR="001E0A77" w:rsidRPr="00066736" w:rsidRDefault="001E0A77" w:rsidP="001E0A77">
      <w:pPr>
        <w:pStyle w:val="Heading4"/>
        <w:rPr>
          <w:sz w:val="24"/>
        </w:rPr>
      </w:pPr>
      <w:r w:rsidRPr="00066736">
        <w:rPr>
          <w:sz w:val="24"/>
        </w:rPr>
        <w:t>“Education” is all forms of learning and not limited to formal schooling</w:t>
      </w:r>
    </w:p>
    <w:p w14:paraId="329580EA" w14:textId="77777777" w:rsidR="001E0A77" w:rsidRPr="005F783E" w:rsidRDefault="001E0A77" w:rsidP="001E0A77">
      <w:pPr>
        <w:rPr>
          <w:sz w:val="16"/>
          <w:szCs w:val="16"/>
        </w:rPr>
      </w:pPr>
      <w:r w:rsidRPr="00066736">
        <w:rPr>
          <w:rStyle w:val="StyleStyleBold12pt"/>
        </w:rPr>
        <w:t>Davenport 88 –</w:t>
      </w:r>
      <w:r w:rsidRPr="005F783E">
        <w:rPr>
          <w:sz w:val="16"/>
          <w:szCs w:val="16"/>
        </w:rPr>
        <w:t xml:space="preserve"> J. Davenport, Judge on the Common Pleas Court of Montgomery County, Pennsylvania, “Prana Yoga Centre v. Lower Pottsgrove Township Zoning Hearing Board”, 1988 Pa. Dist. &amp; Cnty. Dec. LEXIS 253; 48 Pa. D. &amp; C.3d 650, 4-20, Lexis</w:t>
      </w:r>
    </w:p>
    <w:p w14:paraId="2C7F6754" w14:textId="77777777" w:rsidR="001E0A77" w:rsidRPr="005F783E" w:rsidRDefault="001E0A77" w:rsidP="001E0A77">
      <w:pPr>
        <w:rPr>
          <w:sz w:val="16"/>
          <w:szCs w:val="16"/>
        </w:rPr>
      </w:pPr>
      <w:r w:rsidRPr="005F783E">
        <w:rPr>
          <w:sz w:val="16"/>
          <w:szCs w:val="16"/>
        </w:rPr>
        <w:t>DISCUSSION</w:t>
      </w:r>
    </w:p>
    <w:p w14:paraId="2EABD596" w14:textId="77777777" w:rsidR="001E0A77" w:rsidRPr="00066736" w:rsidRDefault="001E0A77" w:rsidP="001E0A77">
      <w:pPr>
        <w:rPr>
          <w:sz w:val="14"/>
        </w:rPr>
      </w:pPr>
      <w:r w:rsidRPr="00066736">
        <w:rPr>
          <w:rStyle w:val="StyleBoldUnderline"/>
          <w:sz w:val="20"/>
        </w:rPr>
        <w:t>Whether the study and training of yoga should be considered "educational" raises a novel question for</w:t>
      </w:r>
      <w:r w:rsidRPr="00066736">
        <w:rPr>
          <w:sz w:val="14"/>
        </w:rPr>
        <w:t xml:space="preserve">  [**652]  </w:t>
      </w:r>
      <w:r w:rsidRPr="00066736">
        <w:rPr>
          <w:rStyle w:val="StyleBoldUnderline"/>
          <w:sz w:val="20"/>
        </w:rPr>
        <w:t>this commonwealth</w:t>
      </w:r>
      <w:r w:rsidRPr="00066736">
        <w:rPr>
          <w:sz w:val="14"/>
        </w:rPr>
        <w:t xml:space="preserve">. Section 601.5(a) of the Lower Pottsgrove Township Zoning Ordinance does not define the term "educational" for purposes of granting a special exception. In the seminal case of Gilden Appeal, 406 Pa. 484, 178 A.2d 562 (1962), the Pennsylvania Supreme Court held that </w:t>
      </w:r>
      <w:r w:rsidRPr="00066736">
        <w:rPr>
          <w:rStyle w:val="StyleBoldUnderline"/>
          <w:sz w:val="20"/>
        </w:rPr>
        <w:t xml:space="preserve">in the absence of a stated definition, the word "education" is to be taken in its </w:t>
      </w:r>
      <w:r w:rsidRPr="00066736">
        <w:rPr>
          <w:rStyle w:val="Emphasis"/>
          <w:sz w:val="20"/>
        </w:rPr>
        <w:t>broadest</w:t>
      </w:r>
      <w:r w:rsidRPr="00066736">
        <w:rPr>
          <w:rStyle w:val="StyleBoldUnderline"/>
          <w:sz w:val="20"/>
        </w:rPr>
        <w:t xml:space="preserve"> sense</w:t>
      </w:r>
      <w:r w:rsidRPr="00066736">
        <w:rPr>
          <w:sz w:val="14"/>
        </w:rPr>
        <w:t>:HN3Go to this Headnote in the case.</w:t>
      </w:r>
    </w:p>
    <w:p w14:paraId="112DADB1" w14:textId="77777777" w:rsidR="001E0A77" w:rsidRPr="00066736" w:rsidRDefault="001E0A77" w:rsidP="001E0A77">
      <w:pPr>
        <w:rPr>
          <w:sz w:val="16"/>
        </w:rPr>
      </w:pPr>
      <w:r w:rsidRPr="00066736">
        <w:rPr>
          <w:rStyle w:val="StyleBoldUnderline"/>
          <w:sz w:val="20"/>
        </w:rPr>
        <w:t>"The word [education] taken in its full sense, is a broad, comprehensive term and may be particularly directed to either mental, moral or physical faculties, but in its broadest sense it embraces them all, and includes</w:t>
      </w:r>
      <w:r w:rsidRPr="00066736">
        <w:rPr>
          <w:sz w:val="16"/>
        </w:rPr>
        <w:t xml:space="preserve"> [*3]  </w:t>
      </w:r>
      <w:r w:rsidRPr="00066736">
        <w:rPr>
          <w:rStyle w:val="Emphasis"/>
          <w:sz w:val="20"/>
        </w:rPr>
        <w:t>not merely the instruction received at the school</w:t>
      </w:r>
      <w:r w:rsidRPr="00066736">
        <w:rPr>
          <w:rStyle w:val="StyleBoldUnderline"/>
          <w:sz w:val="20"/>
        </w:rPr>
        <w:t xml:space="preserve">, college or university, but the </w:t>
      </w:r>
      <w:r w:rsidRPr="00066736">
        <w:rPr>
          <w:rStyle w:val="Emphasis"/>
          <w:sz w:val="20"/>
        </w:rPr>
        <w:t>whole course</w:t>
      </w:r>
      <w:r w:rsidRPr="00066736">
        <w:rPr>
          <w:rStyle w:val="StyleBoldUnderline"/>
          <w:sz w:val="20"/>
        </w:rPr>
        <w:t xml:space="preserve"> of training -- moral, intellectual and physical."</w:t>
      </w:r>
      <w:r w:rsidRPr="00066736">
        <w:rPr>
          <w:sz w:val="16"/>
        </w:rPr>
        <w:t xml:space="preserve"> Gilden Appeal, 406 Pa. 484, 492, 178 A.2d 562, 566 (1962).</w:t>
      </w:r>
    </w:p>
    <w:p w14:paraId="206D1CBF" w14:textId="77777777" w:rsidR="001E0A77" w:rsidRPr="00066736" w:rsidRDefault="001E0A77" w:rsidP="001E0A77">
      <w:pPr>
        <w:rPr>
          <w:sz w:val="16"/>
        </w:rPr>
      </w:pPr>
      <w:r w:rsidRPr="00066736">
        <w:rPr>
          <w:rStyle w:val="StyleBoldUnderline"/>
          <w:sz w:val="20"/>
        </w:rPr>
        <w:t>Applying this broad definition, Pennsylvania courts have held the following constitute educational uses: college dormitories</w:t>
      </w:r>
      <w:r w:rsidRPr="00066736">
        <w:rPr>
          <w:sz w:val="16"/>
        </w:rPr>
        <w:t xml:space="preserve">, Dale v. Zoning Hearing Board of Tredyffrin Township, 91 Pa. Commw. 220, 496 A.2d 1321 (1985); </w:t>
      </w:r>
      <w:r w:rsidRPr="00066736">
        <w:rPr>
          <w:rStyle w:val="StyleBoldUnderline"/>
          <w:sz w:val="20"/>
        </w:rPr>
        <w:t>a center for instruction in the culture, history, traditions and customs of the Ukranian Catholic Church</w:t>
      </w:r>
      <w:r w:rsidRPr="00066736">
        <w:rPr>
          <w:sz w:val="16"/>
        </w:rPr>
        <w:t xml:space="preserve">, St. Sophia Religious Association of Ukranian Catholics Inc. v. Cheltenham Township, 27 Pa. Commw. 237, 365 A.2d 1389 (1976); </w:t>
      </w:r>
      <w:r w:rsidRPr="00066736">
        <w:rPr>
          <w:rStyle w:val="StyleBoldUnderline"/>
          <w:sz w:val="20"/>
        </w:rPr>
        <w:t>an equestrian training center</w:t>
      </w:r>
      <w:r w:rsidRPr="00066736">
        <w:rPr>
          <w:sz w:val="16"/>
        </w:rPr>
        <w:t xml:space="preserve">, Burgoon v. Zoning Hearing Board of Charlestown Township, 2 Pa. Commw. 238, 277 A.2d 837 (1971); </w:t>
      </w:r>
      <w:r w:rsidRPr="00066736">
        <w:rPr>
          <w:rStyle w:val="StyleBoldUnderline"/>
          <w:sz w:val="20"/>
        </w:rPr>
        <w:t>and, a Little League baseball field</w:t>
      </w:r>
      <w:r w:rsidRPr="00066736">
        <w:rPr>
          <w:sz w:val="16"/>
        </w:rPr>
        <w:t>, Kirk Zoning Appeal, 12 Chester L. Rep. 229 (1964).</w:t>
      </w:r>
    </w:p>
    <w:p w14:paraId="14F47CC4" w14:textId="77777777" w:rsidR="001E0A77" w:rsidRPr="00066736" w:rsidRDefault="001E0A77" w:rsidP="001E0A77">
      <w:pPr>
        <w:rPr>
          <w:sz w:val="16"/>
        </w:rPr>
      </w:pPr>
      <w:r w:rsidRPr="00066736">
        <w:rPr>
          <w:sz w:val="16"/>
        </w:rPr>
        <w:t xml:space="preserve">The obvious import of these aforementioned cases is that </w:t>
      </w:r>
      <w:r w:rsidRPr="00066736">
        <w:rPr>
          <w:rStyle w:val="StyleBoldUnderline"/>
          <w:sz w:val="20"/>
        </w:rPr>
        <w:t xml:space="preserve">the term "educational" may encompass </w:t>
      </w:r>
      <w:r w:rsidRPr="00066736">
        <w:rPr>
          <w:rStyle w:val="Emphasis"/>
          <w:sz w:val="20"/>
        </w:rPr>
        <w:t>more than</w:t>
      </w:r>
      <w:r w:rsidRPr="00066736">
        <w:rPr>
          <w:rStyle w:val="StyleBoldUnderline"/>
          <w:sz w:val="20"/>
        </w:rPr>
        <w:t xml:space="preserve"> reading, writing and arithmetic classes taught in traditional schools, colleges or universities. Indeed, the word "educational" has been associated with</w:t>
      </w:r>
      <w:r w:rsidRPr="00066736">
        <w:rPr>
          <w:sz w:val="16"/>
        </w:rPr>
        <w:t xml:space="preserve"> [*4]  </w:t>
      </w:r>
      <w:r w:rsidRPr="00066736">
        <w:rPr>
          <w:rStyle w:val="Emphasis"/>
          <w:sz w:val="20"/>
        </w:rPr>
        <w:t>any type of training</w:t>
      </w:r>
      <w:r w:rsidRPr="00066736">
        <w:rPr>
          <w:rStyle w:val="StyleBoldUnderline"/>
          <w:sz w:val="20"/>
        </w:rPr>
        <w:t xml:space="preserve"> which promotes</w:t>
      </w:r>
      <w:r w:rsidRPr="00066736">
        <w:rPr>
          <w:sz w:val="16"/>
        </w:rPr>
        <w:t xml:space="preserve">  [**653]  </w:t>
      </w:r>
      <w:r w:rsidRPr="00066736">
        <w:rPr>
          <w:rStyle w:val="StyleBoldUnderline"/>
          <w:sz w:val="20"/>
        </w:rPr>
        <w:t>moral, intellectual or physical well-being</w:t>
      </w:r>
      <w:r w:rsidRPr="00066736">
        <w:rPr>
          <w:sz w:val="16"/>
        </w:rPr>
        <w:t>. Burgoon v. Zoning Hearing Board of Charlestown Township, supra; Kirk Zoning Appeal, supra.</w:t>
      </w:r>
    </w:p>
    <w:p w14:paraId="02633995" w14:textId="77777777" w:rsidR="001E0A77" w:rsidRPr="00066736" w:rsidRDefault="001E0A77" w:rsidP="001E0A77">
      <w:pPr>
        <w:rPr>
          <w:sz w:val="16"/>
          <w:szCs w:val="16"/>
        </w:rPr>
      </w:pPr>
      <w:r w:rsidRPr="00066736">
        <w:rPr>
          <w:sz w:val="16"/>
          <w:szCs w:val="16"/>
        </w:rPr>
        <w:t>The record here reveals uncontradicted testimony from several of appellant's witnesses who testified at the board hearing as to the educational nature of yoga. Dr. William Newman, chairman of the Psychology Department at Lehigh University, testified that aspects of yoga are taught in some of the psychology courses at Lehigh and through the physical education classes. He testified that yoga is also taught at Cabrini College in Radnor. Newman opined that yoga is educational in as much as it helps people to develop and realize themselves. Similarly, Dr. Glenn Alexander, a professor of economics at Villanova University, told the board that he has been a student of yoga for approximately 23 years, that yoga "enables the individual to become a better person" and that yoga was "absolutely" educational. Alexander explained that he has previously taken yoga classes taught by Prana Yoga, that he paid a tuition, and that books were available for use in the yoga class. Finally, Richard McKinney,  [*5]  formerly the director of Lion's Technical Institute in Upper Darby, testified that he has practiced yoga for many years and that yoga "relaxes him and provides a level of stress reduction." He testified that in his belief, yoga has educational benefits.</w:t>
      </w:r>
    </w:p>
    <w:p w14:paraId="33A4BC75" w14:textId="77777777" w:rsidR="001E0A77" w:rsidRPr="00066736" w:rsidRDefault="001E0A77" w:rsidP="001E0A77">
      <w:pPr>
        <w:rPr>
          <w:sz w:val="16"/>
          <w:szCs w:val="16"/>
        </w:rPr>
      </w:pPr>
      <w:r w:rsidRPr="00066736">
        <w:rPr>
          <w:sz w:val="16"/>
          <w:szCs w:val="16"/>
        </w:rPr>
        <w:t>This court has reviewed the testimony presented at the public hearings and finds that yoga may have some educational value. It is undisputed that yoga is taught in institutions of higher education. Additionally, the Prana Yoga Centre conducts yoga classes at a neighborhood YMCA, and for an adult night school program. Appellants' proposed use will allow persons in the community to receive supervised instruction in the methods and techniques of yoga.  [**654]  Students will be taught by yoga instructors who are not only familiar with the practice of yoga, but also with general literature and the philosophy behind yoga. Yoga techniques that will be taught include learning how to stretch, loosen and relax your body.</w:t>
      </w:r>
    </w:p>
    <w:p w14:paraId="51DE983E" w14:textId="77777777" w:rsidR="001E0A77" w:rsidRPr="00066736" w:rsidRDefault="001E0A77" w:rsidP="001E0A77">
      <w:pPr>
        <w:rPr>
          <w:sz w:val="16"/>
        </w:rPr>
      </w:pPr>
      <w:r w:rsidRPr="00066736">
        <w:rPr>
          <w:sz w:val="16"/>
        </w:rPr>
        <w:t>In defining "educational," Pennsylvania case law has gone beyond traditional academics. In a broad, positive sense, "education" operates to develop the individual, enabling that person to better himself, his family and the [*6]  society in which he lives. Surely yoga benefits individuals by developing the mind, teaching people how to concentrate, how to relieve stress and how to function more effectively</w:t>
      </w:r>
      <w:r w:rsidRPr="00066736">
        <w:rPr>
          <w:rStyle w:val="StyleBoldUnderline"/>
          <w:sz w:val="20"/>
        </w:rPr>
        <w:t xml:space="preserve">. To imply, as the board stated in its written opinion, that yoga fails to be "educational" because the training is "not part of the university curriculum" or that the training is "more in the physical education of the student rather than the intellectual education of the student," is </w:t>
      </w:r>
      <w:r w:rsidRPr="00066736">
        <w:rPr>
          <w:rStyle w:val="Emphasis"/>
          <w:sz w:val="20"/>
        </w:rPr>
        <w:t>nothing short of absurd</w:t>
      </w:r>
      <w:r w:rsidRPr="00066736">
        <w:rPr>
          <w:sz w:val="16"/>
        </w:rPr>
        <w:t>.HN4</w:t>
      </w:r>
    </w:p>
    <w:p w14:paraId="638354CB" w14:textId="77777777" w:rsidR="001E0A77" w:rsidRPr="00066736" w:rsidRDefault="001E0A77" w:rsidP="001E0A77">
      <w:pPr>
        <w:pStyle w:val="Heading4"/>
        <w:rPr>
          <w:sz w:val="24"/>
        </w:rPr>
      </w:pPr>
      <w:r w:rsidRPr="00066736">
        <w:rPr>
          <w:sz w:val="24"/>
        </w:rPr>
        <w:t>“Education” is deliberate and systemic activity to meet learning needs---this can operate beyond formal schooling</w:t>
      </w:r>
    </w:p>
    <w:p w14:paraId="4058DA85" w14:textId="77777777" w:rsidR="001E0A77" w:rsidRPr="005F783E" w:rsidRDefault="001E0A77" w:rsidP="001E0A77">
      <w:pPr>
        <w:rPr>
          <w:sz w:val="16"/>
          <w:szCs w:val="16"/>
        </w:rPr>
      </w:pPr>
      <w:r w:rsidRPr="00066736">
        <w:rPr>
          <w:rStyle w:val="StyleStyleBold12pt"/>
        </w:rPr>
        <w:t>Trewin 1 –</w:t>
      </w:r>
      <w:r w:rsidRPr="005F783E">
        <w:rPr>
          <w:sz w:val="16"/>
          <w:szCs w:val="16"/>
        </w:rPr>
        <w:t xml:space="preserve"> Dennis Trewin, Australian Statistician, “Australian Standard Classification of Education (ASCED)”, 8-22, https://www.adelaide.edu.au/planning/statistics/resources/ABS_LoE_and_FoE_codes.pdf</w:t>
      </w:r>
    </w:p>
    <w:p w14:paraId="2BC3F3F0" w14:textId="77777777" w:rsidR="001E0A77" w:rsidRPr="00066736" w:rsidRDefault="001E0A77" w:rsidP="001E0A77">
      <w:pPr>
        <w:rPr>
          <w:rStyle w:val="StyleBoldUnderline"/>
          <w:sz w:val="20"/>
        </w:rPr>
      </w:pPr>
      <w:r w:rsidRPr="00066736">
        <w:rPr>
          <w:sz w:val="16"/>
        </w:rPr>
        <w:t xml:space="preserve">ASCED was developed primarily to provide a framework for statistical and administrative data on educational activity and attainment in Australia, rather than to provide a full framework for unstructured, unplanned or incidental learning activities. In developing ASCED it was therefore appropriate to adopt as far as possible the concepts used in </w:t>
      </w:r>
      <w:r w:rsidRPr="00066736">
        <w:rPr>
          <w:rStyle w:val="StyleBoldUnderline"/>
          <w:sz w:val="20"/>
        </w:rPr>
        <w:t>ISCED</w:t>
      </w:r>
      <w:r w:rsidRPr="00066736">
        <w:rPr>
          <w:sz w:val="16"/>
        </w:rPr>
        <w:t xml:space="preserve"> 1997, which </w:t>
      </w:r>
      <w:r w:rsidRPr="00066736">
        <w:rPr>
          <w:rStyle w:val="StyleBoldUnderline"/>
          <w:sz w:val="20"/>
        </w:rPr>
        <w:t>defines education as “... all deliberate and systematic activities designed to meet learning needs ...”.</w:t>
      </w:r>
    </w:p>
    <w:p w14:paraId="17720CF1" w14:textId="77777777" w:rsidR="001E0A77" w:rsidRPr="00066736" w:rsidRDefault="001E0A77" w:rsidP="001E0A77">
      <w:pPr>
        <w:rPr>
          <w:sz w:val="16"/>
        </w:rPr>
      </w:pPr>
      <w:r w:rsidRPr="00066736">
        <w:rPr>
          <w:rStyle w:val="StyleBoldUnderline"/>
          <w:sz w:val="20"/>
        </w:rPr>
        <w:t>The term “education” is used throughout this publication to refer to activities, formal or otherwise, which fall within this definition. The term is inclusive of the concept of training</w:t>
      </w:r>
      <w:r w:rsidRPr="00066736">
        <w:rPr>
          <w:sz w:val="16"/>
        </w:rPr>
        <w:t xml:space="preserve">, because in the Australian context the traditional distinction between education and training has diminished and for many purposes is now inappropriate. </w:t>
      </w:r>
      <w:r w:rsidRPr="00066736">
        <w:rPr>
          <w:rStyle w:val="StyleBoldUnderline"/>
          <w:sz w:val="20"/>
        </w:rPr>
        <w:t xml:space="preserve">Education is seen as extending </w:t>
      </w:r>
      <w:r w:rsidRPr="00066736">
        <w:rPr>
          <w:rStyle w:val="Emphasis"/>
          <w:sz w:val="20"/>
        </w:rPr>
        <w:t>beyond formal institutions</w:t>
      </w:r>
      <w:r w:rsidRPr="00066736">
        <w:rPr>
          <w:rStyle w:val="StyleBoldUnderline"/>
          <w:sz w:val="20"/>
        </w:rPr>
        <w:t xml:space="preserve"> and has become increasingly focused on producing marketable skills</w:t>
      </w:r>
      <w:r w:rsidRPr="00066736">
        <w:rPr>
          <w:sz w:val="16"/>
        </w:rPr>
        <w:t>. Training now extends beyond vocational training institutions and the workplace, and is available in secondary schools, with students able to study for vocational certificates as part of their school work.</w:t>
      </w:r>
    </w:p>
    <w:p w14:paraId="11303E9C" w14:textId="77777777" w:rsidR="001E0A77" w:rsidRPr="001E0A77" w:rsidRDefault="001E0A77" w:rsidP="001E0A77"/>
    <w:p w14:paraId="44FDFEEC" w14:textId="77777777" w:rsidR="001E0A77" w:rsidRPr="00066736" w:rsidRDefault="001E0A77" w:rsidP="001E0A77">
      <w:pPr>
        <w:pStyle w:val="Heading4"/>
        <w:rPr>
          <w:rFonts w:cs="Times New Roman"/>
          <w:sz w:val="24"/>
        </w:rPr>
      </w:pPr>
      <w:r w:rsidRPr="00066736">
        <w:rPr>
          <w:rFonts w:cs="Times New Roman"/>
          <w:sz w:val="24"/>
        </w:rPr>
        <w:t>Education is more than just a classroom – it’s the learning process</w:t>
      </w:r>
    </w:p>
    <w:p w14:paraId="5F296CA3" w14:textId="77777777" w:rsidR="001E0A77" w:rsidRPr="00066736" w:rsidRDefault="001E0A77" w:rsidP="001E0A77">
      <w:pPr>
        <w:rPr>
          <w:sz w:val="14"/>
          <w:szCs w:val="16"/>
        </w:rPr>
      </w:pPr>
      <w:r w:rsidRPr="00066736">
        <w:rPr>
          <w:rStyle w:val="StyleStyleBold12pt"/>
        </w:rPr>
        <w:t xml:space="preserve">EORL 2002 </w:t>
      </w:r>
      <w:r w:rsidRPr="00066736">
        <w:rPr>
          <w:sz w:val="14"/>
          <w:szCs w:val="16"/>
        </w:rPr>
        <w:t xml:space="preserve">(Encarta Online Reference Library, </w:t>
      </w:r>
      <w:hyperlink r:id="rId37" w:history="1">
        <w:r w:rsidRPr="00066736">
          <w:rPr>
            <w:rStyle w:val="Hyperlink"/>
            <w:sz w:val="20"/>
          </w:rPr>
          <w:t>http://webcache.googleusercontent.com/search?q=cache:http://www.ardue.org.uk/world/educ.html</w:t>
        </w:r>
      </w:hyperlink>
      <w:r w:rsidRPr="00066736">
        <w:rPr>
          <w:sz w:val="14"/>
          <w:szCs w:val="16"/>
        </w:rPr>
        <w:t>, NRG)</w:t>
      </w:r>
    </w:p>
    <w:p w14:paraId="53399F4D" w14:textId="77777777" w:rsidR="001E0A77" w:rsidRPr="00066736" w:rsidRDefault="001E0A77" w:rsidP="001E0A77">
      <w:pPr>
        <w:rPr>
          <w:rStyle w:val="StyleBoldUnderline"/>
          <w:sz w:val="20"/>
        </w:rPr>
      </w:pPr>
      <w:r w:rsidRPr="00066736">
        <w:rPr>
          <w:rStyle w:val="StyleBoldUnderline"/>
          <w:sz w:val="20"/>
        </w:rPr>
        <w:t>Education denotes the methods [both formal and informal] by which a society hands down from one generation to the next its knowledge, culture, and values</w:t>
      </w:r>
      <w:r w:rsidRPr="00066736">
        <w:rPr>
          <w:sz w:val="8"/>
        </w:rPr>
        <w:t xml:space="preserve">. The individual being educated develops physically, mentally, emotionally, morally, and socially. </w:t>
      </w:r>
      <w:r w:rsidRPr="00066736">
        <w:rPr>
          <w:rStyle w:val="StyleBoldUnderline"/>
          <w:sz w:val="20"/>
        </w:rPr>
        <w:t>The work of education may be accomplished by an individual teacher, the family, a church, or any other group in society</w:t>
      </w:r>
      <w:r w:rsidRPr="00066736">
        <w:rPr>
          <w:sz w:val="8"/>
        </w:rPr>
        <w:t xml:space="preserve">. </w:t>
      </w:r>
      <w:r w:rsidRPr="00066736">
        <w:rPr>
          <w:rStyle w:val="StyleBoldUnderline"/>
          <w:sz w:val="20"/>
        </w:rPr>
        <w:t>Formal education is usually carried out by a school, an agency that employs men and women who are professionally trained for this task.</w:t>
      </w:r>
    </w:p>
    <w:p w14:paraId="64A13100" w14:textId="77777777" w:rsidR="001E0A77" w:rsidRPr="00066736" w:rsidRDefault="001E0A77" w:rsidP="001E0A77">
      <w:pPr>
        <w:pStyle w:val="Heading4"/>
        <w:rPr>
          <w:rFonts w:cs="Times New Roman"/>
          <w:sz w:val="24"/>
        </w:rPr>
      </w:pPr>
      <w:r w:rsidRPr="00066736">
        <w:rPr>
          <w:rFonts w:cs="Times New Roman"/>
          <w:sz w:val="24"/>
        </w:rPr>
        <w:t>Education is about the outcome, not the process – education policy refers to a deliberate attempt to control the learning outcome</w:t>
      </w:r>
    </w:p>
    <w:p w14:paraId="16E1B9A6" w14:textId="77777777" w:rsidR="001E0A77" w:rsidRPr="00066736" w:rsidRDefault="001E0A77" w:rsidP="001E0A77">
      <w:pPr>
        <w:rPr>
          <w:sz w:val="14"/>
          <w:szCs w:val="16"/>
        </w:rPr>
      </w:pPr>
      <w:r w:rsidRPr="00066736">
        <w:rPr>
          <w:rStyle w:val="StyleStyleBold12pt"/>
        </w:rPr>
        <w:t>Laska 84</w:t>
      </w:r>
      <w:r w:rsidRPr="00066736">
        <w:rPr>
          <w:sz w:val="14"/>
          <w:szCs w:val="16"/>
        </w:rPr>
        <w:t xml:space="preserve"> instructor in Comparative Education at the University of Syracuse (“The Relationship Between Instruction And Curriculum: A Conceptual Clarification,” College of Education, Department of Curriculum and Instruction, University of Texas at Austin, JSTOR) AAB</w:t>
      </w:r>
    </w:p>
    <w:p w14:paraId="6C9BD750" w14:textId="77777777" w:rsidR="001E0A77" w:rsidRPr="00066736" w:rsidRDefault="001E0A77" w:rsidP="001E0A77">
      <w:pPr>
        <w:rPr>
          <w:sz w:val="10"/>
          <w:szCs w:val="16"/>
        </w:rPr>
      </w:pPr>
      <w:r w:rsidRPr="00066736">
        <w:rPr>
          <w:sz w:val="10"/>
          <w:szCs w:val="16"/>
        </w:rPr>
        <w:t xml:space="preserve"> </w:t>
      </w:r>
      <w:r w:rsidRPr="00066736">
        <w:rPr>
          <w:rStyle w:val="StyleBoldUnderline"/>
          <w:sz w:val="20"/>
        </w:rPr>
        <w:t>Since the deliberate attempt to control a learning situation represents a basic type of human activity, a distinctive label has been applied to it.</w:t>
      </w:r>
      <w:r w:rsidRPr="00066736">
        <w:rPr>
          <w:sz w:val="10"/>
          <w:szCs w:val="16"/>
        </w:rPr>
        <w:t xml:space="preserve"> </w:t>
      </w:r>
      <w:r w:rsidRPr="00066736">
        <w:rPr>
          <w:rStyle w:val="StyleBoldUnderline"/>
          <w:sz w:val="20"/>
        </w:rPr>
        <w:t xml:space="preserve">The term "education," </w:t>
      </w:r>
      <w:r w:rsidRPr="00066736">
        <w:rPr>
          <w:sz w:val="10"/>
          <w:szCs w:val="16"/>
        </w:rPr>
        <w:t xml:space="preserve">it is generally agreed, </w:t>
      </w:r>
      <w:r w:rsidRPr="00066736">
        <w:rPr>
          <w:rStyle w:val="StyleBoldUnderline"/>
          <w:sz w:val="20"/>
        </w:rPr>
        <w:t>refers to a deliberate attempt by the learner or by someone else to control (or direct, or manage, or influence, or structure, or provide access to) a learning situation for the purpose of bringing about the attainment of a desired learning outcome</w:t>
      </w:r>
      <w:r w:rsidRPr="00066736">
        <w:rPr>
          <w:sz w:val="10"/>
          <w:szCs w:val="16"/>
        </w:rPr>
        <w:t xml:space="preserve"> (Laska, 1976).</w:t>
      </w:r>
    </w:p>
    <w:p w14:paraId="31A0193D" w14:textId="77777777" w:rsidR="001E0A77" w:rsidRPr="00066736" w:rsidRDefault="001E0A77" w:rsidP="001E0A77">
      <w:pPr>
        <w:pStyle w:val="Heading4"/>
        <w:rPr>
          <w:rFonts w:cs="Times New Roman"/>
          <w:sz w:val="24"/>
        </w:rPr>
      </w:pPr>
      <w:r w:rsidRPr="00066736">
        <w:rPr>
          <w:rFonts w:cs="Times New Roman"/>
          <w:sz w:val="24"/>
        </w:rPr>
        <w:t>The outcome is socialization; therefore, education is an agent for change</w:t>
      </w:r>
    </w:p>
    <w:p w14:paraId="65F518B1" w14:textId="77777777" w:rsidR="001E0A77" w:rsidRPr="00066736" w:rsidRDefault="001E0A77" w:rsidP="001E0A77">
      <w:pPr>
        <w:rPr>
          <w:sz w:val="14"/>
          <w:szCs w:val="16"/>
        </w:rPr>
      </w:pPr>
      <w:r w:rsidRPr="00066736">
        <w:rPr>
          <w:rStyle w:val="StyleStyleBold12pt"/>
        </w:rPr>
        <w:t>Benton et al 12</w:t>
      </w:r>
      <w:r w:rsidRPr="00066736">
        <w:rPr>
          <w:sz w:val="14"/>
          <w:szCs w:val="16"/>
        </w:rPr>
        <w:t xml:space="preserve"> professor of middle and secondary education, Southeast Missouri State University, Cape Girardeau (“The Teacher Work Sample: A Professional Culminating Activity that Integrates General Studies Objectives,” The Journal of General Education, Volume 61, Number 4, 2012, Project Muse) AAB</w:t>
      </w:r>
    </w:p>
    <w:p w14:paraId="06C12ED9" w14:textId="77777777" w:rsidR="001E0A77" w:rsidRDefault="001E0A77" w:rsidP="001E0A77">
      <w:pPr>
        <w:rPr>
          <w:rStyle w:val="Emphasis"/>
          <w:sz w:val="20"/>
        </w:rPr>
      </w:pPr>
      <w:r w:rsidRPr="00066736">
        <w:rPr>
          <w:sz w:val="10"/>
          <w:szCs w:val="16"/>
        </w:rPr>
        <w:t xml:space="preserve">The fourth objective relates to the degree to which individuals and societies assimilate the accrued knowledge of previous generations and the degree to which they are able to use creative and intellectual abilities to enrich their lives and the culture of which they are a part. </w:t>
      </w:r>
      <w:r w:rsidRPr="00066736">
        <w:rPr>
          <w:rStyle w:val="Emphasis"/>
          <w:sz w:val="20"/>
        </w:rPr>
        <w:t>Education</w:t>
      </w:r>
      <w:r w:rsidRPr="00066736">
        <w:rPr>
          <w:sz w:val="10"/>
          <w:szCs w:val="16"/>
        </w:rPr>
        <w:t xml:space="preserve"> and, by extension, schools </w:t>
      </w:r>
      <w:r w:rsidRPr="00066736">
        <w:rPr>
          <w:rStyle w:val="StyleBoldUnderline"/>
          <w:sz w:val="20"/>
        </w:rPr>
        <w:t>are the agencies for social change and the inculcation of citizenry into the broad culture of the country</w:t>
      </w:r>
      <w:r w:rsidRPr="00066736">
        <w:rPr>
          <w:sz w:val="10"/>
          <w:szCs w:val="16"/>
        </w:rPr>
        <w:t xml:space="preserve">. </w:t>
      </w:r>
      <w:r w:rsidRPr="00066736">
        <w:rPr>
          <w:rStyle w:val="Emphasis"/>
          <w:sz w:val="20"/>
        </w:rPr>
        <w:t>Therefore, the purpose of education is defined as the socialization of the next generation, in the knowledge, skills, values, and attitudes shared by the majority of the people in a society or macroculture.</w:t>
      </w:r>
    </w:p>
    <w:p w14:paraId="79FECFCF" w14:textId="77777777" w:rsidR="001E7AE4" w:rsidRDefault="001E7AE4" w:rsidP="001E0A77">
      <w:pPr>
        <w:rPr>
          <w:rStyle w:val="Emphasis"/>
          <w:sz w:val="20"/>
        </w:rPr>
      </w:pPr>
    </w:p>
    <w:p w14:paraId="59D8AEE4" w14:textId="77777777" w:rsidR="001E7AE4" w:rsidRDefault="001E7AE4" w:rsidP="001E7AE4">
      <w:pPr>
        <w:pStyle w:val="Heading3"/>
      </w:pPr>
      <w:r>
        <w:t xml:space="preserve">Education = Beyond Curriculum </w:t>
      </w:r>
    </w:p>
    <w:p w14:paraId="68BA42FB" w14:textId="77777777" w:rsidR="001E7AE4" w:rsidRDefault="001E7AE4" w:rsidP="001E7AE4"/>
    <w:p w14:paraId="4CA89570" w14:textId="77777777" w:rsidR="001E7AE4" w:rsidRPr="001C535E" w:rsidRDefault="001E7AE4" w:rsidP="001E7AE4">
      <w:pPr>
        <w:pStyle w:val="Heading4"/>
      </w:pPr>
      <w:r w:rsidRPr="001C535E">
        <w:t>Regulations should expand beyond curriculum</w:t>
      </w:r>
    </w:p>
    <w:p w14:paraId="7A79C5FF" w14:textId="77777777" w:rsidR="001E7AE4" w:rsidRPr="001C535E" w:rsidRDefault="001E7AE4" w:rsidP="001E7AE4">
      <w:r w:rsidRPr="001C535E">
        <w:rPr>
          <w:rStyle w:val="StyleStyleBold12pt"/>
        </w:rPr>
        <w:t>Harris Ladd et al 16</w:t>
      </w:r>
      <w:r w:rsidRPr="001C535E">
        <w:t xml:space="preserve"> (Douglas professor of economic and the S</w:t>
      </w:r>
      <w:r>
        <w:t>c</w:t>
      </w:r>
      <w:r w:rsidRPr="001C535E">
        <w:t>hleider Foundation Chair in Public Education at Tulane University. Helen is the Susan B. King Professor of Public Policy in the Sanford School of Public Policy, Duke University, Marshall (Mike) S. Smith is a senior fellow at the Carnegie Foundation for the Advancement of Teaching. Martin R. West is an associate professor of education at the Harva</w:t>
      </w:r>
      <w:r>
        <w:t>rd Graduate School of Education, “A principled federal role in PreK-12 education,” Education Policy at Brookings, pg 7-8) KVA</w:t>
      </w:r>
    </w:p>
    <w:p w14:paraId="2CADBF73" w14:textId="77777777" w:rsidR="001E7AE4" w:rsidRPr="001C535E" w:rsidRDefault="001E7AE4" w:rsidP="001E7AE4">
      <w:pPr>
        <w:rPr>
          <w:rFonts w:ascii="Times New Roman" w:eastAsia="Times New Roman" w:hAnsi="Times New Roman" w:cs="Times New Roman"/>
          <w:sz w:val="16"/>
          <w:lang w:eastAsia="zh-CN"/>
        </w:rPr>
      </w:pPr>
      <w:r w:rsidRPr="001C535E">
        <w:rPr>
          <w:rStyle w:val="StyleBoldUnderline"/>
          <w:lang w:eastAsia="zh-CN"/>
        </w:rPr>
        <w:t>The above principles provide an affirmative case for action by the federal government</w:t>
      </w:r>
      <w:r w:rsidRPr="001C535E">
        <w:rPr>
          <w:rFonts w:ascii="Times New Roman" w:eastAsia="Times New Roman" w:hAnsi="Times New Roman" w:cs="Times New Roman"/>
          <w:sz w:val="16"/>
          <w:lang w:eastAsia="zh-CN"/>
        </w:rPr>
        <w:t xml:space="preserve">. </w:t>
      </w:r>
      <w:r w:rsidRPr="001C535E">
        <w:rPr>
          <w:rStyle w:val="StyleBoldUnderline"/>
          <w:lang w:eastAsia="zh-CN"/>
        </w:rPr>
        <w:t>It is</w:t>
      </w:r>
      <w:r w:rsidRPr="001C535E">
        <w:rPr>
          <w:rFonts w:ascii="Times New Roman" w:eastAsia="Times New Roman" w:hAnsi="Times New Roman" w:cs="Times New Roman"/>
          <w:sz w:val="16"/>
          <w:lang w:eastAsia="zh-CN"/>
        </w:rPr>
        <w:t xml:space="preserve"> equally </w:t>
      </w:r>
      <w:r w:rsidRPr="001C535E">
        <w:rPr>
          <w:rStyle w:val="StyleBoldUnderline"/>
          <w:lang w:eastAsia="zh-CN"/>
        </w:rPr>
        <w:t>important to consider the limits these principles entail,</w:t>
      </w:r>
      <w:r w:rsidRPr="001C535E">
        <w:rPr>
          <w:rFonts w:ascii="Times New Roman" w:eastAsia="Times New Roman" w:hAnsi="Times New Roman" w:cs="Times New Roman"/>
          <w:sz w:val="16"/>
          <w:lang w:eastAsia="zh-CN"/>
        </w:rPr>
        <w:t xml:space="preserve"> as actions that are otherwise consistent with our affirmative case can inadvertently undermine local goals and have unintended consequences.6 </w:t>
      </w:r>
      <w:r w:rsidRPr="001C535E">
        <w:rPr>
          <w:rStyle w:val="Emphasis"/>
          <w:lang w:eastAsia="zh-CN"/>
        </w:rPr>
        <w:t xml:space="preserve">Even if individual regulations are well intentioned, their cumulative and unintended effects can be difficult to predict and may induce educators to focus on compliance over student success. </w:t>
      </w:r>
      <w:r w:rsidRPr="001C535E">
        <w:rPr>
          <w:rStyle w:val="StyleBoldUnderline"/>
          <w:lang w:eastAsia="zh-CN"/>
        </w:rPr>
        <w:t xml:space="preserve">Federal policymakers should bear this in mind when applying the principles to specific issues, exercising caution even when undertaking actions that the principles would otherwise seem to justify. </w:t>
      </w:r>
      <w:r w:rsidRPr="001C535E">
        <w:rPr>
          <w:rFonts w:ascii="Times New Roman" w:eastAsia="Times New Roman" w:hAnsi="Times New Roman" w:cs="Times New Roman"/>
          <w:sz w:val="16"/>
          <w:lang w:eastAsia="zh-CN"/>
        </w:rPr>
        <w:t xml:space="preserve">To illustrate these limits more concretely, we consider some of the most controversial policy issues of the past quarter-century: test-based accountability and school choice. It might seem self-evident that the federal government should require that states hold their schools accountable, especially for ensuring that all students obtain basic skills. </w:t>
      </w:r>
      <w:r w:rsidRPr="001C535E">
        <w:rPr>
          <w:rStyle w:val="StyleBoldUnderline"/>
          <w:lang w:eastAsia="zh-CN"/>
        </w:rPr>
        <w:t>Our own stated principles emphasize the importance of equal opportunity and that the federal government has fiduciary responsibility to ensure that public resources are used effectively</w:t>
      </w:r>
      <w:r w:rsidRPr="001C535E">
        <w:rPr>
          <w:rFonts w:ascii="Times New Roman" w:eastAsia="Times New Roman" w:hAnsi="Times New Roman" w:cs="Times New Roman"/>
          <w:sz w:val="16"/>
          <w:lang w:eastAsia="zh-CN"/>
        </w:rPr>
        <w:t xml:space="preserve">. </w:t>
      </w:r>
      <w:r w:rsidRPr="001C535E">
        <w:rPr>
          <w:rStyle w:val="StyleBoldUnderline"/>
          <w:lang w:eastAsia="zh-CN"/>
        </w:rPr>
        <w:t>Moreover, accountability supporters argue that capacity and pressure are complementary</w:t>
      </w:r>
      <w:r w:rsidRPr="001C535E">
        <w:rPr>
          <w:rFonts w:ascii="Times New Roman" w:eastAsia="Times New Roman" w:hAnsi="Times New Roman" w:cs="Times New Roman"/>
          <w:sz w:val="16"/>
          <w:lang w:eastAsia="zh-CN"/>
        </w:rPr>
        <w:t xml:space="preserve">—that neither works without the other. </w:t>
      </w:r>
      <w:r w:rsidRPr="001C535E">
        <w:rPr>
          <w:rStyle w:val="StyleBoldUnderline"/>
          <w:lang w:eastAsia="zh-CN"/>
        </w:rPr>
        <w:t xml:space="preserve">Even if we accept these arguments, differences in the needs and goals across communities are likely to undermine the success of any standardized federal accountability system. </w:t>
      </w:r>
      <w:r w:rsidRPr="001C535E">
        <w:rPr>
          <w:rFonts w:ascii="Times New Roman" w:eastAsia="Times New Roman" w:hAnsi="Times New Roman" w:cs="Times New Roman"/>
          <w:sz w:val="16"/>
          <w:lang w:eastAsia="zh-CN"/>
        </w:rPr>
        <w:t xml:space="preserve">The track record of recent federal accountability efforts bears this out, as research indicates that their effects on student achievement outcomes have been limited. While strictly speaking, states could have avoided the accountability provisions that started in the early 1990s by declining Title I funds, the sheer magnitude of those funds meant that the provisions were effectively federal requirements. The fact that some national interest exists, in keeping with the earlier principles, does not mean the federal government can successfully specify or implement solutions to further that interest. </w:t>
      </w:r>
      <w:r w:rsidRPr="001C535E">
        <w:rPr>
          <w:rStyle w:val="Emphasis"/>
          <w:lang w:eastAsia="zh-CN"/>
        </w:rPr>
        <w:t>As suggested by our principles, there is a clear federal role in ensuring that information is available to evaluate the success of the school system, and to build capacity for continuous improvement, but we do not believe the federal government should be in the business of requiring specific rules for teacher or school accountability</w:t>
      </w:r>
      <w:r w:rsidRPr="001C535E">
        <w:rPr>
          <w:rFonts w:ascii="Times New Roman" w:eastAsia="Times New Roman" w:hAnsi="Times New Roman" w:cs="Times New Roman"/>
          <w:sz w:val="16"/>
          <w:lang w:eastAsia="zh-CN"/>
        </w:rPr>
        <w:t>. We therefore concur with the general direction of ESSA that ensures some form of accountability but leaves the details to the states</w:t>
      </w:r>
    </w:p>
    <w:p w14:paraId="20966357" w14:textId="77777777" w:rsidR="001E7AE4" w:rsidRPr="001E7AE4" w:rsidRDefault="001E7AE4" w:rsidP="001E7AE4"/>
    <w:p w14:paraId="3F772BD0" w14:textId="77777777" w:rsidR="001E7AE4" w:rsidRPr="00066736" w:rsidRDefault="001E7AE4" w:rsidP="001E0A77">
      <w:pPr>
        <w:rPr>
          <w:b/>
          <w:iCs/>
          <w:sz w:val="20"/>
          <w:u w:val="single"/>
        </w:rPr>
      </w:pPr>
    </w:p>
    <w:p w14:paraId="0ED57C75" w14:textId="4210A01A" w:rsidR="001E0A77" w:rsidRPr="00066736" w:rsidRDefault="001E0A77" w:rsidP="001E0A77">
      <w:pPr>
        <w:pStyle w:val="Heading3"/>
        <w:rPr>
          <w:sz w:val="28"/>
        </w:rPr>
      </w:pPr>
      <w:r>
        <w:rPr>
          <w:sz w:val="28"/>
        </w:rPr>
        <w:t xml:space="preserve">Education = </w:t>
      </w:r>
      <w:r w:rsidRPr="00066736">
        <w:rPr>
          <w:sz w:val="28"/>
        </w:rPr>
        <w:t>Knowledge</w:t>
      </w:r>
    </w:p>
    <w:p w14:paraId="2F144043" w14:textId="77777777" w:rsidR="001E0A77" w:rsidRPr="00066736" w:rsidRDefault="001E0A77" w:rsidP="001E0A77">
      <w:pPr>
        <w:pStyle w:val="Heading4"/>
        <w:rPr>
          <w:sz w:val="24"/>
        </w:rPr>
      </w:pPr>
      <w:r w:rsidRPr="00066736">
        <w:rPr>
          <w:sz w:val="24"/>
        </w:rPr>
        <w:t>Education is the means to acquire basic knowledge</w:t>
      </w:r>
    </w:p>
    <w:p w14:paraId="36F2272D" w14:textId="77777777" w:rsidR="001E0A77" w:rsidRPr="00066736" w:rsidRDefault="001E0A77" w:rsidP="001E0A77">
      <w:pPr>
        <w:rPr>
          <w:sz w:val="14"/>
          <w:szCs w:val="16"/>
        </w:rPr>
      </w:pPr>
      <w:r w:rsidRPr="00066736">
        <w:rPr>
          <w:rFonts w:eastAsiaTheme="majorEastAsia" w:cstheme="majorBidi"/>
          <w:b/>
          <w:iCs/>
          <w:sz w:val="24"/>
        </w:rPr>
        <w:t>Washington Supreme Court 12</w:t>
      </w:r>
      <w:r w:rsidRPr="00066736">
        <w:rPr>
          <w:sz w:val="14"/>
          <w:szCs w:val="16"/>
        </w:rPr>
        <w:t xml:space="preserve"> [Michigan State Law Review, HOW ADEQUACY LITIGATION FAILS TO FULFILL THE PROMISE OF BROWN [BUT HOW IT CAN GET US CLOSER]</w:t>
      </w:r>
      <w:r w:rsidRPr="005F783E">
        <w:rPr>
          <w:rFonts w:cs="Cambria Math"/>
          <w:sz w:val="16"/>
          <w:szCs w:val="16"/>
        </w:rPr>
        <w:t xml:space="preserve">, </w:t>
      </w:r>
      <w:r w:rsidRPr="00066736">
        <w:rPr>
          <w:sz w:val="14"/>
          <w:szCs w:val="16"/>
        </w:rPr>
        <w:t>David Hinojosa and Karolina Walters. Citation 210. pp. 618] MBaum</w:t>
      </w:r>
    </w:p>
    <w:p w14:paraId="02D5C537" w14:textId="77777777" w:rsidR="001E0A77" w:rsidRPr="00066736" w:rsidRDefault="001E0A77" w:rsidP="001E0A77">
      <w:pPr>
        <w:rPr>
          <w:sz w:val="14"/>
          <w:szCs w:val="16"/>
        </w:rPr>
      </w:pPr>
    </w:p>
    <w:p w14:paraId="5DFB769E" w14:textId="77777777" w:rsidR="001E0A77" w:rsidRDefault="001E0A77" w:rsidP="001E0A77">
      <w:pPr>
        <w:rPr>
          <w:sz w:val="8"/>
        </w:rPr>
      </w:pPr>
      <w:r w:rsidRPr="00066736">
        <w:rPr>
          <w:sz w:val="8"/>
        </w:rPr>
        <w:t xml:space="preserve">The Washington Supreme Court has also held that its education article, Washington Constitution, article IX, section 1, “imposes a judicially enforceable affirmative duty on the State to make ample provision for the education of all children residing within its borders” and relies, in part, on statutes. McCleary v. State, 269 P.3d 227, 231-32 (Wash. 2012) (en banc). </w:t>
      </w:r>
      <w:r w:rsidRPr="00066736">
        <w:rPr>
          <w:rStyle w:val="StyleBoldUnderline"/>
          <w:sz w:val="20"/>
        </w:rPr>
        <w:t xml:space="preserve">The </w:t>
      </w:r>
      <w:r w:rsidRPr="00066736">
        <w:rPr>
          <w:rStyle w:val="StyleBoldUnderline"/>
          <w:sz w:val="20"/>
          <w:highlight w:val="cyan"/>
        </w:rPr>
        <w:t xml:space="preserve">Washington Court defines education as the means to acquire </w:t>
      </w:r>
      <w:r w:rsidRPr="00066736">
        <w:rPr>
          <w:rStyle w:val="StyleBoldUnderline"/>
          <w:sz w:val="20"/>
        </w:rPr>
        <w:t xml:space="preserve">the basic </w:t>
      </w:r>
      <w:r w:rsidRPr="00066736">
        <w:rPr>
          <w:rStyle w:val="StyleBoldUnderline"/>
          <w:sz w:val="20"/>
          <w:highlight w:val="cyan"/>
        </w:rPr>
        <w:t xml:space="preserve">knowledge </w:t>
      </w:r>
      <w:r w:rsidRPr="00066736">
        <w:rPr>
          <w:rStyle w:val="StyleBoldUnderline"/>
          <w:sz w:val="20"/>
        </w:rPr>
        <w:t xml:space="preserve">and skills needed </w:t>
      </w:r>
      <w:r w:rsidRPr="00066736">
        <w:rPr>
          <w:rStyle w:val="StyleBoldUnderline"/>
          <w:sz w:val="20"/>
          <w:highlight w:val="cyan"/>
        </w:rPr>
        <w:t xml:space="preserve">to compete in today’s economy and </w:t>
      </w:r>
      <w:r w:rsidRPr="00066736">
        <w:rPr>
          <w:rStyle w:val="StyleBoldUnderline"/>
          <w:sz w:val="20"/>
        </w:rPr>
        <w:t xml:space="preserve">meaningfully </w:t>
      </w:r>
      <w:r w:rsidRPr="00066736">
        <w:rPr>
          <w:rStyle w:val="StyleBoldUnderline"/>
          <w:sz w:val="20"/>
          <w:highlight w:val="cyan"/>
        </w:rPr>
        <w:t xml:space="preserve">participate in </w:t>
      </w:r>
      <w:r w:rsidRPr="00066736">
        <w:rPr>
          <w:rStyle w:val="StyleBoldUnderline"/>
          <w:sz w:val="20"/>
        </w:rPr>
        <w:t xml:space="preserve">this state’s </w:t>
      </w:r>
      <w:r w:rsidRPr="00066736">
        <w:rPr>
          <w:rStyle w:val="StyleBoldUnderline"/>
          <w:sz w:val="20"/>
          <w:highlight w:val="cyan"/>
        </w:rPr>
        <w:t>democracy</w:t>
      </w:r>
      <w:r w:rsidRPr="00066736">
        <w:rPr>
          <w:rStyle w:val="StyleBoldUnderline"/>
          <w:sz w:val="20"/>
        </w:rPr>
        <w:t>.</w:t>
      </w:r>
      <w:r w:rsidRPr="00066736">
        <w:rPr>
          <w:sz w:val="8"/>
        </w:rPr>
        <w:t xml:space="preserve"> Id. at 231. In describing the substantive content of the knowledge and skills, the court uses the state’s “broad educational concepts outlined in Seattle School District, the four learning goals in Engrossed Substitute House Bill (ESHB) 1209, 53d Leg., Reg. Sess. (Wash. 1993), and the State’s essential academic learning requirements (EALRs).” Id. In January 2012, the Washington Supreme Court found the state had not fulfilled its constitutional duty in amply providing an education. Id.</w:t>
      </w:r>
    </w:p>
    <w:p w14:paraId="3DB0805F" w14:textId="77777777" w:rsidR="001E0A77" w:rsidRPr="00066736" w:rsidRDefault="001E0A77" w:rsidP="001E0A77">
      <w:pPr>
        <w:rPr>
          <w:rStyle w:val="StyleBoldUnderline"/>
          <w:sz w:val="20"/>
        </w:rPr>
      </w:pPr>
    </w:p>
    <w:p w14:paraId="37398C29" w14:textId="77777777" w:rsidR="001E0A77" w:rsidRPr="00196932" w:rsidRDefault="001E0A77" w:rsidP="001E0A77">
      <w:pPr>
        <w:pStyle w:val="Heading4"/>
      </w:pPr>
      <w:r>
        <w:t>Education doesn’t have to take place in school grounds</w:t>
      </w:r>
    </w:p>
    <w:p w14:paraId="35C2DDF5" w14:textId="77777777" w:rsidR="001E0A77" w:rsidRPr="001F57B5" w:rsidRDefault="001E0A77" w:rsidP="001E0A77">
      <w:pPr>
        <w:pStyle w:val="NormalWeb"/>
        <w:shd w:val="clear" w:color="auto" w:fill="FFFFFF"/>
        <w:rPr>
          <w:rStyle w:val="StyleStyleBold12pt"/>
        </w:rPr>
      </w:pPr>
      <w:r w:rsidRPr="00196932">
        <w:rPr>
          <w:rStyle w:val="StyleStyleBold12pt"/>
        </w:rPr>
        <w:t>Kupczysnki 13</w:t>
      </w:r>
      <w:r>
        <w:rPr>
          <w:rStyle w:val="StyleStyleBold12pt"/>
        </w:rPr>
        <w:t xml:space="preserve"> </w:t>
      </w:r>
      <w:r w:rsidRPr="00196932">
        <w:t xml:space="preserve">[Lori Pendley Kupczynski, Ed.D. and Buddy Hooper, Dr. Lori Kupczynski teaches full-time academic and developmental English at South Texas College in McAllen, Texas. Her docotorate focused on Educational Leadership with an emphasis on adult education. Dr. Buddy Hooper is an associate professor at the University of Arkansas at Little Rock in the department of Educational Leadership. In addition, he has served as the Coordinator of Online Courses for the Department of Educational Leadership and Counseling at Texas A&amp;M University-Kingsville., " The Internet as a Path to Adult Learning," Johns Hopkins School of Education, 5-15-2013, </w:t>
      </w:r>
      <w:hyperlink r:id="rId38" w:history="1">
        <w:r w:rsidRPr="00196932">
          <w:rPr>
            <w:rStyle w:val="Hyperlink"/>
          </w:rPr>
          <w:t>http://education.jhu.edu/PD/newhorizons/lifelonglearning/higher-education/internet/index.html</w:t>
        </w:r>
      </w:hyperlink>
      <w:r w:rsidRPr="00196932">
        <w:t>] Accessed 07-07-2017.</w:t>
      </w:r>
    </w:p>
    <w:p w14:paraId="0FC9CA69" w14:textId="77777777" w:rsidR="001E0A77" w:rsidRDefault="001E0A77" w:rsidP="001E0A77">
      <w:pPr>
        <w:rPr>
          <w:sz w:val="16"/>
        </w:rPr>
      </w:pPr>
      <w:r w:rsidRPr="00F65D49">
        <w:rPr>
          <w:rStyle w:val="StyleBoldUnderline"/>
          <w:highlight w:val="yellow"/>
        </w:rPr>
        <w:t>Education</w:t>
      </w:r>
      <w:r w:rsidRPr="001F57B5">
        <w:rPr>
          <w:rStyle w:val="StyleBoldUnderline"/>
        </w:rPr>
        <w:t xml:space="preserve"> is </w:t>
      </w:r>
      <w:r w:rsidRPr="00F65D49">
        <w:rPr>
          <w:rStyle w:val="StyleBoldUnderline"/>
          <w:highlight w:val="yellow"/>
        </w:rPr>
        <w:t>no longer occur</w:t>
      </w:r>
      <w:r w:rsidRPr="001F57B5">
        <w:rPr>
          <w:rStyle w:val="StyleBoldUnderline"/>
        </w:rPr>
        <w:t xml:space="preserve">ring </w:t>
      </w:r>
      <w:r w:rsidRPr="00F65D49">
        <w:rPr>
          <w:rStyle w:val="StyleBoldUnderline"/>
          <w:highlight w:val="yellow"/>
        </w:rPr>
        <w:t>exclusively in the traditional classroom.</w:t>
      </w:r>
      <w:r w:rsidRPr="001F57B5">
        <w:rPr>
          <w:rStyle w:val="StyleBoldUnderline"/>
        </w:rPr>
        <w:t xml:space="preserve"> While this form of education does still exist, </w:t>
      </w:r>
      <w:r w:rsidRPr="00F65D49">
        <w:rPr>
          <w:rStyle w:val="StyleBoldUnderline"/>
          <w:highlight w:val="yellow"/>
        </w:rPr>
        <w:t>the classroom has transcended boundaries</w:t>
      </w:r>
      <w:r w:rsidRPr="001F57B5">
        <w:rPr>
          <w:rStyle w:val="StyleBoldUnderline"/>
        </w:rPr>
        <w:t xml:space="preserve"> and moved into other media, including Internet-based teaching.</w:t>
      </w:r>
      <w:r w:rsidRPr="001F57B5">
        <w:rPr>
          <w:sz w:val="16"/>
        </w:rPr>
        <w:t xml:space="preserve"> Distance learning is not new; but the arrival of the personal computer, the expansion of the Internet, and the willingness of national and regional accreditation agencies to consider other than traditional instructional milieus has encouraged the rapid development of online courses. (Uhlig, 2002, p. 670) As part of this growth, many colleges and universities now utilize the online format for teaching while other colleges and universities have been founded exclusively as distance learning institutions. As Glahn and Gen (2002) point out:</w:t>
      </w:r>
    </w:p>
    <w:p w14:paraId="12DAD94B" w14:textId="77777777" w:rsidR="001E0A77" w:rsidRDefault="001E0A77" w:rsidP="001E0A77">
      <w:pPr>
        <w:rPr>
          <w:sz w:val="8"/>
        </w:rPr>
      </w:pPr>
    </w:p>
    <w:p w14:paraId="48FCAAF0" w14:textId="77777777" w:rsidR="001E0A77" w:rsidRPr="00066736" w:rsidRDefault="001E0A77" w:rsidP="001E0A77">
      <w:pPr>
        <w:pStyle w:val="Heading4"/>
        <w:rPr>
          <w:sz w:val="24"/>
        </w:rPr>
      </w:pPr>
      <w:r w:rsidRPr="00066736">
        <w:rPr>
          <w:sz w:val="24"/>
        </w:rPr>
        <w:t>Education includes empowering students – The plan eliminates barriers to students’ empowerment – Their narrow definitions are worse</w:t>
      </w:r>
    </w:p>
    <w:p w14:paraId="20368FE2" w14:textId="77777777" w:rsidR="001E0A77" w:rsidRPr="00066736" w:rsidRDefault="001E0A77" w:rsidP="001E0A77">
      <w:pPr>
        <w:rPr>
          <w:rStyle w:val="StyleStyleBold12pt"/>
          <w:b w:val="0"/>
        </w:rPr>
      </w:pPr>
      <w:r w:rsidRPr="00066736">
        <w:rPr>
          <w:rStyle w:val="StyleStyleBold12pt"/>
        </w:rPr>
        <w:t>Guajardo 15</w:t>
      </w:r>
      <w:r w:rsidRPr="00066736">
        <w:rPr>
          <w:rStyle w:val="StyleStyleBold12pt"/>
          <w:sz w:val="18"/>
        </w:rPr>
        <w:t xml:space="preserve"> (Maria, dean of the Faculty of International Liberal Arts at Soka University in Japan, “Education: A Transformative Potential”, http://www.sgi.org/in-focus/2015/education-transformative-potential.html)</w:t>
      </w:r>
    </w:p>
    <w:p w14:paraId="683A8AA5" w14:textId="77777777" w:rsidR="001E0A77" w:rsidRPr="00066736" w:rsidRDefault="001E0A77" w:rsidP="001E0A77">
      <w:pPr>
        <w:rPr>
          <w:sz w:val="10"/>
        </w:rPr>
      </w:pPr>
      <w:r w:rsidRPr="00066736">
        <w:rPr>
          <w:rStyle w:val="StyleBoldUnderline"/>
          <w:sz w:val="20"/>
          <w:highlight w:val="cyan"/>
        </w:rPr>
        <w:t>Education can make the invisible visible</w:t>
      </w:r>
      <w:r w:rsidRPr="00066736">
        <w:rPr>
          <w:rStyle w:val="StyleBoldUnderline"/>
          <w:sz w:val="20"/>
        </w:rPr>
        <w:t xml:space="preserve"> in the same way that empowerment transforms powerlessness</w:t>
      </w:r>
      <w:r w:rsidRPr="00066736">
        <w:rPr>
          <w:sz w:val="10"/>
        </w:rPr>
        <w:t xml:space="preserve">. </w:t>
      </w:r>
      <w:r w:rsidRPr="00066736">
        <w:rPr>
          <w:rStyle w:val="Emphasis"/>
          <w:sz w:val="20"/>
        </w:rPr>
        <w:t xml:space="preserve">Education </w:t>
      </w:r>
      <w:r w:rsidRPr="00066736">
        <w:rPr>
          <w:rStyle w:val="Emphasis"/>
          <w:sz w:val="20"/>
          <w:highlight w:val="cyan"/>
        </w:rPr>
        <w:t>that can spark that transformation</w:t>
      </w:r>
      <w:r w:rsidRPr="00066736">
        <w:rPr>
          <w:sz w:val="10"/>
        </w:rPr>
        <w:t xml:space="preserve">, that can ignite one’s passion, is education </w:t>
      </w:r>
      <w:r w:rsidRPr="00066736">
        <w:rPr>
          <w:rStyle w:val="StyleBoldUnderline"/>
          <w:sz w:val="20"/>
          <w:highlight w:val="cyan"/>
        </w:rPr>
        <w:t>that can transform the world</w:t>
      </w:r>
      <w:r w:rsidRPr="00066736">
        <w:rPr>
          <w:rStyle w:val="StyleBoldUnderline"/>
          <w:sz w:val="20"/>
        </w:rPr>
        <w:t>.</w:t>
      </w:r>
      <w:r w:rsidRPr="00066736">
        <w:rPr>
          <w:sz w:val="10"/>
        </w:rPr>
        <w:t xml:space="preserve"> </w:t>
      </w:r>
      <w:r w:rsidRPr="00066736">
        <w:rPr>
          <w:rStyle w:val="StyleBoldUnderline"/>
          <w:sz w:val="20"/>
        </w:rPr>
        <w:t xml:space="preserve">As our lives become more entwined and interconnected globally, </w:t>
      </w:r>
      <w:r w:rsidRPr="00066736">
        <w:rPr>
          <w:rStyle w:val="StyleBoldUnderline"/>
          <w:sz w:val="20"/>
          <w:highlight w:val="cyan"/>
        </w:rPr>
        <w:t>the advancement of</w:t>
      </w:r>
      <w:r w:rsidRPr="00066736">
        <w:rPr>
          <w:rStyle w:val="StyleBoldUnderline"/>
          <w:sz w:val="20"/>
        </w:rPr>
        <w:t xml:space="preserve"> such </w:t>
      </w:r>
      <w:r w:rsidRPr="00066736">
        <w:rPr>
          <w:rStyle w:val="StyleBoldUnderline"/>
          <w:sz w:val="20"/>
          <w:highlight w:val="cyan"/>
        </w:rPr>
        <w:t>humanistic education becomes</w:t>
      </w:r>
      <w:r w:rsidRPr="00066736">
        <w:rPr>
          <w:rStyle w:val="StyleBoldUnderline"/>
          <w:sz w:val="20"/>
        </w:rPr>
        <w:t xml:space="preserve"> ever more </w:t>
      </w:r>
      <w:r w:rsidRPr="00066736">
        <w:rPr>
          <w:rStyle w:val="StyleBoldUnderline"/>
          <w:sz w:val="20"/>
          <w:highlight w:val="cyan"/>
        </w:rPr>
        <w:t>vital</w:t>
      </w:r>
      <w:r w:rsidRPr="00066736">
        <w:rPr>
          <w:sz w:val="10"/>
        </w:rPr>
        <w:t xml:space="preserve">. The relationship between education and empowerment is complex. At best, one fuels the other. At worst, </w:t>
      </w:r>
      <w:r w:rsidRPr="00066736">
        <w:rPr>
          <w:rStyle w:val="Emphasis"/>
          <w:sz w:val="20"/>
          <w:highlight w:val="cyan"/>
        </w:rPr>
        <w:t>narrow definitions of education</w:t>
      </w:r>
      <w:r w:rsidRPr="00066736">
        <w:rPr>
          <w:rStyle w:val="Emphasis"/>
          <w:sz w:val="20"/>
        </w:rPr>
        <w:t xml:space="preserve">, which </w:t>
      </w:r>
      <w:r w:rsidRPr="00066736">
        <w:rPr>
          <w:rStyle w:val="Emphasis"/>
          <w:sz w:val="20"/>
          <w:highlight w:val="cyan"/>
        </w:rPr>
        <w:t>confine us to prescriptive roles that lessen who we are, serve to disconnect the two</w:t>
      </w:r>
      <w:r w:rsidRPr="00066736">
        <w:rPr>
          <w:sz w:val="10"/>
        </w:rPr>
        <w:t xml:space="preserve">. As dean of the Faculty of International Liberal Arts at Soka University, my </w:t>
      </w:r>
      <w:r w:rsidRPr="00066736">
        <w:rPr>
          <w:rStyle w:val="StyleBoldUnderline"/>
          <w:sz w:val="20"/>
        </w:rPr>
        <w:t>goal is to strengthen the connection between education and empowerment</w:t>
      </w:r>
      <w:r w:rsidRPr="00066736">
        <w:rPr>
          <w:sz w:val="10"/>
        </w:rPr>
        <w:t xml:space="preserve">. This goal is propelled by the vision of my university: </w:t>
      </w:r>
      <w:r w:rsidRPr="00066736">
        <w:rPr>
          <w:rStyle w:val="StyleBoldUnderline"/>
          <w:sz w:val="20"/>
        </w:rPr>
        <w:t>to uncover each student’s potential.</w:t>
      </w:r>
      <w:r w:rsidRPr="00066736">
        <w:rPr>
          <w:sz w:val="10"/>
        </w:rPr>
        <w:t xml:space="preserve"> The founder of Soka University, Daisaku Ikeda, states: “</w:t>
      </w:r>
      <w:r w:rsidRPr="00066736">
        <w:rPr>
          <w:rStyle w:val="Emphasis"/>
          <w:sz w:val="20"/>
          <w:highlight w:val="cyan"/>
        </w:rPr>
        <w:t>The greatest resource that humankind has is to be found within human life itself</w:t>
      </w:r>
      <w:r w:rsidRPr="00066736">
        <w:rPr>
          <w:rStyle w:val="Emphasis"/>
          <w:sz w:val="20"/>
        </w:rPr>
        <w:t xml:space="preserve">. </w:t>
      </w:r>
      <w:r w:rsidRPr="00066736">
        <w:rPr>
          <w:rStyle w:val="Emphasis"/>
          <w:sz w:val="20"/>
          <w:highlight w:val="cyan"/>
        </w:rPr>
        <w:t>This treasure can be endlessly mined and developed. To believe in</w:t>
      </w:r>
      <w:r w:rsidRPr="00066736">
        <w:rPr>
          <w:rStyle w:val="Emphasis"/>
          <w:sz w:val="20"/>
        </w:rPr>
        <w:t xml:space="preserve"> and encourage </w:t>
      </w:r>
      <w:r w:rsidRPr="00066736">
        <w:rPr>
          <w:rStyle w:val="Emphasis"/>
          <w:sz w:val="20"/>
          <w:highlight w:val="cyan"/>
        </w:rPr>
        <w:t>youth</w:t>
      </w:r>
      <w:r w:rsidRPr="00066736">
        <w:rPr>
          <w:rStyle w:val="Emphasis"/>
          <w:sz w:val="20"/>
        </w:rPr>
        <w:t xml:space="preserve">, bringing out their wisdom and strength; this is </w:t>
      </w:r>
      <w:r w:rsidRPr="00066736">
        <w:rPr>
          <w:rStyle w:val="Emphasis"/>
          <w:sz w:val="20"/>
          <w:highlight w:val="cyan"/>
        </w:rPr>
        <w:t>the challenge and purpose of education</w:t>
      </w:r>
      <w:r w:rsidRPr="00066736">
        <w:rPr>
          <w:sz w:val="10"/>
        </w:rPr>
        <w:t>.” His perspective as a Buddhist philosopher whose humanistic purpose is to believe in and encourage those around him aptly captures the power of inner transformation. He writes: “A great human revolution in the life of one person can change the destiny of humankind and our planet.”</w:t>
      </w:r>
    </w:p>
    <w:p w14:paraId="409301BC" w14:textId="77777777" w:rsidR="001E0A77" w:rsidRPr="00066736" w:rsidRDefault="001E0A77" w:rsidP="001E0A77">
      <w:pPr>
        <w:pStyle w:val="Heading4"/>
        <w:rPr>
          <w:sz w:val="24"/>
        </w:rPr>
      </w:pPr>
      <w:r w:rsidRPr="00066736">
        <w:rPr>
          <w:sz w:val="24"/>
        </w:rPr>
        <w:t xml:space="preserve">Definitions of education should supersede age and institutionalized schooling – flexible and de-formalized models are key </w:t>
      </w:r>
    </w:p>
    <w:p w14:paraId="62B655CC" w14:textId="77777777" w:rsidR="001E0A77" w:rsidRPr="00066736" w:rsidRDefault="001E0A77" w:rsidP="001E0A77">
      <w:pPr>
        <w:rPr>
          <w:sz w:val="14"/>
          <w:szCs w:val="16"/>
        </w:rPr>
      </w:pPr>
      <w:r w:rsidRPr="00066736">
        <w:rPr>
          <w:sz w:val="14"/>
          <w:szCs w:val="16"/>
        </w:rPr>
        <w:t xml:space="preserve">H.T.D. </w:t>
      </w:r>
      <w:r w:rsidRPr="00066736">
        <w:rPr>
          <w:rStyle w:val="StyleStyleBold12pt"/>
        </w:rPr>
        <w:t>Rost</w:t>
      </w:r>
      <w:r w:rsidRPr="00066736">
        <w:rPr>
          <w:sz w:val="14"/>
          <w:szCs w:val="16"/>
        </w:rPr>
        <w:t xml:space="preserve"> (Kenyatta University College, Faculty of Education, Nairobi, Kenya) </w:t>
      </w:r>
      <w:r w:rsidRPr="00066736">
        <w:rPr>
          <w:rStyle w:val="StyleStyleBold12pt"/>
        </w:rPr>
        <w:t>1979</w:t>
      </w:r>
      <w:r w:rsidRPr="00066736">
        <w:rPr>
          <w:sz w:val="14"/>
          <w:szCs w:val="16"/>
        </w:rPr>
        <w:t xml:space="preserve"> “The Magnificent Tangle That is Education” The Journal of Educational Thought (JET) / Revue de la Pensée Éducative, Vol. 13,No. 1 (April 1979), pp. 53-59, JSTOR</w:t>
      </w:r>
    </w:p>
    <w:p w14:paraId="08065E69" w14:textId="77777777" w:rsidR="001E0A77" w:rsidRPr="00066736" w:rsidRDefault="001E0A77" w:rsidP="001E0A77">
      <w:pPr>
        <w:rPr>
          <w:sz w:val="10"/>
          <w:szCs w:val="16"/>
        </w:rPr>
      </w:pPr>
      <w:r w:rsidRPr="00066736">
        <w:rPr>
          <w:sz w:val="10"/>
          <w:szCs w:val="16"/>
        </w:rPr>
        <w:t xml:space="preserve">Languages—which, to begin with, are not entirely satisfactory means of com munication—are constantly changing, and English is no exception. </w:t>
      </w:r>
      <w:r w:rsidRPr="00066736">
        <w:rPr>
          <w:rStyle w:val="StyleBoldUnderline"/>
          <w:sz w:val="20"/>
        </w:rPr>
        <w:t>Because all the elements of a language are interlinked, a change involving one element affects every other. The meanings of individual words alter with time and tend to expand or narrow</w:t>
      </w:r>
      <w:r w:rsidRPr="00066736">
        <w:rPr>
          <w:sz w:val="10"/>
          <w:szCs w:val="16"/>
        </w:rPr>
        <w:t xml:space="preserve">. Both extension and restriction of meaning can result from a variety of causes, some strictly linguistic, others social or psychological.5 </w:t>
      </w:r>
      <w:r w:rsidRPr="00066736">
        <w:rPr>
          <w:rStyle w:val="StyleBoldUnderline"/>
          <w:sz w:val="20"/>
        </w:rPr>
        <w:t>The word education is a case in point. Has the meaning of education, beginning with its dubious etymological roots, altered, and, if so, has it expanded or narrowed, particularly in the recent past? Without going into detail</w:t>
      </w:r>
      <w:r w:rsidRPr="00066736">
        <w:rPr>
          <w:sz w:val="10"/>
          <w:szCs w:val="16"/>
        </w:rPr>
        <w:t>,</w:t>
      </w:r>
      <w:r w:rsidRPr="00066736">
        <w:rPr>
          <w:rStyle w:val="StyleBoldUnderline"/>
          <w:sz w:val="20"/>
        </w:rPr>
        <w:t>6there is no doubt that it has altered</w:t>
      </w:r>
      <w:r w:rsidRPr="00066736">
        <w:rPr>
          <w:sz w:val="10"/>
          <w:szCs w:val="16"/>
        </w:rPr>
        <w:t xml:space="preserve">, but the answer to the second part of the question is not so simple. It seems to me that, in the last analysis, it has depended on the meaning of the word in the particular society or even with the particular individual with which we are concerned, </w:t>
      </w:r>
      <w:r w:rsidRPr="00066736">
        <w:rPr>
          <w:rStyle w:val="StyleBoldUnderline"/>
          <w:sz w:val="20"/>
        </w:rPr>
        <w:t>although there is plenty of evidence that in many circles the meaning of education seems to be expanding at present</w:t>
      </w:r>
      <w:r w:rsidRPr="00066736">
        <w:rPr>
          <w:sz w:val="10"/>
          <w:szCs w:val="16"/>
        </w:rPr>
        <w:t>, partly through the impact of the growing universalization of many aspects of man's way of life. For instance, the claim has been made that the way of thinking about education in Western Europe has broadened in recent years. (Western Europeans) have been accustomed to limit the use of the term education to formal instruction in a system of schools, and, until recent years when new educational methods have been experimented with, to the acquiring of knowledge through books. ... It is true that recent educational reports have emphasized the importance of relating the subjects taught in the cur riculum, as well as the methods of teaching them, to the environmental background of the children, that is to the culture to which they belong. We are well aware, however, that children learn their patterns of social behaviour, their ideas on family life and earning a living, their value attitude systems in relation to social and economic life, far more intensively and extensively outside school than inside.7</w:t>
      </w:r>
    </w:p>
    <w:p w14:paraId="776099D0" w14:textId="77777777" w:rsidR="001E0A77" w:rsidRPr="00066736" w:rsidRDefault="001E0A77" w:rsidP="001E0A77">
      <w:pPr>
        <w:rPr>
          <w:rStyle w:val="StyleBoldUnderline"/>
          <w:sz w:val="20"/>
        </w:rPr>
      </w:pPr>
      <w:r w:rsidRPr="00066736">
        <w:rPr>
          <w:sz w:val="10"/>
          <w:szCs w:val="16"/>
        </w:rPr>
        <w:t xml:space="preserve">But </w:t>
      </w:r>
      <w:r w:rsidRPr="00066736">
        <w:rPr>
          <w:rStyle w:val="StyleBoldUnderline"/>
          <w:sz w:val="20"/>
        </w:rPr>
        <w:t>the expansion of the concept of education may be taking place on a broad front in many countries of the world. A writer on lifelong education indicates that conditions are ripe for such expansion</w:t>
      </w:r>
      <w:r w:rsidRPr="00066736">
        <w:rPr>
          <w:sz w:val="10"/>
          <w:szCs w:val="16"/>
        </w:rPr>
        <w:t xml:space="preserve">. It seems to me, however, contrary to the scepticism which prevails in certain conservative circles with regard to the practical possibilities of this concept (lifelong education), that these are, on the whole, greater than they appear at first sight. The experience which has already been gained through the functional literacy projects and other </w:t>
      </w:r>
      <w:r w:rsidRPr="00066736">
        <w:rPr>
          <w:rStyle w:val="StyleBoldUnderline"/>
          <w:sz w:val="20"/>
        </w:rPr>
        <w:t>out-of-school training programmes, as well as the continually expanding communications methods</w:t>
      </w:r>
      <w:r w:rsidRPr="00066736">
        <w:rPr>
          <w:sz w:val="10"/>
          <w:szCs w:val="16"/>
        </w:rPr>
        <w:t>—television and other mass media—</w:t>
      </w:r>
      <w:r w:rsidRPr="00066736">
        <w:rPr>
          <w:rStyle w:val="StyleBoldUnderline"/>
          <w:sz w:val="20"/>
        </w:rPr>
        <w:t>today offer exceptional opportunities for the gradual expansion of the concept of education</w:t>
      </w:r>
      <w:r w:rsidRPr="00066736">
        <w:rPr>
          <w:sz w:val="10"/>
          <w:szCs w:val="16"/>
        </w:rPr>
        <w:t xml:space="preserve">.8 Significantly, </w:t>
      </w:r>
      <w:r w:rsidRPr="00066736">
        <w:rPr>
          <w:rStyle w:val="StyleBoldUnderline"/>
          <w:sz w:val="20"/>
        </w:rPr>
        <w:t xml:space="preserve">the broadening of the concept of education is seen in such an important work as UNESCO's Learning to Be as essential to reform and change in education throughout the globe. The concept of education limited </w:t>
      </w:r>
      <w:r w:rsidRPr="00066736">
        <w:rPr>
          <w:sz w:val="10"/>
          <w:szCs w:val="16"/>
        </w:rPr>
        <w:t>in time (</w:t>
      </w:r>
      <w:r w:rsidRPr="00066736">
        <w:rPr>
          <w:rStyle w:val="StyleBoldUnderline"/>
          <w:sz w:val="20"/>
        </w:rPr>
        <w:t>to 'school age'</w:t>
      </w:r>
      <w:r w:rsidRPr="00066736">
        <w:rPr>
          <w:sz w:val="10"/>
          <w:szCs w:val="16"/>
        </w:rPr>
        <w:t xml:space="preserve">) </w:t>
      </w:r>
      <w:r w:rsidRPr="00066736">
        <w:rPr>
          <w:rStyle w:val="StyleBoldUnderline"/>
          <w:sz w:val="20"/>
        </w:rPr>
        <w:t>and</w:t>
      </w:r>
      <w:r w:rsidRPr="00066736">
        <w:rPr>
          <w:sz w:val="10"/>
          <w:szCs w:val="16"/>
        </w:rPr>
        <w:t xml:space="preserve"> confined in space (</w:t>
      </w:r>
      <w:r w:rsidRPr="00066736">
        <w:rPr>
          <w:rStyle w:val="StyleBoldUnderline"/>
          <w:sz w:val="20"/>
        </w:rPr>
        <w:t>to school buildings</w:t>
      </w:r>
      <w:r w:rsidRPr="00066736">
        <w:rPr>
          <w:sz w:val="10"/>
          <w:szCs w:val="16"/>
        </w:rPr>
        <w:t xml:space="preserve">) </w:t>
      </w:r>
      <w:r w:rsidRPr="00066736">
        <w:rPr>
          <w:rStyle w:val="StyleBoldUnderline"/>
          <w:sz w:val="20"/>
        </w:rPr>
        <w:t>must be superseded. School education must be regarded not as the end but as the fundamental component of total educational activity, which includes both institutionalized and out-of-school education. A proportion of educational activity should be de-formalized and replaced by flexible, diversified models</w:t>
      </w:r>
      <w:r w:rsidRPr="00066736">
        <w:rPr>
          <w:sz w:val="10"/>
          <w:szCs w:val="16"/>
        </w:rPr>
        <w:t xml:space="preserve">. Excessive prolongation of compulsory schooling, which is beyond certain coun tries' capacities, must be avoided. The extension of continual training will more than compensate for the shorter average duration of initial studies. Briefly, education must be conceived of as an existential continuum as long as life.9 Note that in all of the above instances, the writers assumed that the old, commonly held concept of education was rather narrow in scope, an assumption that, as we shall see elsewhere, is not universally valid. The question arises: </w:t>
      </w:r>
      <w:r w:rsidRPr="00066736">
        <w:rPr>
          <w:rStyle w:val="StyleBoldUnderline"/>
          <w:sz w:val="20"/>
        </w:rPr>
        <w:t>if the meaning of education continues generally to expand, accompanied by, we would assume, a higher frequency of usage, would it become like such words as thing, matter, and item that now mean so much that they actually end up meaning very little</w:t>
      </w:r>
      <w:r w:rsidRPr="00066736">
        <w:rPr>
          <w:sz w:val="10"/>
          <w:szCs w:val="16"/>
        </w:rPr>
        <w:t xml:space="preserve"> in many contexts</w:t>
      </w:r>
      <w:r w:rsidRPr="00066736">
        <w:rPr>
          <w:rStyle w:val="StyleBoldUnderline"/>
          <w:sz w:val="20"/>
        </w:rPr>
        <w:t>? I am not so sure that the mere expansion of the scope or dimensions of what adds up to education will render the word nearly meaningless; in fact, if, through this process, man comes to a clearer concept of what education actually is, just the opposite may occur</w:t>
      </w:r>
      <w:r w:rsidRPr="00066736">
        <w:rPr>
          <w:sz w:val="10"/>
          <w:szCs w:val="16"/>
        </w:rPr>
        <w:t xml:space="preserve">—a view that I hope to attempt to substantiate in the future. But not everyone agrees that the meaning or concept of education is expanding. Some British scholars seem to prefer a more specific concept of education than has been held in the past, but they admit that the concept is a very fluid one.10 At any rate, if the question of whether the meaning of education is expanding or contract ing is debatable, I think that </w:t>
      </w:r>
      <w:r w:rsidRPr="00066736">
        <w:rPr>
          <w:rStyle w:val="StyleBoldUnderline"/>
          <w:sz w:val="20"/>
        </w:rPr>
        <w:t>we are on surer ground when postulating that with the knowledge explosion in recent history, the number of English-speakers with relatively sophisticated (if often questionable) concepts of education has grown enormously</w:t>
      </w:r>
    </w:p>
    <w:p w14:paraId="70CECF89" w14:textId="77777777" w:rsidR="001E0A77" w:rsidRPr="00066736" w:rsidRDefault="001E0A77" w:rsidP="001E0A77">
      <w:pPr>
        <w:rPr>
          <w:sz w:val="8"/>
        </w:rPr>
      </w:pPr>
    </w:p>
    <w:p w14:paraId="1302689D" w14:textId="77777777" w:rsidR="001E0A77" w:rsidRDefault="001E0A77" w:rsidP="001E0A77">
      <w:pPr>
        <w:rPr>
          <w:sz w:val="14"/>
          <w:szCs w:val="16"/>
        </w:rPr>
      </w:pPr>
    </w:p>
    <w:p w14:paraId="52E7F267" w14:textId="77777777" w:rsidR="001E0A77" w:rsidRPr="00066736" w:rsidRDefault="001E0A77" w:rsidP="001E0A77">
      <w:pPr>
        <w:pStyle w:val="Heading3"/>
        <w:rPr>
          <w:sz w:val="28"/>
        </w:rPr>
      </w:pPr>
      <w:r>
        <w:rPr>
          <w:sz w:val="28"/>
        </w:rPr>
        <w:t>Education = Native Americans</w:t>
      </w:r>
    </w:p>
    <w:p w14:paraId="274B4C49" w14:textId="77777777" w:rsidR="001E0A77" w:rsidRPr="00066736" w:rsidRDefault="001E0A77" w:rsidP="001E0A77">
      <w:pPr>
        <w:pStyle w:val="Heading4"/>
        <w:rPr>
          <w:sz w:val="24"/>
        </w:rPr>
      </w:pPr>
      <w:r w:rsidRPr="00066736">
        <w:rPr>
          <w:sz w:val="24"/>
        </w:rPr>
        <w:t>Native American education is included in elementary and secondary schools</w:t>
      </w:r>
    </w:p>
    <w:p w14:paraId="0EBA5175" w14:textId="77777777" w:rsidR="001E0A77" w:rsidRPr="00066736" w:rsidRDefault="001E0A77" w:rsidP="001E0A77">
      <w:pPr>
        <w:rPr>
          <w:sz w:val="14"/>
          <w:szCs w:val="16"/>
        </w:rPr>
      </w:pPr>
      <w:r w:rsidRPr="00066736">
        <w:rPr>
          <w:rStyle w:val="StyleStyleBold12pt"/>
        </w:rPr>
        <w:t>Department of Education 15</w:t>
      </w:r>
      <w:r w:rsidRPr="00066736">
        <w:rPr>
          <w:sz w:val="14"/>
          <w:szCs w:val="16"/>
        </w:rPr>
        <w:t xml:space="preserve"> [Elementary and Secondary Education Act of 1965, updated to meet the standards and definitions of ESSA, https://www2.ed.gov/policy/elsec/leg/esea02/pg98.html#sec7101, accessed 6-22-17, DMJ]</w:t>
      </w:r>
    </w:p>
    <w:p w14:paraId="1CD3AD2E" w14:textId="77777777" w:rsidR="001E0A77" w:rsidRPr="00066736" w:rsidRDefault="001E0A77" w:rsidP="001E0A77">
      <w:pPr>
        <w:rPr>
          <w:sz w:val="14"/>
          <w:szCs w:val="16"/>
        </w:rPr>
      </w:pPr>
    </w:p>
    <w:p w14:paraId="7FA76F9C" w14:textId="77777777" w:rsidR="001E0A77" w:rsidRPr="00066736" w:rsidRDefault="001E0A77" w:rsidP="001E0A77">
      <w:pPr>
        <w:rPr>
          <w:sz w:val="10"/>
        </w:rPr>
      </w:pPr>
      <w:r w:rsidRPr="00066736">
        <w:rPr>
          <w:sz w:val="10"/>
        </w:rPr>
        <w:t xml:space="preserve">SEC. 7101. STATEMENT OF POLICY. </w:t>
      </w:r>
      <w:r w:rsidRPr="00066736">
        <w:rPr>
          <w:rStyle w:val="StyleBoldUnderline"/>
          <w:sz w:val="20"/>
          <w:highlight w:val="cyan"/>
        </w:rPr>
        <w:t>It is the policy of the United States to fulfill the Federal Government's unique and continuing trust relationship with and responsibility to the Indian people for the education of Indian children.</w:t>
      </w:r>
      <w:r w:rsidRPr="00066736">
        <w:rPr>
          <w:sz w:val="10"/>
          <w:highlight w:val="cyan"/>
        </w:rPr>
        <w:t xml:space="preserve"> </w:t>
      </w:r>
      <w:r w:rsidRPr="00066736">
        <w:rPr>
          <w:sz w:val="10"/>
        </w:rPr>
        <w:t xml:space="preserve">The Federal Government will continue to work with local educational agencies, Indian tribes and organizations, postsecondary institutions, and other entities toward the goal of </w:t>
      </w:r>
      <w:r w:rsidRPr="00066736">
        <w:rPr>
          <w:rStyle w:val="StyleBoldUnderline"/>
          <w:sz w:val="20"/>
          <w:highlight w:val="cyan"/>
        </w:rPr>
        <w:t>ensuring that programs that serve Indian children are of the highest quality and provide for</w:t>
      </w:r>
      <w:r w:rsidRPr="00066736">
        <w:rPr>
          <w:sz w:val="10"/>
          <w:highlight w:val="cyan"/>
        </w:rPr>
        <w:t xml:space="preserve"> </w:t>
      </w:r>
      <w:r w:rsidRPr="00066736">
        <w:rPr>
          <w:sz w:val="10"/>
        </w:rPr>
        <w:t xml:space="preserve">not only </w:t>
      </w:r>
      <w:r w:rsidRPr="00066736">
        <w:rPr>
          <w:rStyle w:val="StyleBoldUnderline"/>
          <w:sz w:val="20"/>
          <w:highlight w:val="cyan"/>
        </w:rPr>
        <w:t>the basic elementary and secondary educational needs</w:t>
      </w:r>
      <w:r w:rsidRPr="00066736">
        <w:rPr>
          <w:sz w:val="10"/>
        </w:rPr>
        <w:t>, but also the unique educational and culturally related academic needs of these children.</w:t>
      </w:r>
    </w:p>
    <w:p w14:paraId="3906BF5C" w14:textId="77777777" w:rsidR="001E0A77" w:rsidRPr="00066736" w:rsidRDefault="001E0A77" w:rsidP="001E0A77">
      <w:pPr>
        <w:rPr>
          <w:sz w:val="14"/>
          <w:szCs w:val="16"/>
        </w:rPr>
      </w:pPr>
    </w:p>
    <w:p w14:paraId="4DF37454" w14:textId="57A6C607" w:rsidR="001E0A77" w:rsidRPr="00066736" w:rsidRDefault="001E0A77" w:rsidP="001E0A77">
      <w:pPr>
        <w:pStyle w:val="Heading3"/>
        <w:rPr>
          <w:sz w:val="28"/>
        </w:rPr>
      </w:pPr>
      <w:r>
        <w:rPr>
          <w:sz w:val="28"/>
        </w:rPr>
        <w:t>Education =</w:t>
      </w:r>
      <w:r w:rsidRPr="00066736">
        <w:rPr>
          <w:sz w:val="28"/>
        </w:rPr>
        <w:t xml:space="preserve"> School Lunch</w:t>
      </w:r>
    </w:p>
    <w:p w14:paraId="0FC2A358" w14:textId="77777777" w:rsidR="001E0A77" w:rsidRPr="00066736" w:rsidRDefault="001E0A77" w:rsidP="001E0A77">
      <w:pPr>
        <w:pStyle w:val="Heading4"/>
        <w:rPr>
          <w:rFonts w:cstheme="minorHAnsi"/>
          <w:sz w:val="24"/>
        </w:rPr>
      </w:pPr>
      <w:r w:rsidRPr="00066736">
        <w:rPr>
          <w:sz w:val="24"/>
        </w:rPr>
        <w:t>In context, funding for elementary and secondary education includes school lunch programs.</w:t>
      </w:r>
      <w:r w:rsidRPr="00066736">
        <w:rPr>
          <w:rFonts w:cstheme="minorHAnsi"/>
          <w:sz w:val="24"/>
        </w:rPr>
        <w:t xml:space="preserve"> </w:t>
      </w:r>
    </w:p>
    <w:p w14:paraId="39011EDE" w14:textId="77777777" w:rsidR="001E0A77" w:rsidRPr="005F783E" w:rsidRDefault="001E0A77" w:rsidP="001E0A77">
      <w:pPr>
        <w:rPr>
          <w:rFonts w:cstheme="minorHAnsi"/>
          <w:sz w:val="16"/>
          <w:szCs w:val="16"/>
        </w:rPr>
      </w:pPr>
      <w:r w:rsidRPr="00066736">
        <w:rPr>
          <w:rFonts w:cstheme="minorHAnsi"/>
          <w:b/>
          <w:sz w:val="20"/>
        </w:rPr>
        <w:t xml:space="preserve">McCann 15 </w:t>
      </w:r>
      <w:r w:rsidRPr="005F783E">
        <w:rPr>
          <w:rFonts w:cstheme="minorHAnsi"/>
          <w:sz w:val="16"/>
          <w:szCs w:val="16"/>
        </w:rPr>
        <w:t xml:space="preserve">(Clare, policy analyst with the Education Policy Program at the New America Foundation. Ms. McCann graduated from The George Washington University with a B.A. in Political Science and a focus in Public Policy, "School Finance," 7-28-15 </w:t>
      </w:r>
      <w:hyperlink r:id="rId39" w:history="1">
        <w:r w:rsidRPr="00066736">
          <w:rPr>
            <w:rStyle w:val="Hyperlink"/>
            <w:rFonts w:cstheme="minorHAnsi"/>
            <w:sz w:val="20"/>
          </w:rPr>
          <w:t>http://www.edcentral.org/edcyclopedia/school-finance/</w:t>
        </w:r>
      </w:hyperlink>
      <w:r w:rsidRPr="005F783E">
        <w:rPr>
          <w:rFonts w:cstheme="minorHAnsi"/>
          <w:sz w:val="16"/>
          <w:szCs w:val="16"/>
        </w:rPr>
        <w:t xml:space="preserve"> JD)</w:t>
      </w:r>
    </w:p>
    <w:p w14:paraId="7B09F174" w14:textId="77777777" w:rsidR="001E0A77" w:rsidRPr="00066736" w:rsidRDefault="001E0A77" w:rsidP="001E0A77">
      <w:pPr>
        <w:rPr>
          <w:rFonts w:cstheme="minorHAnsi"/>
          <w:sz w:val="14"/>
        </w:rPr>
      </w:pPr>
      <w:r w:rsidRPr="00066736">
        <w:rPr>
          <w:rStyle w:val="StyleBoldUnderline"/>
          <w:rFonts w:cstheme="minorHAnsi"/>
          <w:sz w:val="20"/>
        </w:rPr>
        <w:t xml:space="preserve">Through the U.S. Department of Education, the federal government provides more than $40 billion a year on primary and secondary education programs. The two biggest programs are No Child Left Behind Title I Grants to local school districts ($13.7 billion in fiscal year 2013) and IDEA Special Education State Grants </w:t>
      </w:r>
      <w:r w:rsidRPr="00066736">
        <w:rPr>
          <w:rFonts w:cstheme="minorHAnsi"/>
          <w:sz w:val="14"/>
        </w:rPr>
        <w:t xml:space="preserve">($11.0 billion in fiscal year 2013). Other </w:t>
      </w:r>
      <w:r w:rsidRPr="00066736">
        <w:rPr>
          <w:rFonts w:cstheme="minorHAnsi"/>
          <w:b/>
          <w:sz w:val="20"/>
          <w:u w:val="single"/>
        </w:rPr>
        <w:t>federal agencies that administer funding for primary and secondary education include the Department of Agriculture,</w:t>
      </w:r>
      <w:r w:rsidRPr="00066736">
        <w:rPr>
          <w:rFonts w:cstheme="minorHAnsi"/>
          <w:sz w:val="14"/>
        </w:rPr>
        <w:t xml:space="preserve"> which coordinates the </w:t>
      </w:r>
      <w:r w:rsidRPr="00066736">
        <w:rPr>
          <w:rFonts w:cstheme="minorHAnsi"/>
          <w:b/>
          <w:sz w:val="20"/>
          <w:u w:val="single"/>
        </w:rPr>
        <w:t>funding for the child nutrition programs</w:t>
      </w:r>
      <w:r w:rsidRPr="00066736">
        <w:rPr>
          <w:rFonts w:cstheme="minorHAnsi"/>
          <w:sz w:val="14"/>
        </w:rPr>
        <w:t xml:space="preserve"> ($20.4 in fiscal year 2013), </w:t>
      </w:r>
      <w:r w:rsidRPr="00066736">
        <w:rPr>
          <w:rFonts w:cstheme="minorHAnsi"/>
          <w:b/>
          <w:sz w:val="20"/>
          <w:u w:val="single"/>
        </w:rPr>
        <w:t>the Department of Health and Human Services, which supports the Head Start program</w:t>
      </w:r>
      <w:r w:rsidRPr="00066736">
        <w:rPr>
          <w:rFonts w:cstheme="minorHAnsi"/>
          <w:sz w:val="14"/>
        </w:rPr>
        <w:t xml:space="preserve"> ($8.0 million in fiscal year 2013) </w:t>
      </w:r>
      <w:r w:rsidRPr="00066736">
        <w:rPr>
          <w:rFonts w:cstheme="minorHAnsi"/>
          <w:b/>
          <w:sz w:val="20"/>
          <w:u w:val="single"/>
        </w:rPr>
        <w:t>and the Department of Labor, which supports Youth Employment and Training Activities and Youthbuild</w:t>
      </w:r>
      <w:r w:rsidRPr="00066736">
        <w:rPr>
          <w:rFonts w:cstheme="minorHAnsi"/>
          <w:sz w:val="14"/>
        </w:rPr>
        <w:t xml:space="preserve"> ($0.9 billion in fiscal year 2013).</w:t>
      </w:r>
    </w:p>
    <w:p w14:paraId="156D867F" w14:textId="66B759DD" w:rsidR="001E0A77" w:rsidRPr="00066736" w:rsidRDefault="001E0A77" w:rsidP="001E0A77">
      <w:pPr>
        <w:pStyle w:val="Heading3"/>
        <w:rPr>
          <w:rStyle w:val="StyleBoldUnderline"/>
          <w:sz w:val="18"/>
          <w:szCs w:val="20"/>
        </w:rPr>
      </w:pPr>
      <w:r>
        <w:t xml:space="preserve">Education = </w:t>
      </w:r>
      <w:r w:rsidRPr="00066736">
        <w:t>STEM</w:t>
      </w:r>
    </w:p>
    <w:p w14:paraId="25CD6139" w14:textId="77777777" w:rsidR="001E0A77" w:rsidRPr="00066736" w:rsidRDefault="001E0A77" w:rsidP="001E0A77">
      <w:pPr>
        <w:pStyle w:val="Heading4"/>
        <w:rPr>
          <w:sz w:val="24"/>
        </w:rPr>
      </w:pPr>
      <w:r w:rsidRPr="00066736">
        <w:rPr>
          <w:sz w:val="24"/>
        </w:rPr>
        <w:t>We meet – STEM is a key part of curriculum</w:t>
      </w:r>
    </w:p>
    <w:p w14:paraId="53178C31" w14:textId="77777777" w:rsidR="001E0A77" w:rsidRPr="00066736" w:rsidRDefault="001E0A77" w:rsidP="001E0A77">
      <w:pPr>
        <w:tabs>
          <w:tab w:val="left" w:pos="16520"/>
        </w:tabs>
        <w:rPr>
          <w:b/>
          <w:sz w:val="20"/>
        </w:rPr>
      </w:pPr>
      <w:r w:rsidRPr="00066736">
        <w:rPr>
          <w:rStyle w:val="StyleStyleBold12pt"/>
          <w:sz w:val="22"/>
        </w:rPr>
        <w:t xml:space="preserve">UNICEF 00 </w:t>
      </w:r>
      <w:r w:rsidRPr="00066736">
        <w:rPr>
          <w:sz w:val="14"/>
          <w:szCs w:val="16"/>
        </w:rPr>
        <w:t xml:space="preserve">(United Nations Children’s Fund, “Defining Quality in Education,” UNICEF, </w:t>
      </w:r>
      <w:hyperlink r:id="rId40" w:history="1">
        <w:r w:rsidRPr="00066736">
          <w:rPr>
            <w:rStyle w:val="Hyperlink"/>
            <w:sz w:val="18"/>
          </w:rPr>
          <w:t>https://www.unicef.org/education/files/QualityEducation.PDF</w:t>
        </w:r>
      </w:hyperlink>
      <w:r w:rsidRPr="00066736">
        <w:rPr>
          <w:sz w:val="14"/>
          <w:szCs w:val="16"/>
        </w:rPr>
        <w:t>) MBH</w:t>
      </w:r>
      <w:r w:rsidRPr="00066736">
        <w:rPr>
          <w:sz w:val="14"/>
          <w:szCs w:val="16"/>
        </w:rPr>
        <w:tab/>
      </w:r>
    </w:p>
    <w:p w14:paraId="044BA9BD" w14:textId="27D3CDBB" w:rsidR="001E0A77" w:rsidRPr="001E0A77" w:rsidRDefault="001E0A77" w:rsidP="001E0A77">
      <w:pPr>
        <w:tabs>
          <w:tab w:val="left" w:pos="16520"/>
        </w:tabs>
        <w:rPr>
          <w:sz w:val="10"/>
          <w:szCs w:val="16"/>
        </w:rPr>
      </w:pPr>
      <w:r w:rsidRPr="00066736">
        <w:rPr>
          <w:sz w:val="10"/>
          <w:szCs w:val="16"/>
        </w:rPr>
        <w:t xml:space="preserve">The specific content of </w:t>
      </w:r>
      <w:r w:rsidRPr="00066736">
        <w:rPr>
          <w:rStyle w:val="StyleBoldUnderline"/>
          <w:sz w:val="18"/>
          <w:szCs w:val="20"/>
        </w:rPr>
        <w:t>school curriculum</w:t>
      </w:r>
      <w:r w:rsidRPr="00066736">
        <w:rPr>
          <w:sz w:val="10"/>
          <w:szCs w:val="16"/>
        </w:rPr>
        <w:t xml:space="preserve">, however, </w:t>
      </w:r>
      <w:r w:rsidRPr="00066736">
        <w:rPr>
          <w:rStyle w:val="StyleBoldUnderline"/>
          <w:sz w:val="18"/>
          <w:szCs w:val="20"/>
        </w:rPr>
        <w:t>depends on</w:t>
      </w:r>
      <w:r w:rsidRPr="00066736">
        <w:rPr>
          <w:sz w:val="10"/>
          <w:szCs w:val="16"/>
        </w:rPr>
        <w:t xml:space="preserve"> local and national values. In </w:t>
      </w:r>
      <w:r w:rsidRPr="00066736">
        <w:rPr>
          <w:rStyle w:val="StyleBoldUnderline"/>
          <w:sz w:val="18"/>
          <w:szCs w:val="20"/>
        </w:rPr>
        <w:t>the main subject areas of primary education, which include language, math, science and social studies</w:t>
      </w:r>
      <w:r w:rsidRPr="00066736">
        <w:rPr>
          <w:sz w:val="10"/>
          <w:szCs w:val="16"/>
        </w:rPr>
        <w:t xml:space="preserve">, little variation is found among different regions in the developing world. Nation states, however, “tend to have a high degree of consistency in curriculum emphasis over time, but differ sharply from each other, reflecting unique historical patterns” (Benavot &amp; Karmens, 1989, cited in UNICEF, 2000). Local level interests may also have an impact on and contribute to the quality of educational content. Based on community priorities, the Mali Community Schools project, for example, successfully incorporated local knowledge into traditional subject areas (Muskin, 1999). In all countries, however, </w:t>
      </w:r>
      <w:r w:rsidRPr="00066736">
        <w:rPr>
          <w:rStyle w:val="StyleBoldUnderline"/>
          <w:sz w:val="18"/>
          <w:szCs w:val="20"/>
        </w:rPr>
        <w:t>quality content should include several pivotal areas. These include literacy, numeracy, life skills and peace education — as well as science</w:t>
      </w:r>
      <w:r w:rsidRPr="00066736">
        <w:rPr>
          <w:sz w:val="10"/>
          <w:szCs w:val="16"/>
        </w:rPr>
        <w:t xml:space="preserve"> and social studies.</w:t>
      </w:r>
    </w:p>
    <w:p w14:paraId="65BB7626" w14:textId="4B66DFC8" w:rsidR="001E0A77" w:rsidRPr="00066736" w:rsidRDefault="001E0A77" w:rsidP="001E0A77">
      <w:pPr>
        <w:pStyle w:val="Heading3"/>
        <w:rPr>
          <w:rStyle w:val="StyleStyleBold12pt"/>
          <w:b/>
        </w:rPr>
      </w:pPr>
      <w:r>
        <w:rPr>
          <w:sz w:val="28"/>
        </w:rPr>
        <w:t xml:space="preserve">Education = </w:t>
      </w:r>
      <w:r w:rsidRPr="00066736">
        <w:rPr>
          <w:sz w:val="28"/>
        </w:rPr>
        <w:t>Safety/Environment</w:t>
      </w:r>
    </w:p>
    <w:p w14:paraId="63B07C60" w14:textId="77777777" w:rsidR="001E0A77" w:rsidRPr="00066736" w:rsidRDefault="001E0A77" w:rsidP="001E0A77">
      <w:pPr>
        <w:pStyle w:val="Heading4"/>
        <w:rPr>
          <w:rStyle w:val="StyleStyleBold12pt"/>
          <w:b/>
        </w:rPr>
      </w:pPr>
      <w:r w:rsidRPr="00066736">
        <w:rPr>
          <w:rStyle w:val="StyleStyleBold12pt"/>
        </w:rPr>
        <w:t>Educational regulations are regulations that are related to education and student safety.</w:t>
      </w:r>
    </w:p>
    <w:p w14:paraId="04A05049" w14:textId="77777777" w:rsidR="001E0A77" w:rsidRPr="00066736" w:rsidRDefault="001E0A77" w:rsidP="001E0A77">
      <w:pPr>
        <w:spacing w:line="360" w:lineRule="auto"/>
        <w:rPr>
          <w:rFonts w:eastAsia="Times New Roman" w:cs="Times New Roman"/>
          <w:sz w:val="16"/>
          <w:szCs w:val="16"/>
        </w:rPr>
      </w:pPr>
      <w:r w:rsidRPr="00066736">
        <w:rPr>
          <w:rStyle w:val="StyleStyleBold12pt"/>
        </w:rPr>
        <w:t>American Council on Education 15</w:t>
      </w:r>
      <w:r w:rsidRPr="00066736">
        <w:rPr>
          <w:rFonts w:eastAsia="Times New Roman" w:cs="Arial"/>
          <w:color w:val="000000"/>
          <w:sz w:val="20"/>
        </w:rPr>
        <w:t xml:space="preserve"> </w:t>
      </w:r>
      <w:r w:rsidRPr="00066736">
        <w:rPr>
          <w:sz w:val="18"/>
          <w:szCs w:val="20"/>
        </w:rPr>
        <w:t>(“Recalibrating Regulation of Colleges and Universities,” ACE, p. 5) EYC</w:t>
      </w:r>
    </w:p>
    <w:p w14:paraId="1534B918" w14:textId="77777777" w:rsidR="001E0A77" w:rsidRPr="00066736" w:rsidRDefault="001E0A77" w:rsidP="001E0A77">
      <w:pPr>
        <w:rPr>
          <w:sz w:val="14"/>
        </w:rPr>
      </w:pPr>
      <w:r w:rsidRPr="00066736">
        <w:rPr>
          <w:sz w:val="14"/>
        </w:rPr>
        <w:t xml:space="preserve">To help policy makers think about the most effective and efficient way to regulate higher education, the Task Force developed </w:t>
      </w:r>
      <w:r w:rsidRPr="00066736">
        <w:rPr>
          <w:b/>
          <w:sz w:val="20"/>
          <w:u w:val="single"/>
        </w:rPr>
        <w:t xml:space="preserve">the </w:t>
      </w:r>
      <w:r w:rsidRPr="00066736">
        <w:rPr>
          <w:rStyle w:val="StyleBoldUnderline"/>
          <w:sz w:val="20"/>
        </w:rPr>
        <w:t>following</w:t>
      </w:r>
      <w:r w:rsidRPr="00066736">
        <w:rPr>
          <w:sz w:val="14"/>
        </w:rPr>
        <w:t xml:space="preserve"> Guiding </w:t>
      </w:r>
      <w:r w:rsidRPr="00066736">
        <w:rPr>
          <w:rStyle w:val="StyleBoldUnderline"/>
          <w:sz w:val="20"/>
        </w:rPr>
        <w:t>Principles to govern the development</w:t>
      </w:r>
      <w:r w:rsidRPr="00066736">
        <w:rPr>
          <w:sz w:val="14"/>
        </w:rPr>
        <w:t xml:space="preserve">, implementation, and enforcement </w:t>
      </w:r>
      <w:r w:rsidRPr="00066736">
        <w:rPr>
          <w:rStyle w:val="StyleBoldUnderline"/>
          <w:sz w:val="20"/>
        </w:rPr>
        <w:t>of regulations by the Department [of Education</w:t>
      </w:r>
      <w:r w:rsidRPr="00066736">
        <w:rPr>
          <w:sz w:val="14"/>
        </w:rPr>
        <w:t xml:space="preserve">]: • </w:t>
      </w:r>
      <w:r w:rsidRPr="00066736">
        <w:rPr>
          <w:rStyle w:val="StyleBoldUnderline"/>
          <w:sz w:val="20"/>
        </w:rPr>
        <w:t xml:space="preserve">Regulations should be related to education, student safety, and stewardship of federal funds. • Regulations should be clear and comprehensible. </w:t>
      </w:r>
      <w:r w:rsidRPr="00066736">
        <w:rPr>
          <w:sz w:val="14"/>
        </w:rPr>
        <w:t xml:space="preserve">• </w:t>
      </w:r>
      <w:r w:rsidRPr="00066736">
        <w:rPr>
          <w:rStyle w:val="StyleBoldUnderline"/>
          <w:sz w:val="20"/>
        </w:rPr>
        <w:t>Regulations should not stray from clearly stated legislative intent</w:t>
      </w:r>
      <w:r w:rsidRPr="00066736">
        <w:rPr>
          <w:sz w:val="14"/>
        </w:rPr>
        <w:t>. • Costs and burdens of regulations should be accurately estimated. • Clear safe harbors should be created. • The Department should recognize good faith efforts by institutions. • The Department should complete program reviews and investigations in a timely manner. • Penalties should be imposed at a level appropriate to the violation. • Disclosure requirements should focus on issues of widespread interest. • All substantive policies should be subject to the “notice-and-comment” requirements of the Administrative Procedure Act. • Regulations that consistently create compliance challenges should be revised. • The Department should take all necessary steps to facilitate compliance by institutions. The Task Force believes that adherence to these principles would help improve regulation of higher education, and urges their adoption.</w:t>
      </w:r>
    </w:p>
    <w:p w14:paraId="22AD8684" w14:textId="77777777" w:rsidR="001E0A77" w:rsidRPr="00066736" w:rsidRDefault="001E0A77" w:rsidP="001E0A77">
      <w:pPr>
        <w:pStyle w:val="Heading4"/>
        <w:rPr>
          <w:sz w:val="24"/>
        </w:rPr>
      </w:pPr>
      <w:r w:rsidRPr="00066736">
        <w:rPr>
          <w:sz w:val="24"/>
        </w:rPr>
        <w:t>Education includes environment and teaching processes, not just curriculum</w:t>
      </w:r>
    </w:p>
    <w:p w14:paraId="760E43A7" w14:textId="77777777" w:rsidR="001E0A77" w:rsidRPr="00066736" w:rsidRDefault="001E0A77" w:rsidP="001E0A77">
      <w:pPr>
        <w:tabs>
          <w:tab w:val="left" w:pos="16520"/>
        </w:tabs>
        <w:rPr>
          <w:rStyle w:val="StyleStyleBold12pt"/>
          <w:sz w:val="22"/>
        </w:rPr>
      </w:pPr>
      <w:r w:rsidRPr="00066736">
        <w:rPr>
          <w:rStyle w:val="StyleStyleBold12pt"/>
          <w:sz w:val="22"/>
        </w:rPr>
        <w:t xml:space="preserve">UNICEF 00 </w:t>
      </w:r>
      <w:r w:rsidRPr="00066736">
        <w:rPr>
          <w:sz w:val="14"/>
          <w:szCs w:val="16"/>
        </w:rPr>
        <w:t xml:space="preserve">(United Nations Children’s Fund, “Defining Quality in Education,” UNICEF, </w:t>
      </w:r>
      <w:hyperlink r:id="rId41" w:history="1">
        <w:r w:rsidRPr="00066736">
          <w:rPr>
            <w:rStyle w:val="Hyperlink"/>
            <w:sz w:val="18"/>
          </w:rPr>
          <w:t>https://www.unicef.org/education/files/QualityEducation.PDF</w:t>
        </w:r>
      </w:hyperlink>
      <w:r w:rsidRPr="00066736">
        <w:rPr>
          <w:sz w:val="14"/>
          <w:szCs w:val="16"/>
        </w:rPr>
        <w:t>) MBH</w:t>
      </w:r>
      <w:r w:rsidRPr="00066736">
        <w:rPr>
          <w:sz w:val="14"/>
          <w:szCs w:val="16"/>
        </w:rPr>
        <w:tab/>
      </w:r>
    </w:p>
    <w:p w14:paraId="1C46455F" w14:textId="77777777" w:rsidR="001E0A77" w:rsidRPr="00066736" w:rsidRDefault="001E0A77" w:rsidP="001E0A77">
      <w:pPr>
        <w:rPr>
          <w:sz w:val="10"/>
          <w:szCs w:val="16"/>
        </w:rPr>
      </w:pPr>
      <w:r w:rsidRPr="00066736">
        <w:rPr>
          <w:sz w:val="10"/>
          <w:szCs w:val="16"/>
        </w:rPr>
        <w:t xml:space="preserve">Quality </w:t>
      </w:r>
      <w:r w:rsidRPr="00066736">
        <w:rPr>
          <w:rStyle w:val="StyleBoldUnderline"/>
          <w:sz w:val="18"/>
          <w:szCs w:val="20"/>
        </w:rPr>
        <w:t>education includes</w:t>
      </w:r>
      <w:r w:rsidRPr="00066736">
        <w:rPr>
          <w:sz w:val="10"/>
          <w:szCs w:val="16"/>
        </w:rPr>
        <w:t>:</w:t>
      </w:r>
    </w:p>
    <w:p w14:paraId="4EE00FF9" w14:textId="77777777" w:rsidR="001E0A77" w:rsidRPr="00066736" w:rsidRDefault="001E0A77" w:rsidP="001E0A77">
      <w:pPr>
        <w:rPr>
          <w:rStyle w:val="StyleBoldUnderline"/>
          <w:sz w:val="18"/>
          <w:szCs w:val="20"/>
        </w:rPr>
      </w:pPr>
      <w:r w:rsidRPr="00066736">
        <w:rPr>
          <w:sz w:val="10"/>
          <w:szCs w:val="16"/>
        </w:rPr>
        <w:t xml:space="preserve">Ñ </w:t>
      </w:r>
      <w:r w:rsidRPr="00066736">
        <w:rPr>
          <w:rStyle w:val="StyleBoldUnderline"/>
          <w:sz w:val="18"/>
          <w:szCs w:val="20"/>
        </w:rPr>
        <w:t>Learners who are healthy, well-nourished</w:t>
      </w:r>
      <w:r w:rsidRPr="00066736">
        <w:rPr>
          <w:sz w:val="10"/>
          <w:szCs w:val="16"/>
        </w:rPr>
        <w:t xml:space="preserve"> and ready to participate and learn, </w:t>
      </w:r>
      <w:r w:rsidRPr="00066736">
        <w:rPr>
          <w:rStyle w:val="StyleBoldUnderline"/>
          <w:sz w:val="18"/>
          <w:szCs w:val="20"/>
        </w:rPr>
        <w:t>and</w:t>
      </w:r>
    </w:p>
    <w:p w14:paraId="04D1A1B9" w14:textId="77777777" w:rsidR="001E0A77" w:rsidRPr="00066736" w:rsidRDefault="001E0A77" w:rsidP="001E0A77">
      <w:pPr>
        <w:rPr>
          <w:sz w:val="10"/>
          <w:szCs w:val="16"/>
        </w:rPr>
      </w:pPr>
      <w:r w:rsidRPr="00066736">
        <w:rPr>
          <w:rStyle w:val="StyleBoldUnderline"/>
          <w:sz w:val="18"/>
          <w:szCs w:val="20"/>
        </w:rPr>
        <w:t>supported</w:t>
      </w:r>
      <w:r w:rsidRPr="00066736">
        <w:rPr>
          <w:sz w:val="10"/>
          <w:szCs w:val="16"/>
        </w:rPr>
        <w:t xml:space="preserve"> in learning by their families and communities;</w:t>
      </w:r>
    </w:p>
    <w:p w14:paraId="7935D6A6" w14:textId="77777777" w:rsidR="001E0A77" w:rsidRPr="00066736" w:rsidRDefault="001E0A77" w:rsidP="001E0A77">
      <w:pPr>
        <w:rPr>
          <w:sz w:val="10"/>
          <w:szCs w:val="16"/>
        </w:rPr>
      </w:pPr>
      <w:r w:rsidRPr="00066736">
        <w:rPr>
          <w:sz w:val="10"/>
          <w:szCs w:val="16"/>
        </w:rPr>
        <w:t xml:space="preserve">Ñ </w:t>
      </w:r>
      <w:r w:rsidRPr="00066736">
        <w:rPr>
          <w:rStyle w:val="StyleBoldUnderline"/>
          <w:sz w:val="18"/>
          <w:szCs w:val="20"/>
        </w:rPr>
        <w:t xml:space="preserve">Environments that are healthy, safe, protective and </w:t>
      </w:r>
      <w:r w:rsidRPr="00066736">
        <w:rPr>
          <w:sz w:val="10"/>
          <w:szCs w:val="16"/>
        </w:rPr>
        <w:t xml:space="preserve">gender-sensitive, and </w:t>
      </w:r>
      <w:r w:rsidRPr="00066736">
        <w:rPr>
          <w:rStyle w:val="StyleBoldUnderline"/>
          <w:sz w:val="18"/>
          <w:szCs w:val="20"/>
        </w:rPr>
        <w:t>provide adequate resources</w:t>
      </w:r>
      <w:r w:rsidRPr="00066736">
        <w:rPr>
          <w:sz w:val="10"/>
          <w:szCs w:val="16"/>
        </w:rPr>
        <w:t xml:space="preserve"> and facilities;</w:t>
      </w:r>
    </w:p>
    <w:p w14:paraId="21789119" w14:textId="77777777" w:rsidR="001E0A77" w:rsidRPr="00066736" w:rsidRDefault="001E0A77" w:rsidP="001E0A77">
      <w:pPr>
        <w:rPr>
          <w:sz w:val="14"/>
          <w:szCs w:val="16"/>
        </w:rPr>
      </w:pPr>
      <w:r w:rsidRPr="00066736">
        <w:rPr>
          <w:sz w:val="14"/>
          <w:szCs w:val="16"/>
        </w:rPr>
        <w:t>Ñ Content that is reflected in relevant curricula and materials for the acquisition of basic skills, especially in the areas of literacy, numeracy and skills for life, and knowledge in such areas as gender, health, nutrition, HIV/AIDS prevention and peace.</w:t>
      </w:r>
    </w:p>
    <w:p w14:paraId="29632A0D" w14:textId="77777777" w:rsidR="001E0A77" w:rsidRPr="00066736" w:rsidRDefault="001E0A77" w:rsidP="001E0A77">
      <w:pPr>
        <w:rPr>
          <w:sz w:val="14"/>
          <w:szCs w:val="16"/>
        </w:rPr>
      </w:pPr>
      <w:r w:rsidRPr="00066736">
        <w:rPr>
          <w:sz w:val="14"/>
          <w:szCs w:val="16"/>
        </w:rPr>
        <w:t>Ñ Processes through which trained teachers use child-centred teaching approaches in well-managed classrooms and schools and skilful assessment to facilitate learningand reduce disparities.</w:t>
      </w:r>
    </w:p>
    <w:p w14:paraId="5C50F084" w14:textId="77777777" w:rsidR="001E0A77" w:rsidRPr="00066736" w:rsidRDefault="001E0A77" w:rsidP="001E0A77">
      <w:pPr>
        <w:rPr>
          <w:sz w:val="14"/>
          <w:szCs w:val="16"/>
        </w:rPr>
      </w:pPr>
      <w:r w:rsidRPr="00066736">
        <w:rPr>
          <w:sz w:val="14"/>
          <w:szCs w:val="16"/>
        </w:rPr>
        <w:t>Ñ Outcomes that encompass knowledge, skills and attitudes, and are linked to national goals for education and positive participation in society.</w:t>
      </w:r>
    </w:p>
    <w:p w14:paraId="2827CFD9" w14:textId="77777777" w:rsidR="001E0A77" w:rsidRPr="00066736" w:rsidRDefault="001E0A77" w:rsidP="001E0A77">
      <w:pPr>
        <w:rPr>
          <w:sz w:val="14"/>
          <w:szCs w:val="16"/>
        </w:rPr>
      </w:pPr>
      <w:r w:rsidRPr="00066736">
        <w:rPr>
          <w:sz w:val="14"/>
          <w:szCs w:val="16"/>
        </w:rPr>
        <w:t>This definition allows for an understanding of education as a complex system embedded in a political, cultural and economic context. (This paper examines research related to these dimensions). It is important to keep in mind education’s systemic nature, however; these dimensions are interdependent, influencing each other in ways that are sometimes unforeseeable.</w:t>
      </w:r>
    </w:p>
    <w:p w14:paraId="1A5D6DC8" w14:textId="77777777" w:rsidR="001E0A77" w:rsidRPr="00066736" w:rsidRDefault="001E0A77" w:rsidP="001E0A77">
      <w:pPr>
        <w:pStyle w:val="Heading4"/>
        <w:rPr>
          <w:sz w:val="24"/>
        </w:rPr>
      </w:pPr>
      <w:r w:rsidRPr="00066736">
        <w:rPr>
          <w:sz w:val="24"/>
        </w:rPr>
        <w:t xml:space="preserve">Education regulation policy involves mainly contracting, acquisition of fixed assets, teacher training, and requirements for reporting information </w:t>
      </w:r>
    </w:p>
    <w:p w14:paraId="0D49631B" w14:textId="77777777" w:rsidR="001E0A77" w:rsidRPr="005F783E" w:rsidRDefault="001E0A77" w:rsidP="001E0A77">
      <w:pPr>
        <w:rPr>
          <w:sz w:val="16"/>
          <w:szCs w:val="16"/>
        </w:rPr>
      </w:pPr>
      <w:r w:rsidRPr="00066736">
        <w:rPr>
          <w:rStyle w:val="StyleStyleBold12pt"/>
        </w:rPr>
        <w:t>The National Center for Public Policy and Higher Education nd</w:t>
      </w:r>
      <w:r w:rsidRPr="005F783E">
        <w:rPr>
          <w:sz w:val="16"/>
          <w:szCs w:val="16"/>
        </w:rPr>
        <w:t xml:space="preserve"> (The National Center for Public Policy and Higher Education was established in 1998 to promote the public interest regarding opportunity, affordability and quality in American higher education. As an independent, nonprofit, nonpartisan organization, the Center provides action-oriented analyses of state and federal policies affecting education beyond high school, “The Policy Structure”, </w:t>
      </w:r>
      <w:hyperlink r:id="rId42" w:history="1">
        <w:r w:rsidRPr="00066736">
          <w:rPr>
            <w:rStyle w:val="Hyperlink"/>
            <w:sz w:val="20"/>
          </w:rPr>
          <w:t>http://www.highereducation.org/reports/challenges/challenges4.shtml)</w:t>
        </w:r>
      </w:hyperlink>
      <w:r w:rsidRPr="005F783E">
        <w:rPr>
          <w:sz w:val="16"/>
          <w:szCs w:val="16"/>
        </w:rPr>
        <w:t xml:space="preserve"> ACT</w:t>
      </w:r>
    </w:p>
    <w:p w14:paraId="536BC74B" w14:textId="77777777" w:rsidR="001E0A77" w:rsidRPr="00066736" w:rsidRDefault="001E0A77" w:rsidP="001E0A77">
      <w:pPr>
        <w:rPr>
          <w:sz w:val="14"/>
        </w:rPr>
      </w:pPr>
      <w:r w:rsidRPr="00066736">
        <w:rPr>
          <w:rStyle w:val="StyleBoldUnderline"/>
          <w:sz w:val="20"/>
        </w:rPr>
        <w:t xml:space="preserve">As state entities, public colleges and universities must usually comply with rules and regulations that govern other state agencies. </w:t>
      </w:r>
      <w:r w:rsidRPr="00066736">
        <w:rPr>
          <w:sz w:val="14"/>
        </w:rPr>
        <w:t xml:space="preserve">At the very least, the institutions are subject to those applying to other nonprofit entities. Since </w:t>
      </w:r>
      <w:r w:rsidRPr="00066736">
        <w:rPr>
          <w:rStyle w:val="StyleBoldUnderline"/>
          <w:sz w:val="20"/>
        </w:rPr>
        <w:t>governments have tended to rely extensively on regulatory approaches rather than incentive systems to provide guidance</w:t>
      </w:r>
      <w:r w:rsidRPr="00066736">
        <w:rPr>
          <w:sz w:val="14"/>
        </w:rPr>
        <w:t xml:space="preserve">, most public postsecondary institutions must cope with multiple regulatory requirements on an everyday basis. The extent to which colleges and universities are exempt from such regulation varies considerably from state to state. In some states, colleges and universities must conform to the regulations imposed on all state agencies. In others, educational institutions are treated largely as public-benefit corporations, and are subject to fewer regulations. </w:t>
      </w:r>
      <w:r w:rsidRPr="00066736">
        <w:rPr>
          <w:rStyle w:val="StyleBoldUnderline"/>
          <w:sz w:val="20"/>
        </w:rPr>
        <w:t xml:space="preserve">In most states, regulations primarily address contracting, acquisition of fixed assets, and requirements for reporting information to state government. </w:t>
      </w:r>
      <w:r w:rsidRPr="00066736">
        <w:rPr>
          <w:sz w:val="14"/>
        </w:rPr>
        <w:t xml:space="preserve">The list of potential </w:t>
      </w:r>
      <w:r w:rsidRPr="00066736">
        <w:rPr>
          <w:rStyle w:val="StyleBoldUnderline"/>
          <w:sz w:val="20"/>
        </w:rPr>
        <w:t>regulatory involvement</w:t>
      </w:r>
      <w:r w:rsidRPr="00066736">
        <w:rPr>
          <w:sz w:val="14"/>
        </w:rPr>
        <w:t xml:space="preserve">--as experienced by some institutions in some states--is much longer, however, </w:t>
      </w:r>
      <w:r w:rsidRPr="00066736">
        <w:rPr>
          <w:rStyle w:val="StyleBoldUnderline"/>
          <w:sz w:val="20"/>
        </w:rPr>
        <w:t>covering such specifics as:</w:t>
      </w:r>
      <w:r w:rsidRPr="00066736">
        <w:rPr>
          <w:sz w:val="14"/>
        </w:rPr>
        <w:t xml:space="preserve"> </w:t>
      </w:r>
      <w:r w:rsidRPr="00066736">
        <w:rPr>
          <w:rStyle w:val="StyleBoldUnderline"/>
          <w:sz w:val="20"/>
        </w:rPr>
        <w:t xml:space="preserve">the number of personnel to be hired, compensation of employees, reimbursement for travel expenses, reallocation of funds among line items and established budget accounts, procedures for purchasing goods and services, limitations on the use of consultants, and limitations on out-of-state travel. </w:t>
      </w:r>
      <w:r w:rsidRPr="00066736">
        <w:rPr>
          <w:sz w:val="14"/>
        </w:rPr>
        <w:t xml:space="preserve">These kinds of regulations can combine to create an operational straight-jacket for institutions, making change very difficult. For colleges and universities to adopt new ways of doing business that respond to client needs and that emphasize innovative solutions to emerging problems, they must be freed of much of the red tape that entangles them. But </w:t>
      </w:r>
      <w:r w:rsidRPr="00066736">
        <w:rPr>
          <w:rStyle w:val="StyleBoldUnderline"/>
          <w:sz w:val="20"/>
        </w:rPr>
        <w:t>policymakers are loathe to eliminate regulation absent an alternative that assures them equivalent leverage. Regulation is their most familiar tool and no proven alternative yet exists</w:t>
      </w:r>
      <w:r w:rsidRPr="00066736">
        <w:rPr>
          <w:sz w:val="14"/>
        </w:rPr>
        <w:t xml:space="preserve"> to ensure that institutions attend to priorities set outside the academe.</w:t>
      </w:r>
    </w:p>
    <w:p w14:paraId="68C962D5" w14:textId="77777777" w:rsidR="001E0A77" w:rsidRDefault="001E0A77" w:rsidP="001E0A77">
      <w:pPr>
        <w:tabs>
          <w:tab w:val="left" w:pos="16520"/>
        </w:tabs>
        <w:rPr>
          <w:b/>
          <w:sz w:val="20"/>
        </w:rPr>
      </w:pPr>
    </w:p>
    <w:p w14:paraId="007FCA72" w14:textId="4186318F" w:rsidR="003D64B8" w:rsidRDefault="003D64B8" w:rsidP="003D64B8">
      <w:pPr>
        <w:pStyle w:val="Heading3"/>
      </w:pPr>
      <w:r>
        <w:t>Education = SROs</w:t>
      </w:r>
    </w:p>
    <w:p w14:paraId="206D69A0" w14:textId="77777777" w:rsidR="003D64B8" w:rsidRDefault="003D64B8" w:rsidP="003D64B8">
      <w:pPr>
        <w:pStyle w:val="Heading4"/>
        <w:rPr>
          <w:lang w:eastAsia="zh-CN"/>
        </w:rPr>
      </w:pPr>
      <w:r>
        <w:rPr>
          <w:lang w:eastAsia="zh-CN"/>
        </w:rPr>
        <w:t>Student Resource Officers are also educators</w:t>
      </w:r>
    </w:p>
    <w:p w14:paraId="2079E051" w14:textId="77777777" w:rsidR="003D64B8" w:rsidRPr="003C08D9" w:rsidRDefault="003D64B8" w:rsidP="003D64B8">
      <w:r w:rsidRPr="003C08D9">
        <w:rPr>
          <w:rStyle w:val="StyleStyleBold12pt"/>
        </w:rPr>
        <w:t>James and McCallion 13</w:t>
      </w:r>
      <w:r>
        <w:t xml:space="preserve"> (Nathan analyst in crime policy, Gail specialist in social policy, “School Resource Officers: Law enforcement Officers in Schools,” June 26, 2013, </w:t>
      </w:r>
      <w:hyperlink r:id="rId43" w:history="1">
        <w:r w:rsidRPr="0060753A">
          <w:rPr>
            <w:rStyle w:val="Hyperlink"/>
          </w:rPr>
          <w:t>https://fas.org/sgp/crs/misc/R43126.pdf)</w:t>
        </w:r>
      </w:hyperlink>
      <w:r>
        <w:t xml:space="preserve"> KVA *Article from a CRS Report for Congress</w:t>
      </w:r>
    </w:p>
    <w:p w14:paraId="7E9F37F2" w14:textId="77777777" w:rsidR="003D64B8" w:rsidRPr="003C08D9" w:rsidRDefault="003D64B8" w:rsidP="003D64B8">
      <w:pPr>
        <w:rPr>
          <w:rStyle w:val="StyleBoldUnderline"/>
          <w:lang w:eastAsia="zh-CN"/>
        </w:rPr>
      </w:pPr>
      <w:r w:rsidRPr="003C08D9">
        <w:rPr>
          <w:rStyle w:val="StyleBoldUnderline"/>
          <w:lang w:eastAsia="zh-CN"/>
        </w:rPr>
        <w:t xml:space="preserve">It has been argued that </w:t>
      </w:r>
      <w:r w:rsidRPr="00BB7CCA">
        <w:rPr>
          <w:rStyle w:val="StyleBoldUnderline"/>
          <w:highlight w:val="cyan"/>
          <w:lang w:eastAsia="zh-CN"/>
        </w:rPr>
        <w:t>SROs are a new type of public servant; a hybrid educational, correctional, and law enforcement officer</w:t>
      </w:r>
      <w:r w:rsidRPr="003C08D9">
        <w:rPr>
          <w:rStyle w:val="StyleBoldUnderline"/>
          <w:lang w:eastAsia="zh-CN"/>
        </w:rPr>
        <w:t>.</w:t>
      </w:r>
      <w:r w:rsidRPr="003C08D9">
        <w:rPr>
          <w:rFonts w:ascii="Times New Roman" w:eastAsia="Times New Roman" w:hAnsi="Times New Roman" w:cs="Times New Roman"/>
          <w:sz w:val="16"/>
          <w:lang w:eastAsia="zh-CN"/>
        </w:rPr>
        <w:t xml:space="preserve">6 While the duties of SROs can vary from one community to another, which makes it difficult to develop a single list of SRO responsibilities, </w:t>
      </w:r>
      <w:r w:rsidRPr="00BB7CCA">
        <w:rPr>
          <w:rStyle w:val="StyleBoldUnderline"/>
          <w:highlight w:val="cyan"/>
          <w:lang w:eastAsia="zh-CN"/>
        </w:rPr>
        <w:t>their activities can be placed into three</w:t>
      </w:r>
      <w:r w:rsidRPr="003C08D9">
        <w:rPr>
          <w:rStyle w:val="StyleBoldUnderline"/>
          <w:lang w:eastAsia="zh-CN"/>
        </w:rPr>
        <w:t xml:space="preserve"> general </w:t>
      </w:r>
      <w:r w:rsidRPr="00BB7CCA">
        <w:rPr>
          <w:rStyle w:val="StyleBoldUnderline"/>
          <w:highlight w:val="cyan"/>
          <w:lang w:eastAsia="zh-CN"/>
        </w:rPr>
        <w:t>categories</w:t>
      </w:r>
      <w:r w:rsidRPr="003C08D9">
        <w:rPr>
          <w:rStyle w:val="StyleBoldUnderline"/>
          <w:lang w:eastAsia="zh-CN"/>
        </w:rPr>
        <w:t xml:space="preserve">: (1) </w:t>
      </w:r>
      <w:r w:rsidRPr="00BB7CCA">
        <w:rPr>
          <w:rStyle w:val="StyleBoldUnderline"/>
          <w:highlight w:val="cyan"/>
          <w:lang w:eastAsia="zh-CN"/>
        </w:rPr>
        <w:t>safety expert</w:t>
      </w:r>
      <w:r w:rsidRPr="003C08D9">
        <w:rPr>
          <w:rStyle w:val="StyleBoldUnderline"/>
          <w:lang w:eastAsia="zh-CN"/>
        </w:rPr>
        <w:t xml:space="preserve"> and law enforcer, (2) </w:t>
      </w:r>
      <w:r w:rsidRPr="00BB7CCA">
        <w:rPr>
          <w:rStyle w:val="StyleBoldUnderline"/>
          <w:highlight w:val="cyan"/>
          <w:lang w:eastAsia="zh-CN"/>
        </w:rPr>
        <w:t>problem solver</w:t>
      </w:r>
      <w:r w:rsidRPr="003C08D9">
        <w:rPr>
          <w:rStyle w:val="StyleBoldUnderline"/>
          <w:lang w:eastAsia="zh-CN"/>
        </w:rPr>
        <w:t xml:space="preserve"> and liaison to community resources, </w:t>
      </w:r>
      <w:r w:rsidRPr="00BB7CCA">
        <w:rPr>
          <w:rStyle w:val="StyleBoldUnderline"/>
          <w:highlight w:val="cyan"/>
          <w:lang w:eastAsia="zh-CN"/>
        </w:rPr>
        <w:t>and</w:t>
      </w:r>
      <w:r w:rsidRPr="003C08D9">
        <w:rPr>
          <w:rStyle w:val="StyleBoldUnderline"/>
          <w:lang w:eastAsia="zh-CN"/>
        </w:rPr>
        <w:t xml:space="preserve"> (3) </w:t>
      </w:r>
      <w:r w:rsidRPr="00BB7CCA">
        <w:rPr>
          <w:rStyle w:val="Emphasis"/>
          <w:highlight w:val="cyan"/>
          <w:lang w:eastAsia="zh-CN"/>
        </w:rPr>
        <w:t>educator</w:t>
      </w:r>
      <w:r w:rsidRPr="003C08D9">
        <w:rPr>
          <w:rFonts w:ascii="Times New Roman" w:eastAsia="Times New Roman" w:hAnsi="Times New Roman" w:cs="Times New Roman"/>
          <w:sz w:val="16"/>
          <w:lang w:eastAsia="zh-CN"/>
        </w:rPr>
        <w:t xml:space="preserve">.7 SROs can act as safety experts and law enforcers by, assuming primary responsibility for handling calls for service from the school, making arrests, issuing citations on campus, taking actions against unauthorized persons on school property, and responding to off-campus criminal activities that involve students.8 SROs also serve as first responders in the event of critical incidents at the school. SROs can help to solve problems that are not necessarily crimes (e.g., bullying or disorderly behavior) but that can contribute to criminal incidents.9 Problem-solving activities conducted by SROs can include developing and expanding crime prevention efforts and community justice initiatives for students. </w:t>
      </w:r>
      <w:r w:rsidRPr="00BB7CCA">
        <w:rPr>
          <w:rStyle w:val="StyleBoldUnderline"/>
          <w:highlight w:val="cyan"/>
          <w:lang w:eastAsia="zh-CN"/>
        </w:rPr>
        <w:t>SROs can also present courses on topics</w:t>
      </w:r>
      <w:r w:rsidRPr="003C08D9">
        <w:rPr>
          <w:rStyle w:val="StyleBoldUnderline"/>
          <w:lang w:eastAsia="zh-CN"/>
        </w:rPr>
        <w:t xml:space="preserve"> related to policing or responsible citizenship for students, faculty, and parents.</w:t>
      </w:r>
    </w:p>
    <w:p w14:paraId="3D324BC8" w14:textId="77777777" w:rsidR="003D64B8" w:rsidRPr="006931FF" w:rsidRDefault="003D64B8" w:rsidP="003D64B8">
      <w:pPr>
        <w:pStyle w:val="Heading4"/>
      </w:pPr>
      <w:r w:rsidRPr="006931FF">
        <w:t>SROs can teach</w:t>
      </w:r>
    </w:p>
    <w:p w14:paraId="4D91FDB7" w14:textId="77777777" w:rsidR="003D64B8" w:rsidRDefault="003D64B8" w:rsidP="003D64B8">
      <w:r w:rsidRPr="006931FF">
        <w:rPr>
          <w:rStyle w:val="StyleStyleBold12pt"/>
        </w:rPr>
        <w:t>Kerlikowske 13</w:t>
      </w:r>
      <w:r w:rsidRPr="003C08D9">
        <w:t xml:space="preserve"> (</w:t>
      </w:r>
      <w:r>
        <w:t xml:space="preserve">Gil, former commissioner of U.S. Customs and Border Protection, “School Resource Officers,” March 28, 2013, </w:t>
      </w:r>
      <w:hyperlink r:id="rId44" w:history="1">
        <w:r w:rsidRPr="0060753A">
          <w:rPr>
            <w:rStyle w:val="Hyperlink"/>
          </w:rPr>
          <w:t>https://obamawhitehouse.archives.gov/blog/2013/03/28/school-resource-officers)</w:t>
        </w:r>
      </w:hyperlink>
      <w:r>
        <w:t xml:space="preserve"> KVA</w:t>
      </w:r>
    </w:p>
    <w:p w14:paraId="74BF28F3" w14:textId="77777777" w:rsidR="003D64B8" w:rsidRDefault="003D64B8" w:rsidP="003D64B8">
      <w:pPr>
        <w:rPr>
          <w:sz w:val="16"/>
        </w:rPr>
      </w:pPr>
      <w:r w:rsidRPr="006931FF">
        <w:rPr>
          <w:rStyle w:val="StyleBoldUnderline"/>
        </w:rPr>
        <w:t xml:space="preserve">School resource officers, or </w:t>
      </w:r>
      <w:r w:rsidRPr="00BB7CCA">
        <w:rPr>
          <w:rStyle w:val="StyleBoldUnderline"/>
          <w:highlight w:val="cyan"/>
        </w:rPr>
        <w:t>SROs</w:t>
      </w:r>
      <w:r w:rsidRPr="006931FF">
        <w:rPr>
          <w:rStyle w:val="StyleBoldUnderline"/>
        </w:rPr>
        <w:t xml:space="preserve">, </w:t>
      </w:r>
      <w:r w:rsidRPr="00BB7CCA">
        <w:rPr>
          <w:rStyle w:val="StyleBoldUnderline"/>
          <w:highlight w:val="cyan"/>
        </w:rPr>
        <w:t>are</w:t>
      </w:r>
      <w:r w:rsidRPr="006931FF">
        <w:rPr>
          <w:rStyle w:val="StyleBoldUnderline"/>
        </w:rPr>
        <w:t xml:space="preserve"> </w:t>
      </w:r>
      <w:r w:rsidRPr="00BB7CCA">
        <w:rPr>
          <w:rStyle w:val="StyleBoldUnderline"/>
          <w:highlight w:val="cyan"/>
        </w:rPr>
        <w:t>members</w:t>
      </w:r>
      <w:r w:rsidRPr="006931FF">
        <w:rPr>
          <w:rStyle w:val="StyleBoldUnderline"/>
        </w:rPr>
        <w:t xml:space="preserve"> of the law enforcement community </w:t>
      </w:r>
      <w:r w:rsidRPr="00BB7CCA">
        <w:rPr>
          <w:rStyle w:val="StyleBoldUnderline"/>
          <w:highlight w:val="cyan"/>
        </w:rPr>
        <w:t>who teach, counsel, and protect the school community</w:t>
      </w:r>
      <w:r w:rsidRPr="006931FF">
        <w:rPr>
          <w:sz w:val="16"/>
        </w:rPr>
        <w:t xml:space="preserve">. When SROs are integrated into a school system, the benefits go beyond reduced violence in schools. The officers often build relationships with students while serving as a resource to students, teachers, and administrators to help solve problems. For students with a mental illness, use of drugs or alcohol can be a key risk factor for committing acts of violence. Recent </w:t>
      </w:r>
      <w:r>
        <w:rPr>
          <w:sz w:val="24"/>
        </w:rPr>
        <w:fldChar w:fldCharType="begin"/>
      </w:r>
      <w:r>
        <w:instrText xml:space="preserve"> HYPERLINK "http://ct.symplicity.com/t/eof/5ee3552ca01a631abb83882a3fe22e6c/1029268059/realurl=http:/www.ncbi.nlm.nih.gov/pubmed/21359532" \t "_blank" </w:instrText>
      </w:r>
      <w:r>
        <w:rPr>
          <w:sz w:val="24"/>
        </w:rPr>
      </w:r>
      <w:r>
        <w:rPr>
          <w:sz w:val="24"/>
        </w:rPr>
        <w:fldChar w:fldCharType="separate"/>
      </w:r>
      <w:r w:rsidRPr="006931FF">
        <w:rPr>
          <w:sz w:val="16"/>
        </w:rPr>
        <w:t>research</w:t>
      </w:r>
      <w:r>
        <w:rPr>
          <w:sz w:val="16"/>
        </w:rPr>
        <w:fldChar w:fldCharType="end"/>
      </w:r>
      <w:r w:rsidRPr="006931FF">
        <w:rPr>
          <w:sz w:val="16"/>
        </w:rPr>
        <w:t xml:space="preserve"> shows that those with a severe mental illness and a substance use disorder have a greatly increased relative risk for violence (more than 11 times) compared to those with neither diagnosis. Since SROs can help infuse substance abuse and violence-prevention messaging in schools and throughout school systems, they can play an important role in school safety plans. In March, I met with school resource officers in Chantilly, Virginia, to discuss school safety and substance abuse. It was clear from this discussion that we need to look beyond the law enforcement function of SROs and recognize their value in cultivating a safe, supportive environment for our young people. </w:t>
      </w:r>
      <w:r w:rsidRPr="00BB7CCA">
        <w:rPr>
          <w:rStyle w:val="Emphasis"/>
          <w:highlight w:val="cyan"/>
        </w:rPr>
        <w:t>S</w:t>
      </w:r>
      <w:r w:rsidRPr="006931FF">
        <w:rPr>
          <w:rStyle w:val="Emphasis"/>
        </w:rPr>
        <w:t xml:space="preserve">chool </w:t>
      </w:r>
      <w:r w:rsidRPr="00BB7CCA">
        <w:rPr>
          <w:rStyle w:val="Emphasis"/>
          <w:highlight w:val="cyan"/>
        </w:rPr>
        <w:t>r</w:t>
      </w:r>
      <w:r w:rsidRPr="006931FF">
        <w:rPr>
          <w:rStyle w:val="Emphasis"/>
        </w:rPr>
        <w:t xml:space="preserve">esource </w:t>
      </w:r>
      <w:r w:rsidRPr="00BB7CCA">
        <w:rPr>
          <w:rStyle w:val="Emphasis"/>
          <w:highlight w:val="cyan"/>
        </w:rPr>
        <w:t>o</w:t>
      </w:r>
      <w:r w:rsidRPr="006931FF">
        <w:rPr>
          <w:rStyle w:val="Emphasis"/>
        </w:rPr>
        <w:t>fficer</w:t>
      </w:r>
      <w:r w:rsidRPr="00BB7CCA">
        <w:rPr>
          <w:rStyle w:val="Emphasis"/>
          <w:highlight w:val="cyan"/>
        </w:rPr>
        <w:t>s</w:t>
      </w:r>
      <w:r w:rsidRPr="006931FF">
        <w:rPr>
          <w:rStyle w:val="Emphasis"/>
        </w:rPr>
        <w:t xml:space="preserve"> </w:t>
      </w:r>
      <w:r w:rsidRPr="00BB7CCA">
        <w:rPr>
          <w:rStyle w:val="Emphasis"/>
          <w:highlight w:val="cyan"/>
        </w:rPr>
        <w:t>are not armed</w:t>
      </w:r>
      <w:r w:rsidRPr="006931FF">
        <w:rPr>
          <w:rStyle w:val="Emphasis"/>
        </w:rPr>
        <w:t xml:space="preserve"> guards standing sentry at school entrances. </w:t>
      </w:r>
      <w:r w:rsidRPr="00BB7CCA">
        <w:rPr>
          <w:rStyle w:val="Emphasis"/>
          <w:highlight w:val="cyan"/>
        </w:rPr>
        <w:t>These</w:t>
      </w:r>
      <w:r w:rsidRPr="006931FF">
        <w:rPr>
          <w:rStyle w:val="Emphasis"/>
        </w:rPr>
        <w:t xml:space="preserve"> </w:t>
      </w:r>
      <w:r w:rsidRPr="006931FF">
        <w:rPr>
          <w:strike/>
          <w:sz w:val="16"/>
        </w:rPr>
        <w:t>men and women</w:t>
      </w:r>
      <w:r w:rsidRPr="006931FF">
        <w:rPr>
          <w:rStyle w:val="Emphasis"/>
        </w:rPr>
        <w:t xml:space="preserve"> </w:t>
      </w:r>
      <w:r>
        <w:rPr>
          <w:rStyle w:val="Emphasis"/>
        </w:rPr>
        <w:t>[</w:t>
      </w:r>
      <w:r w:rsidRPr="00BB7CCA">
        <w:rPr>
          <w:rStyle w:val="Emphasis"/>
          <w:highlight w:val="cyan"/>
        </w:rPr>
        <w:t>people] receive training in counseling and other skills</w:t>
      </w:r>
      <w:r w:rsidRPr="006931FF">
        <w:rPr>
          <w:rStyle w:val="Emphasis"/>
        </w:rPr>
        <w:t xml:space="preserve"> that help them be effective in a school setting.</w:t>
      </w:r>
      <w:r w:rsidRPr="006931FF">
        <w:rPr>
          <w:sz w:val="16"/>
        </w:rPr>
        <w:t xml:space="preserve"> Part of a school resource officer’s job is building relationships with students and faculty, and the job often doesn’t end at the close of the school day. </w:t>
      </w:r>
      <w:r w:rsidRPr="00BB7CCA">
        <w:rPr>
          <w:rStyle w:val="StyleBoldUnderline"/>
          <w:highlight w:val="cyan"/>
        </w:rPr>
        <w:t>They can be present at extracurricular activities</w:t>
      </w:r>
      <w:r w:rsidRPr="006931FF">
        <w:rPr>
          <w:rStyle w:val="StyleBoldUnderline"/>
        </w:rPr>
        <w:t xml:space="preserve"> and in school hallways, building trust with the students. School </w:t>
      </w:r>
      <w:r w:rsidRPr="006931FF">
        <w:rPr>
          <w:sz w:val="16"/>
        </w:rPr>
        <w:t xml:space="preserve">resource officers can get involved if they believe a young person may pose a danger to the school community. They can even visit students at home and speak with parents and family. </w:t>
      </w:r>
    </w:p>
    <w:p w14:paraId="542812FD" w14:textId="77777777" w:rsidR="003D64B8" w:rsidRPr="003D64B8" w:rsidRDefault="003D64B8" w:rsidP="003D64B8">
      <w:bookmarkStart w:id="4" w:name="_GoBack"/>
      <w:bookmarkEnd w:id="4"/>
    </w:p>
    <w:p w14:paraId="03028DE6" w14:textId="77777777" w:rsidR="001E0A77" w:rsidRPr="00066736" w:rsidRDefault="001E0A77" w:rsidP="001E0A77">
      <w:pPr>
        <w:rPr>
          <w:sz w:val="14"/>
          <w:szCs w:val="16"/>
        </w:rPr>
      </w:pPr>
    </w:p>
    <w:p w14:paraId="6FA921B0" w14:textId="77777777" w:rsidR="001E0A77" w:rsidRPr="00066736" w:rsidRDefault="001E0A77" w:rsidP="001E0A77">
      <w:pPr>
        <w:pStyle w:val="Heading3"/>
        <w:rPr>
          <w:rFonts w:cs="Times New Roman"/>
          <w:sz w:val="28"/>
        </w:rPr>
      </w:pPr>
      <w:r w:rsidRPr="00066736">
        <w:rPr>
          <w:rFonts w:cs="Times New Roman"/>
          <w:sz w:val="28"/>
        </w:rPr>
        <w:t>Narrow Definitions Bad</w:t>
      </w:r>
    </w:p>
    <w:p w14:paraId="76555C04" w14:textId="77777777" w:rsidR="001E0A77" w:rsidRPr="00066736" w:rsidRDefault="001E0A77" w:rsidP="001E0A77">
      <w:pPr>
        <w:pStyle w:val="Heading4"/>
        <w:rPr>
          <w:sz w:val="24"/>
        </w:rPr>
      </w:pPr>
      <w:r w:rsidRPr="00066736">
        <w:rPr>
          <w:sz w:val="24"/>
        </w:rPr>
        <w:t>Curriculum alone overlimits</w:t>
      </w:r>
    </w:p>
    <w:p w14:paraId="43B7F5D8" w14:textId="77777777" w:rsidR="001E0A77" w:rsidRPr="00066736" w:rsidRDefault="001E0A77" w:rsidP="001E0A77">
      <w:pPr>
        <w:rPr>
          <w:rStyle w:val="StyleStyleBold12pt"/>
          <w:b w:val="0"/>
        </w:rPr>
      </w:pPr>
      <w:r w:rsidRPr="00066736">
        <w:rPr>
          <w:rStyle w:val="StyleStyleBold12pt"/>
        </w:rPr>
        <w:t xml:space="preserve">HFRP 9 </w:t>
      </w:r>
      <w:r w:rsidRPr="00066736">
        <w:rPr>
          <w:rStyle w:val="StyleStyleBold12pt"/>
          <w:sz w:val="18"/>
        </w:rPr>
        <w:t>(Harvard Family Research Project, May, “From Periphery to Center: A New Vision for Family, School, and Community Partnerships”, http://www.hfrp.org/publications-resources/browse-our-publications/from-periphery-to-center-a-new-vision-for-family-school-and-community-partnerships)</w:t>
      </w:r>
    </w:p>
    <w:p w14:paraId="035F4AFF" w14:textId="77777777" w:rsidR="001E0A77" w:rsidRPr="00066736" w:rsidRDefault="001E0A77" w:rsidP="001E0A77">
      <w:pPr>
        <w:rPr>
          <w:rStyle w:val="StyleBoldUnderline"/>
          <w:sz w:val="20"/>
        </w:rPr>
      </w:pPr>
      <w:r w:rsidRPr="00066736">
        <w:rPr>
          <w:rStyle w:val="StyleBoldUnderline"/>
          <w:sz w:val="20"/>
        </w:rPr>
        <w:t xml:space="preserve">Written by Harvard Family Research Project's Heather </w:t>
      </w:r>
      <w:r w:rsidRPr="00066736">
        <w:rPr>
          <w:rStyle w:val="StyleBoldUnderline"/>
          <w:sz w:val="20"/>
          <w:highlight w:val="cyan"/>
        </w:rPr>
        <w:t>Weiss and</w:t>
      </w:r>
      <w:r w:rsidRPr="00066736">
        <w:rPr>
          <w:rStyle w:val="StyleBoldUnderline"/>
          <w:sz w:val="20"/>
        </w:rPr>
        <w:t xml:space="preserve"> Naomi </w:t>
      </w:r>
      <w:r w:rsidRPr="00066736">
        <w:rPr>
          <w:rStyle w:val="StyleBoldUnderline"/>
          <w:sz w:val="20"/>
          <w:highlight w:val="cyan"/>
        </w:rPr>
        <w:t>Stephen</w:t>
      </w:r>
      <w:r w:rsidRPr="00066736">
        <w:rPr>
          <w:sz w:val="10"/>
        </w:rPr>
        <w:t xml:space="preserve">, this chapter—which appears in the Handbook of School–Family Partnerships, </w:t>
      </w:r>
      <w:r w:rsidRPr="00066736">
        <w:rPr>
          <w:rStyle w:val="StyleBoldUnderline"/>
          <w:sz w:val="20"/>
        </w:rPr>
        <w:t>edited by Sandy Christenson, Ph.D. and Amy Reschley, Ph.D.</w:t>
      </w:r>
      <w:r w:rsidRPr="00066736">
        <w:rPr>
          <w:sz w:val="10"/>
        </w:rPr>
        <w:t>—</w:t>
      </w:r>
      <w:r w:rsidRPr="00066736">
        <w:rPr>
          <w:rStyle w:val="StyleBoldUnderline"/>
          <w:sz w:val="20"/>
          <w:highlight w:val="cyan"/>
        </w:rPr>
        <w:t>presents a comprehensive</w:t>
      </w:r>
      <w:r w:rsidRPr="00066736">
        <w:rPr>
          <w:rStyle w:val="StyleBoldUnderline"/>
          <w:sz w:val="20"/>
        </w:rPr>
        <w:t xml:space="preserve">, integrated family, school, and community partnership </w:t>
      </w:r>
      <w:r w:rsidRPr="00066736">
        <w:rPr>
          <w:rStyle w:val="StyleBoldUnderline"/>
          <w:sz w:val="20"/>
          <w:highlight w:val="cyan"/>
        </w:rPr>
        <w:t>framework</w:t>
      </w:r>
      <w:r w:rsidRPr="00066736">
        <w:rPr>
          <w:rStyle w:val="StyleBoldUnderline"/>
          <w:sz w:val="20"/>
        </w:rPr>
        <w:t xml:space="preserve"> </w:t>
      </w:r>
      <w:r w:rsidRPr="00066736">
        <w:rPr>
          <w:rStyle w:val="StyleBoldUnderline"/>
          <w:sz w:val="20"/>
          <w:highlight w:val="cyan"/>
        </w:rPr>
        <w:t>that</w:t>
      </w:r>
      <w:r w:rsidRPr="00066736">
        <w:rPr>
          <w:rStyle w:val="StyleBoldUnderline"/>
          <w:sz w:val="20"/>
        </w:rPr>
        <w:t xml:space="preserve"> can help level the playing field for disadvantaged children and </w:t>
      </w:r>
      <w:r w:rsidRPr="00066736">
        <w:rPr>
          <w:rStyle w:val="StyleBoldUnderline"/>
          <w:sz w:val="20"/>
          <w:highlight w:val="cyan"/>
        </w:rPr>
        <w:t>ensure</w:t>
      </w:r>
      <w:r w:rsidRPr="00066736">
        <w:rPr>
          <w:rStyle w:val="StyleBoldUnderline"/>
          <w:sz w:val="20"/>
        </w:rPr>
        <w:t xml:space="preserve"> that they have </w:t>
      </w:r>
      <w:r w:rsidRPr="00066736">
        <w:rPr>
          <w:rStyle w:val="StyleBoldUnderline"/>
          <w:sz w:val="20"/>
          <w:highlight w:val="cyan"/>
        </w:rPr>
        <w:t>access to</w:t>
      </w:r>
      <w:r w:rsidRPr="00066736">
        <w:rPr>
          <w:rStyle w:val="StyleBoldUnderline"/>
          <w:sz w:val="20"/>
        </w:rPr>
        <w:t xml:space="preserve"> the parental </w:t>
      </w:r>
      <w:r w:rsidRPr="00066736">
        <w:rPr>
          <w:rStyle w:val="StyleBoldUnderline"/>
          <w:sz w:val="20"/>
          <w:highlight w:val="cyan"/>
        </w:rPr>
        <w:t>involvement</w:t>
      </w:r>
      <w:r w:rsidRPr="00066736">
        <w:rPr>
          <w:rStyle w:val="StyleBoldUnderline"/>
          <w:sz w:val="20"/>
        </w:rPr>
        <w:t xml:space="preserve"> </w:t>
      </w:r>
      <w:r w:rsidRPr="00066736">
        <w:rPr>
          <w:rStyle w:val="StyleBoldUnderline"/>
          <w:sz w:val="20"/>
          <w:highlight w:val="cyan"/>
        </w:rPr>
        <w:t>and</w:t>
      </w:r>
      <w:r w:rsidRPr="00066736">
        <w:rPr>
          <w:rStyle w:val="StyleBoldUnderline"/>
          <w:sz w:val="20"/>
        </w:rPr>
        <w:t xml:space="preserve"> </w:t>
      </w:r>
      <w:r w:rsidRPr="00066736">
        <w:rPr>
          <w:rStyle w:val="StyleBoldUnderline"/>
          <w:sz w:val="20"/>
          <w:highlight w:val="cyan"/>
        </w:rPr>
        <w:t>community</w:t>
      </w:r>
      <w:r w:rsidRPr="00066736">
        <w:rPr>
          <w:rStyle w:val="StyleBoldUnderline"/>
          <w:sz w:val="20"/>
        </w:rPr>
        <w:t xml:space="preserve"> </w:t>
      </w:r>
      <w:r w:rsidRPr="00066736">
        <w:rPr>
          <w:rStyle w:val="StyleBoldUnderline"/>
          <w:sz w:val="20"/>
          <w:highlight w:val="cyan"/>
        </w:rPr>
        <w:t>engagement</w:t>
      </w:r>
      <w:r w:rsidRPr="00066736">
        <w:rPr>
          <w:rStyle w:val="StyleBoldUnderline"/>
          <w:sz w:val="20"/>
        </w:rPr>
        <w:t xml:space="preserve"> practices of their more advantaged peers </w:t>
      </w:r>
      <w:r w:rsidRPr="00066736">
        <w:rPr>
          <w:rStyle w:val="StyleBoldUnderline"/>
          <w:sz w:val="20"/>
          <w:highlight w:val="cyan"/>
        </w:rPr>
        <w:t>in order to enhance their learning</w:t>
      </w:r>
      <w:r w:rsidRPr="00066736">
        <w:rPr>
          <w:sz w:val="10"/>
        </w:rPr>
        <w:t xml:space="preserve">. The authors discuss the strong developmental research case for family–school–community partnerships and emphasize the need for continued evaluations to demonstrate the types of partnerships and involvement practices that are best correlated with positive student outcomes. </w:t>
      </w:r>
      <w:r w:rsidRPr="00066736">
        <w:rPr>
          <w:rStyle w:val="Emphasis"/>
          <w:sz w:val="20"/>
          <w:highlight w:val="cyan"/>
        </w:rPr>
        <w:t xml:space="preserve">Instead of narrowly defining education </w:t>
      </w:r>
      <w:r w:rsidRPr="00066736">
        <w:rPr>
          <w:rStyle w:val="Emphasis"/>
          <w:sz w:val="20"/>
        </w:rPr>
        <w:t xml:space="preserve">reform </w:t>
      </w:r>
      <w:r w:rsidRPr="00066736">
        <w:rPr>
          <w:rStyle w:val="Emphasis"/>
          <w:sz w:val="20"/>
          <w:highlight w:val="cyan"/>
        </w:rPr>
        <w:t>as</w:t>
      </w:r>
      <w:r w:rsidRPr="00066736">
        <w:rPr>
          <w:rStyle w:val="Emphasis"/>
          <w:sz w:val="20"/>
        </w:rPr>
        <w:t xml:space="preserve"> </w:t>
      </w:r>
      <w:r w:rsidRPr="00066736">
        <w:rPr>
          <w:rStyle w:val="Emphasis"/>
          <w:sz w:val="20"/>
          <w:highlight w:val="cyan"/>
        </w:rPr>
        <w:t>initiatives</w:t>
      </w:r>
      <w:r w:rsidRPr="00066736">
        <w:rPr>
          <w:rStyle w:val="Emphasis"/>
          <w:sz w:val="20"/>
        </w:rPr>
        <w:t xml:space="preserve"> that take place </w:t>
      </w:r>
      <w:r w:rsidRPr="00066736">
        <w:rPr>
          <w:rStyle w:val="Emphasis"/>
          <w:sz w:val="20"/>
          <w:highlight w:val="cyan"/>
        </w:rPr>
        <w:t>within</w:t>
      </w:r>
      <w:r w:rsidRPr="00066736">
        <w:rPr>
          <w:rStyle w:val="Emphasis"/>
          <w:sz w:val="20"/>
        </w:rPr>
        <w:t xml:space="preserve"> the walls of </w:t>
      </w:r>
      <w:r w:rsidRPr="00066736">
        <w:rPr>
          <w:rStyle w:val="Emphasis"/>
          <w:sz w:val="20"/>
          <w:highlight w:val="cyan"/>
        </w:rPr>
        <w:t xml:space="preserve">K–12 school </w:t>
      </w:r>
      <w:r w:rsidRPr="00066736">
        <w:rPr>
          <w:rStyle w:val="Emphasis"/>
          <w:sz w:val="20"/>
        </w:rPr>
        <w:t>building</w:t>
      </w:r>
      <w:r w:rsidRPr="00066736">
        <w:rPr>
          <w:rStyle w:val="Emphasis"/>
          <w:sz w:val="20"/>
          <w:highlight w:val="cyan"/>
        </w:rPr>
        <w:t>s</w:t>
      </w:r>
      <w:r w:rsidRPr="00066736">
        <w:rPr>
          <w:sz w:val="10"/>
        </w:rPr>
        <w:t xml:space="preserve">, </w:t>
      </w:r>
      <w:r w:rsidRPr="00066736">
        <w:rPr>
          <w:rStyle w:val="StyleBoldUnderline"/>
          <w:sz w:val="20"/>
          <w:highlight w:val="cyan"/>
        </w:rPr>
        <w:t>Weiss</w:t>
      </w:r>
      <w:r w:rsidRPr="00066736">
        <w:rPr>
          <w:rStyle w:val="StyleBoldUnderline"/>
          <w:sz w:val="20"/>
        </w:rPr>
        <w:t xml:space="preserve"> </w:t>
      </w:r>
      <w:r w:rsidRPr="00066736">
        <w:rPr>
          <w:rStyle w:val="StyleBoldUnderline"/>
          <w:sz w:val="20"/>
          <w:highlight w:val="cyan"/>
        </w:rPr>
        <w:t>and</w:t>
      </w:r>
      <w:r w:rsidRPr="00066736">
        <w:rPr>
          <w:rStyle w:val="StyleBoldUnderline"/>
          <w:sz w:val="20"/>
        </w:rPr>
        <w:t xml:space="preserve"> </w:t>
      </w:r>
      <w:r w:rsidRPr="00066736">
        <w:rPr>
          <w:rStyle w:val="StyleBoldUnderline"/>
          <w:sz w:val="20"/>
          <w:highlight w:val="cyan"/>
        </w:rPr>
        <w:t>Stephen</w:t>
      </w:r>
      <w:r w:rsidRPr="00066736">
        <w:rPr>
          <w:rStyle w:val="StyleBoldUnderline"/>
          <w:sz w:val="20"/>
        </w:rPr>
        <w:t xml:space="preserve"> </w:t>
      </w:r>
      <w:r w:rsidRPr="00066736">
        <w:rPr>
          <w:rStyle w:val="StyleBoldUnderline"/>
          <w:sz w:val="20"/>
          <w:highlight w:val="cyan"/>
        </w:rPr>
        <w:t>argue</w:t>
      </w:r>
      <w:r w:rsidRPr="00066736">
        <w:rPr>
          <w:rStyle w:val="StyleBoldUnderline"/>
          <w:sz w:val="20"/>
        </w:rPr>
        <w:t xml:space="preserve"> for </w:t>
      </w:r>
      <w:r w:rsidRPr="00066736">
        <w:rPr>
          <w:rStyle w:val="StyleBoldUnderline"/>
          <w:sz w:val="20"/>
          <w:highlight w:val="cyan"/>
        </w:rPr>
        <w:t>the need to address</w:t>
      </w:r>
      <w:r w:rsidRPr="00066736">
        <w:rPr>
          <w:rStyle w:val="StyleBoldUnderline"/>
          <w:sz w:val="20"/>
        </w:rPr>
        <w:t xml:space="preserve"> the wide range of </w:t>
      </w:r>
      <w:r w:rsidRPr="00066736">
        <w:rPr>
          <w:rStyle w:val="StyleBoldUnderline"/>
          <w:sz w:val="20"/>
          <w:highlight w:val="cyan"/>
        </w:rPr>
        <w:t>external</w:t>
      </w:r>
      <w:r w:rsidRPr="00066736">
        <w:rPr>
          <w:rStyle w:val="StyleBoldUnderline"/>
          <w:sz w:val="20"/>
        </w:rPr>
        <w:t xml:space="preserve"> </w:t>
      </w:r>
      <w:r w:rsidRPr="00066736">
        <w:rPr>
          <w:rStyle w:val="StyleBoldUnderline"/>
          <w:sz w:val="20"/>
          <w:highlight w:val="cyan"/>
        </w:rPr>
        <w:t>factors</w:t>
      </w:r>
      <w:r w:rsidRPr="00066736">
        <w:rPr>
          <w:rStyle w:val="StyleBoldUnderline"/>
          <w:sz w:val="20"/>
        </w:rPr>
        <w:t xml:space="preserve"> </w:t>
      </w:r>
      <w:r w:rsidRPr="00066736">
        <w:rPr>
          <w:rStyle w:val="StyleBoldUnderline"/>
          <w:sz w:val="20"/>
          <w:highlight w:val="cyan"/>
        </w:rPr>
        <w:t xml:space="preserve">that influence children’s learning </w:t>
      </w:r>
      <w:r w:rsidRPr="00066736">
        <w:rPr>
          <w:rStyle w:val="StyleBoldUnderline"/>
          <w:sz w:val="20"/>
        </w:rPr>
        <w:t xml:space="preserve">success, </w:t>
      </w:r>
      <w:r w:rsidRPr="00066736">
        <w:rPr>
          <w:rStyle w:val="StyleBoldUnderline"/>
          <w:sz w:val="20"/>
          <w:highlight w:val="cyan"/>
        </w:rPr>
        <w:t>and</w:t>
      </w:r>
      <w:r w:rsidRPr="00066736">
        <w:rPr>
          <w:rStyle w:val="StyleBoldUnderline"/>
          <w:sz w:val="20"/>
        </w:rPr>
        <w:t xml:space="preserve"> illustrate how family–school–community partnerships </w:t>
      </w:r>
      <w:r w:rsidRPr="00066736">
        <w:rPr>
          <w:rStyle w:val="StyleBoldUnderline"/>
          <w:sz w:val="20"/>
          <w:highlight w:val="cyan"/>
        </w:rPr>
        <w:t>provide</w:t>
      </w:r>
      <w:r w:rsidRPr="00066736">
        <w:rPr>
          <w:rStyle w:val="StyleBoldUnderline"/>
          <w:sz w:val="20"/>
        </w:rPr>
        <w:t xml:space="preserve"> </w:t>
      </w:r>
      <w:r w:rsidRPr="00066736">
        <w:rPr>
          <w:rStyle w:val="StyleBoldUnderline"/>
          <w:sz w:val="20"/>
          <w:highlight w:val="cyan"/>
        </w:rPr>
        <w:t>opportunities</w:t>
      </w:r>
      <w:r w:rsidRPr="00066736">
        <w:rPr>
          <w:rStyle w:val="StyleBoldUnderline"/>
          <w:sz w:val="20"/>
        </w:rPr>
        <w:t xml:space="preserve"> </w:t>
      </w:r>
      <w:r w:rsidRPr="00066736">
        <w:rPr>
          <w:rStyle w:val="StyleBoldUnderline"/>
          <w:sz w:val="20"/>
          <w:highlight w:val="cyan"/>
        </w:rPr>
        <w:t>to broaden our definition of schooling and understanding</w:t>
      </w:r>
      <w:r w:rsidRPr="00066736">
        <w:rPr>
          <w:rStyle w:val="StyleBoldUnderline"/>
          <w:sz w:val="20"/>
        </w:rPr>
        <w:t xml:space="preserve"> </w:t>
      </w:r>
      <w:r w:rsidRPr="00066736">
        <w:rPr>
          <w:rStyle w:val="StyleBoldUnderline"/>
          <w:sz w:val="20"/>
          <w:highlight w:val="cyan"/>
        </w:rPr>
        <w:t>about where learning takes place</w:t>
      </w:r>
      <w:r w:rsidRPr="00066736">
        <w:rPr>
          <w:rStyle w:val="StyleBoldUnderline"/>
          <w:sz w:val="20"/>
        </w:rPr>
        <w:t xml:space="preserve">. </w:t>
      </w:r>
    </w:p>
    <w:p w14:paraId="79CCBED9" w14:textId="77777777" w:rsidR="001E0A77" w:rsidRPr="00066736" w:rsidRDefault="001E0A77" w:rsidP="001E0A77">
      <w:pPr>
        <w:pStyle w:val="Heading4"/>
        <w:rPr>
          <w:sz w:val="24"/>
        </w:rPr>
      </w:pPr>
      <w:r w:rsidRPr="00066736">
        <w:rPr>
          <w:sz w:val="24"/>
        </w:rPr>
        <w:t>Overlimiting interps of education are counterproductive</w:t>
      </w:r>
    </w:p>
    <w:p w14:paraId="3EC27D19" w14:textId="77777777" w:rsidR="001E0A77" w:rsidRPr="00066736" w:rsidRDefault="001E0A77" w:rsidP="001E0A77">
      <w:pPr>
        <w:rPr>
          <w:sz w:val="14"/>
        </w:rPr>
      </w:pPr>
      <w:r w:rsidRPr="001E0A77">
        <w:rPr>
          <w:rStyle w:val="StyleStyleBold12pt"/>
        </w:rPr>
        <w:t>Harber &amp; Davies 6</w:t>
      </w:r>
      <w:r w:rsidRPr="00066736">
        <w:rPr>
          <w:rStyle w:val="StyleStyleBold12pt"/>
          <w:sz w:val="14"/>
        </w:rPr>
        <w:t xml:space="preserve"> </w:t>
      </w:r>
      <w:r w:rsidRPr="00066736">
        <w:rPr>
          <w:sz w:val="14"/>
        </w:rPr>
        <w:t xml:space="preserve">(Clive, Emeritus Professor of International Education @ U of Birmingham, &amp; Lynn, </w:t>
      </w:r>
      <w:r w:rsidRPr="00066736">
        <w:rPr>
          <w:sz w:val="18"/>
          <w:u w:val="single"/>
        </w:rPr>
        <w:t>School Management and Effectiveness in Developing Countries: The Post-Bureaucratic School</w:t>
      </w:r>
      <w:r w:rsidRPr="00066736">
        <w:rPr>
          <w:sz w:val="14"/>
        </w:rPr>
        <w:t>, p. 138)</w:t>
      </w:r>
    </w:p>
    <w:p w14:paraId="46460212" w14:textId="77777777" w:rsidR="001E0A77" w:rsidRPr="00066736" w:rsidRDefault="001E0A77" w:rsidP="001E0A77">
      <w:pPr>
        <w:rPr>
          <w:sz w:val="10"/>
        </w:rPr>
      </w:pPr>
      <w:r w:rsidRPr="00066736">
        <w:rPr>
          <w:sz w:val="10"/>
        </w:rPr>
        <w:t>In fact. although the post-bureaucratic school projects into the future, that future is so unknown that it is better to 'subjects' altogether</w:t>
      </w:r>
      <w:r w:rsidRPr="00066736">
        <w:rPr>
          <w:rStyle w:val="Emphasis"/>
          <w:sz w:val="20"/>
        </w:rPr>
        <w:t xml:space="preserve">. The </w:t>
      </w:r>
      <w:r w:rsidRPr="00066736">
        <w:rPr>
          <w:rStyle w:val="Emphasis"/>
          <w:sz w:val="20"/>
          <w:highlight w:val="cyan"/>
        </w:rPr>
        <w:t>effective</w:t>
      </w:r>
      <w:r w:rsidRPr="00066736">
        <w:rPr>
          <w:rStyle w:val="Emphasis"/>
          <w:sz w:val="20"/>
        </w:rPr>
        <w:t xml:space="preserve"> </w:t>
      </w:r>
      <w:r w:rsidRPr="00066736">
        <w:rPr>
          <w:rStyle w:val="Emphasis"/>
          <w:sz w:val="20"/>
          <w:highlight w:val="cyan"/>
        </w:rPr>
        <w:t>curriculum</w:t>
      </w:r>
      <w:r w:rsidRPr="00066736">
        <w:rPr>
          <w:rStyle w:val="Emphasis"/>
          <w:sz w:val="20"/>
        </w:rPr>
        <w:t xml:space="preserve">, particularly </w:t>
      </w:r>
      <w:r w:rsidRPr="00066736">
        <w:rPr>
          <w:rStyle w:val="Emphasis"/>
          <w:sz w:val="20"/>
          <w:highlight w:val="cyan"/>
        </w:rPr>
        <w:t>at primary</w:t>
      </w:r>
      <w:r w:rsidRPr="00066736">
        <w:rPr>
          <w:rStyle w:val="Emphasis"/>
          <w:sz w:val="20"/>
        </w:rPr>
        <w:t xml:space="preserve"> </w:t>
      </w:r>
      <w:r w:rsidRPr="00066736">
        <w:rPr>
          <w:rStyle w:val="Emphasis"/>
          <w:sz w:val="20"/>
          <w:highlight w:val="cyan"/>
        </w:rPr>
        <w:t>level, is</w:t>
      </w:r>
      <w:r w:rsidRPr="00066736">
        <w:rPr>
          <w:rStyle w:val="Emphasis"/>
          <w:sz w:val="20"/>
        </w:rPr>
        <w:t xml:space="preserve"> </w:t>
      </w:r>
      <w:r w:rsidRPr="00066736">
        <w:rPr>
          <w:rStyle w:val="Emphasis"/>
          <w:sz w:val="20"/>
          <w:highlight w:val="cyan"/>
        </w:rPr>
        <w:t>one that</w:t>
      </w:r>
      <w:r w:rsidRPr="00066736">
        <w:rPr>
          <w:rStyle w:val="Emphasis"/>
          <w:sz w:val="20"/>
        </w:rPr>
        <w:t xml:space="preserve"> </w:t>
      </w:r>
      <w:r w:rsidRPr="00066736">
        <w:rPr>
          <w:rStyle w:val="Emphasis"/>
          <w:sz w:val="20"/>
          <w:highlight w:val="cyan"/>
        </w:rPr>
        <w:t>teaches skills, not knowledge</w:t>
      </w:r>
      <w:r w:rsidRPr="00066736">
        <w:rPr>
          <w:rStyle w:val="Emphasis"/>
          <w:sz w:val="20"/>
        </w:rPr>
        <w:t xml:space="preserve">. </w:t>
      </w:r>
      <w:r w:rsidRPr="00066736">
        <w:rPr>
          <w:sz w:val="10"/>
        </w:rPr>
        <w:t xml:space="preserve">Basic </w:t>
      </w:r>
      <w:r w:rsidRPr="00066736">
        <w:rPr>
          <w:rStyle w:val="StyleBoldUnderline"/>
          <w:sz w:val="20"/>
        </w:rPr>
        <w:t>literacy</w:t>
      </w:r>
      <w:r w:rsidRPr="00066736">
        <w:rPr>
          <w:sz w:val="10"/>
        </w:rPr>
        <w:t xml:space="preserve"> is still a prime skill and source of power, perhaps a little numeracy, but not much; after that the better skills to learn are </w:t>
      </w:r>
      <w:r w:rsidRPr="00066736">
        <w:rPr>
          <w:rStyle w:val="StyleBoldUnderline"/>
          <w:sz w:val="20"/>
        </w:rPr>
        <w:t>research</w:t>
      </w:r>
      <w:r w:rsidRPr="00066736">
        <w:rPr>
          <w:sz w:val="10"/>
        </w:rPr>
        <w:t xml:space="preserve"> skills </w:t>
      </w:r>
      <w:r w:rsidRPr="00066736">
        <w:rPr>
          <w:rStyle w:val="StyleBoldUnderline"/>
          <w:sz w:val="20"/>
        </w:rPr>
        <w:t>and political skills</w:t>
      </w:r>
      <w:r w:rsidRPr="00066736">
        <w:rPr>
          <w:sz w:val="10"/>
        </w:rPr>
        <w:t xml:space="preserve">. </w:t>
      </w:r>
      <w:r w:rsidRPr="00066736">
        <w:rPr>
          <w:rStyle w:val="StyleBoldUnderline"/>
          <w:sz w:val="20"/>
        </w:rPr>
        <w:t>Research skills enable children to find out what is happening,</w:t>
      </w:r>
      <w:r w:rsidRPr="00066736">
        <w:rPr>
          <w:sz w:val="10"/>
        </w:rPr>
        <w:t xml:space="preserve"> and to </w:t>
      </w:r>
      <w:r w:rsidRPr="00066736">
        <w:rPr>
          <w:rStyle w:val="StyleBoldUnderline"/>
          <w:sz w:val="20"/>
        </w:rPr>
        <w:t>check for evidence</w:t>
      </w:r>
      <w:r w:rsidRPr="00066736">
        <w:rPr>
          <w:sz w:val="10"/>
        </w:rPr>
        <w:t xml:space="preserve">; </w:t>
      </w:r>
      <w:r w:rsidRPr="00066736">
        <w:rPr>
          <w:rStyle w:val="StyleBoldUnderline"/>
          <w:sz w:val="20"/>
        </w:rPr>
        <w:t>political skills</w:t>
      </w:r>
      <w:r w:rsidRPr="00066736">
        <w:rPr>
          <w:sz w:val="10"/>
        </w:rPr>
        <w:t xml:space="preserve"> or political literacy </w:t>
      </w:r>
      <w:r w:rsidRPr="00066736">
        <w:rPr>
          <w:rStyle w:val="StyleBoldUnderline"/>
          <w:sz w:val="20"/>
        </w:rPr>
        <w:t>enable them to survive and work together in their community</w:t>
      </w:r>
      <w:r w:rsidRPr="00066736">
        <w:rPr>
          <w:sz w:val="10"/>
        </w:rPr>
        <w:t xml:space="preserve">. Any curriculum/knowledge packages are then there as examples of what one might do with those skins, rather than ends in their own right. As </w:t>
      </w:r>
      <w:r w:rsidRPr="00066736">
        <w:rPr>
          <w:rStyle w:val="StyleBoldUnderline"/>
          <w:sz w:val="20"/>
          <w:highlight w:val="cyan"/>
        </w:rPr>
        <w:t>Graham-Brown concluded after</w:t>
      </w:r>
      <w:r w:rsidRPr="00066736">
        <w:rPr>
          <w:rStyle w:val="StyleBoldUnderline"/>
          <w:sz w:val="20"/>
        </w:rPr>
        <w:t xml:space="preserve"> </w:t>
      </w:r>
      <w:r w:rsidRPr="00066736">
        <w:rPr>
          <w:sz w:val="10"/>
        </w:rPr>
        <w:t xml:space="preserve">her </w:t>
      </w:r>
      <w:r w:rsidRPr="00066736">
        <w:rPr>
          <w:rStyle w:val="StyleBoldUnderline"/>
          <w:sz w:val="20"/>
        </w:rPr>
        <w:t xml:space="preserve">extensive </w:t>
      </w:r>
      <w:r w:rsidRPr="00066736">
        <w:rPr>
          <w:rStyle w:val="StyleBoldUnderline"/>
          <w:sz w:val="20"/>
          <w:highlight w:val="cyan"/>
        </w:rPr>
        <w:t xml:space="preserve">review of </w:t>
      </w:r>
      <w:r w:rsidRPr="00066736">
        <w:rPr>
          <w:rStyle w:val="StyleBoldUnderline"/>
          <w:sz w:val="20"/>
        </w:rPr>
        <w:t xml:space="preserve">basic </w:t>
      </w:r>
      <w:r w:rsidRPr="00066736">
        <w:rPr>
          <w:rStyle w:val="StyleBoldUnderline"/>
          <w:sz w:val="20"/>
          <w:highlight w:val="cyan"/>
        </w:rPr>
        <w:t>education</w:t>
      </w:r>
      <w:r w:rsidRPr="00066736">
        <w:rPr>
          <w:rStyle w:val="StyleBoldUnderline"/>
          <w:sz w:val="20"/>
        </w:rPr>
        <w:t xml:space="preserve"> in the developing world</w:t>
      </w:r>
      <w:r w:rsidRPr="00066736">
        <w:rPr>
          <w:sz w:val="10"/>
        </w:rPr>
        <w:t xml:space="preserve">: . . . </w:t>
      </w:r>
      <w:r w:rsidRPr="00066736">
        <w:rPr>
          <w:rStyle w:val="Emphasis"/>
          <w:sz w:val="20"/>
          <w:highlight w:val="cyan"/>
        </w:rPr>
        <w:t>post-literacy and skills training .</w:t>
      </w:r>
      <w:r w:rsidRPr="00066736">
        <w:rPr>
          <w:rStyle w:val="Emphasis"/>
          <w:sz w:val="20"/>
        </w:rPr>
        <w:t xml:space="preserve"> . . </w:t>
      </w:r>
      <w:r w:rsidRPr="00066736">
        <w:rPr>
          <w:rStyle w:val="Emphasis"/>
          <w:sz w:val="20"/>
          <w:highlight w:val="cyan"/>
        </w:rPr>
        <w:t>will require more flexible</w:t>
      </w:r>
      <w:r w:rsidRPr="00066736">
        <w:rPr>
          <w:rStyle w:val="Emphasis"/>
          <w:sz w:val="20"/>
        </w:rPr>
        <w:t xml:space="preserve"> </w:t>
      </w:r>
      <w:r w:rsidRPr="00066736">
        <w:rPr>
          <w:rStyle w:val="Emphasis"/>
          <w:sz w:val="20"/>
          <w:highlight w:val="cyan"/>
        </w:rPr>
        <w:t>approaches to education</w:t>
      </w:r>
      <w:r w:rsidRPr="00066736">
        <w:rPr>
          <w:rStyle w:val="Emphasis"/>
          <w:sz w:val="20"/>
        </w:rPr>
        <w:t xml:space="preserve"> than those which prevail in most formal systems today</w:t>
      </w:r>
      <w:r w:rsidRPr="00066736">
        <w:rPr>
          <w:sz w:val="10"/>
        </w:rPr>
        <w:t xml:space="preserve">. </w:t>
      </w:r>
      <w:r w:rsidRPr="00066736">
        <w:rPr>
          <w:rStyle w:val="StyleBoldUnderline"/>
          <w:sz w:val="20"/>
        </w:rPr>
        <w:t xml:space="preserve">While </w:t>
      </w:r>
      <w:r w:rsidRPr="00066736">
        <w:rPr>
          <w:rStyle w:val="StyleBoldUnderline"/>
          <w:sz w:val="20"/>
          <w:highlight w:val="cyan"/>
        </w:rPr>
        <w:t>the rhetoric of 'popular</w:t>
      </w:r>
      <w:r w:rsidRPr="00066736">
        <w:rPr>
          <w:rStyle w:val="StyleBoldUnderline"/>
          <w:sz w:val="20"/>
        </w:rPr>
        <w:t xml:space="preserve"> </w:t>
      </w:r>
      <w:r w:rsidRPr="00066736">
        <w:rPr>
          <w:rStyle w:val="StyleBoldUnderline"/>
          <w:sz w:val="20"/>
          <w:highlight w:val="cyan"/>
        </w:rPr>
        <w:t>education'</w:t>
      </w:r>
      <w:r w:rsidRPr="00066736">
        <w:rPr>
          <w:rStyle w:val="StyleBoldUnderline"/>
          <w:sz w:val="20"/>
        </w:rPr>
        <w:t xml:space="preserve"> still runs ahead of practice in most cases, the concepts it </w:t>
      </w:r>
      <w:r w:rsidRPr="00066736">
        <w:rPr>
          <w:rStyle w:val="StyleBoldUnderline"/>
          <w:sz w:val="20"/>
          <w:highlight w:val="cyan"/>
        </w:rPr>
        <w:t>embodies a</w:t>
      </w:r>
      <w:r w:rsidRPr="00066736">
        <w:rPr>
          <w:rStyle w:val="StyleBoldUnderline"/>
          <w:sz w:val="20"/>
        </w:rPr>
        <w:t xml:space="preserve">nd some practical examples have at least offered </w:t>
      </w:r>
      <w:r w:rsidRPr="00066736">
        <w:rPr>
          <w:rStyle w:val="StyleBoldUnderline"/>
          <w:sz w:val="20"/>
          <w:highlight w:val="cyan"/>
        </w:rPr>
        <w:t>new definitions of what constitutes 'education'</w:t>
      </w:r>
      <w:r w:rsidRPr="00066736">
        <w:rPr>
          <w:rStyle w:val="StyleBoldUnderline"/>
          <w:sz w:val="20"/>
        </w:rPr>
        <w:t xml:space="preserve">, as a concept </w:t>
      </w:r>
      <w:r w:rsidRPr="00066736">
        <w:rPr>
          <w:rStyle w:val="StyleBoldUnderline"/>
          <w:sz w:val="20"/>
          <w:highlight w:val="cyan"/>
        </w:rPr>
        <w:t>which is not divorced from people's daily experience</w:t>
      </w:r>
      <w:r w:rsidRPr="00066736">
        <w:rPr>
          <w:sz w:val="10"/>
          <w:highlight w:val="cyan"/>
        </w:rPr>
        <w:t xml:space="preserve">. </w:t>
      </w:r>
      <w:r w:rsidRPr="00066736">
        <w:rPr>
          <w:rStyle w:val="StyleBoldUnderline"/>
          <w:sz w:val="20"/>
          <w:highlight w:val="cyan"/>
        </w:rPr>
        <w:t>It</w:t>
      </w:r>
      <w:r w:rsidRPr="00066736">
        <w:rPr>
          <w:rStyle w:val="StyleBoldUnderline"/>
          <w:sz w:val="20"/>
        </w:rPr>
        <w:t xml:space="preserve"> also </w:t>
      </w:r>
      <w:r w:rsidRPr="00066736">
        <w:rPr>
          <w:rStyle w:val="StyleBoldUnderline"/>
          <w:sz w:val="20"/>
          <w:highlight w:val="cyan"/>
        </w:rPr>
        <w:t>questions authoritarian teacher-pupil relations</w:t>
      </w:r>
      <w:r w:rsidRPr="00066736">
        <w:rPr>
          <w:rStyle w:val="StyleBoldUnderline"/>
          <w:sz w:val="20"/>
        </w:rPr>
        <w:t xml:space="preserve"> </w:t>
      </w:r>
      <w:r w:rsidRPr="00066736">
        <w:rPr>
          <w:rStyle w:val="StyleBoldUnderline"/>
          <w:sz w:val="20"/>
          <w:highlight w:val="cyan"/>
        </w:rPr>
        <w:t>and</w:t>
      </w:r>
      <w:r w:rsidRPr="00066736">
        <w:rPr>
          <w:rStyle w:val="StyleBoldUnderline"/>
          <w:sz w:val="20"/>
        </w:rPr>
        <w:t xml:space="preserve"> the </w:t>
      </w:r>
      <w:r w:rsidRPr="00066736">
        <w:rPr>
          <w:rStyle w:val="StyleBoldUnderline"/>
          <w:sz w:val="20"/>
          <w:highlight w:val="cyan"/>
        </w:rPr>
        <w:t>human capital school of though</w:t>
      </w:r>
      <w:r w:rsidRPr="00066736">
        <w:rPr>
          <w:rStyle w:val="StyleBoldUnderline"/>
          <w:sz w:val="20"/>
        </w:rPr>
        <w:t>t which values only those skills that have a direct bearing on the labour market</w:t>
      </w:r>
      <w:r w:rsidRPr="00066736">
        <w:rPr>
          <w:sz w:val="10"/>
        </w:rPr>
        <w:t xml:space="preserve">. In the more effective experiments. </w:t>
      </w:r>
      <w:r w:rsidRPr="00066736">
        <w:rPr>
          <w:rStyle w:val="StyleBoldUnderline"/>
          <w:sz w:val="20"/>
          <w:highlight w:val="cyan"/>
        </w:rPr>
        <w:t>education and development projects can broaden</w:t>
      </w:r>
      <w:r w:rsidRPr="00066736">
        <w:rPr>
          <w:sz w:val="10"/>
          <w:highlight w:val="cyan"/>
        </w:rPr>
        <w:t xml:space="preserve"> </w:t>
      </w:r>
      <w:r w:rsidRPr="00066736">
        <w:rPr>
          <w:rStyle w:val="StyleBoldUnderline"/>
          <w:sz w:val="20"/>
          <w:highlight w:val="cyan"/>
        </w:rPr>
        <w:t>the concept of 'skills'</w:t>
      </w:r>
      <w:r w:rsidRPr="00066736">
        <w:rPr>
          <w:rStyle w:val="StyleBoldUnderline"/>
          <w:sz w:val="20"/>
        </w:rPr>
        <w:t xml:space="preserve"> -</w:t>
      </w:r>
      <w:r w:rsidRPr="00066736">
        <w:rPr>
          <w:sz w:val="10"/>
        </w:rPr>
        <w:t xml:space="preserve"> often seen in international agency reports as limited to developing technical and commercial abilities - to something </w:t>
      </w:r>
      <w:r w:rsidRPr="00066736">
        <w:rPr>
          <w:rStyle w:val="StyleBoldUnderline"/>
          <w:sz w:val="20"/>
          <w:highlight w:val="cyan"/>
        </w:rPr>
        <w:t>which comprehends the cultural, social and political aspects of education</w:t>
      </w:r>
      <w:r w:rsidRPr="00066736">
        <w:rPr>
          <w:sz w:val="10"/>
        </w:rPr>
        <w:t>. This could form part of a process which could help to introduce more flexibility into formal education, difficult though this is likely to be.</w:t>
      </w:r>
    </w:p>
    <w:p w14:paraId="06CA4C27" w14:textId="77777777" w:rsidR="001E0A77" w:rsidRPr="00066736" w:rsidRDefault="001E0A77" w:rsidP="001E0A77">
      <w:pPr>
        <w:pStyle w:val="Heading4"/>
        <w:rPr>
          <w:rFonts w:cs="Times New Roman"/>
          <w:sz w:val="24"/>
        </w:rPr>
      </w:pPr>
      <w:r w:rsidRPr="00066736">
        <w:rPr>
          <w:rFonts w:cs="Times New Roman"/>
          <w:sz w:val="24"/>
        </w:rPr>
        <w:t>Narrow definitions of education are bad – they’ve empirically lead to bankrupt policy making</w:t>
      </w:r>
    </w:p>
    <w:p w14:paraId="19D81EF4" w14:textId="77777777" w:rsidR="001E0A77" w:rsidRPr="00066736" w:rsidRDefault="001E0A77" w:rsidP="001E0A77">
      <w:pPr>
        <w:rPr>
          <w:sz w:val="14"/>
          <w:szCs w:val="16"/>
        </w:rPr>
      </w:pPr>
      <w:r w:rsidRPr="00066736">
        <w:rPr>
          <w:rStyle w:val="StyleStyleBold12pt"/>
        </w:rPr>
        <w:t>Labaree 13</w:t>
      </w:r>
      <w:r w:rsidRPr="00066736">
        <w:rPr>
          <w:sz w:val="14"/>
          <w:szCs w:val="16"/>
        </w:rPr>
        <w:t xml:space="preserve"> (David, May 15, “Let’s Measure What No One Teaches: PISA, NCLB, and the Shrinking Aims of Education,” Graduate School of Education at Stanford, </w:t>
      </w:r>
      <w:hyperlink r:id="rId45" w:history="1">
        <w:r w:rsidRPr="00066736">
          <w:rPr>
            <w:rStyle w:val="Hyperlink"/>
            <w:sz w:val="20"/>
          </w:rPr>
          <w:t>https://web.stanford.edu/~dlabaree/publication2013/Let's_Measure.pdf</w:t>
        </w:r>
      </w:hyperlink>
      <w:r w:rsidRPr="00066736">
        <w:rPr>
          <w:sz w:val="14"/>
          <w:szCs w:val="16"/>
        </w:rPr>
        <w:t>) AAB</w:t>
      </w:r>
    </w:p>
    <w:p w14:paraId="1328459E" w14:textId="77777777" w:rsidR="001E0A77" w:rsidRPr="00066736" w:rsidRDefault="001E0A77" w:rsidP="001E0A77">
      <w:pPr>
        <w:rPr>
          <w:sz w:val="10"/>
          <w:szCs w:val="16"/>
        </w:rPr>
      </w:pPr>
      <w:r w:rsidRPr="00066736">
        <w:rPr>
          <w:sz w:val="10"/>
          <w:szCs w:val="16"/>
        </w:rPr>
        <w:t>This brings us back to where we started</w:t>
      </w:r>
      <w:r w:rsidRPr="00066736">
        <w:rPr>
          <w:rStyle w:val="StyleBoldUnderline"/>
          <w:sz w:val="20"/>
        </w:rPr>
        <w:t>. If we are going to understand</w:t>
      </w:r>
      <w:r w:rsidRPr="00066736">
        <w:rPr>
          <w:sz w:val="10"/>
          <w:szCs w:val="16"/>
        </w:rPr>
        <w:t xml:space="preserve"> the meaning of </w:t>
      </w:r>
      <w:r w:rsidRPr="00066736">
        <w:rPr>
          <w:rStyle w:val="StyleBoldUnderline"/>
          <w:sz w:val="20"/>
        </w:rPr>
        <w:t>the new</w:t>
      </w:r>
      <w:r w:rsidRPr="00066736">
        <w:rPr>
          <w:sz w:val="10"/>
          <w:szCs w:val="16"/>
        </w:rPr>
        <w:t xml:space="preserve"> accountability </w:t>
      </w:r>
      <w:r w:rsidRPr="00066736">
        <w:rPr>
          <w:rStyle w:val="StyleBoldUnderline"/>
          <w:sz w:val="20"/>
        </w:rPr>
        <w:t>regime in education, as represented by PISA and NCLB, we need to understand the particulars of how it defines and measures educational quality.</w:t>
      </w:r>
      <w:r w:rsidRPr="00066736">
        <w:rPr>
          <w:sz w:val="10"/>
          <w:szCs w:val="16"/>
        </w:rPr>
        <w:t xml:space="preserve"> Everything depends on how you define a good school and on what evidence would be needed to persuade you that a particular school or school system is good or bad. As we have seen, for all their differences, </w:t>
      </w:r>
      <w:r w:rsidRPr="00066736">
        <w:rPr>
          <w:rStyle w:val="Emphasis"/>
          <w:sz w:val="20"/>
        </w:rPr>
        <w:t>PISA and NCLB employ an extraordinarily narrow definition of education</w:t>
      </w:r>
      <w:r w:rsidRPr="00066736">
        <w:rPr>
          <w:sz w:val="10"/>
          <w:szCs w:val="16"/>
        </w:rPr>
        <w:t xml:space="preserve">, and they deploy an extraordinarily impoverished metric for assessing educational quality. </w:t>
      </w:r>
      <w:r w:rsidRPr="00066736">
        <w:rPr>
          <w:rStyle w:val="StyleBoldUnderline"/>
          <w:sz w:val="20"/>
        </w:rPr>
        <w:t xml:space="preserve">To hold schools </w:t>
      </w:r>
      <w:r w:rsidRPr="00066736">
        <w:rPr>
          <w:sz w:val="10"/>
          <w:szCs w:val="16"/>
        </w:rPr>
        <w:t xml:space="preserve">accountable </w:t>
      </w:r>
      <w:r w:rsidRPr="00066736">
        <w:rPr>
          <w:rStyle w:val="Emphasis"/>
          <w:sz w:val="20"/>
        </w:rPr>
        <w:t>in these terms is to do them great harm.</w:t>
      </w:r>
      <w:r w:rsidRPr="00066736">
        <w:rPr>
          <w:sz w:val="10"/>
          <w:szCs w:val="16"/>
        </w:rPr>
        <w:t xml:space="preserve"> Both programs talk about setting a high standard so schools will race to the top; but in both cases the mechanics of the assessment regime set a diminished standard for schools, which drives them to race to the educational cellar.</w:t>
      </w:r>
    </w:p>
    <w:p w14:paraId="0B03831C" w14:textId="77777777" w:rsidR="001E0A77" w:rsidRPr="00066736" w:rsidRDefault="001E0A77" w:rsidP="001E0A77">
      <w:pPr>
        <w:pStyle w:val="Heading4"/>
        <w:rPr>
          <w:rFonts w:cs="Times New Roman"/>
          <w:sz w:val="24"/>
        </w:rPr>
      </w:pPr>
      <w:r w:rsidRPr="00066736">
        <w:rPr>
          <w:rFonts w:cs="Times New Roman"/>
          <w:sz w:val="24"/>
        </w:rPr>
        <w:t>Narrowly defining “education” destroys policy skills and create bad education</w:t>
      </w:r>
    </w:p>
    <w:p w14:paraId="20C9924E" w14:textId="77777777" w:rsidR="001E0A77" w:rsidRPr="00066736" w:rsidRDefault="001E0A77" w:rsidP="001E0A77">
      <w:pPr>
        <w:rPr>
          <w:rStyle w:val="StyleStyleBold12pt"/>
        </w:rPr>
      </w:pPr>
      <w:r w:rsidRPr="00066736">
        <w:rPr>
          <w:rStyle w:val="StyleStyleBold12pt"/>
        </w:rPr>
        <w:t xml:space="preserve">Monson 16 </w:t>
      </w:r>
      <w:r w:rsidRPr="00066736">
        <w:rPr>
          <w:sz w:val="14"/>
          <w:szCs w:val="16"/>
        </w:rPr>
        <w:t xml:space="preserve">(Derek, policy director at Sutherland Institute, “Education spending and the danger of narrow policy thinking”, </w:t>
      </w:r>
      <w:hyperlink r:id="rId46" w:history="1">
        <w:r w:rsidRPr="00066736">
          <w:rPr>
            <w:rStyle w:val="Hyperlink"/>
            <w:sz w:val="20"/>
          </w:rPr>
          <w:t>http://sutherlandinstitute.org/education-spending-and-the-danger-of-narrow-policy-thinking/</w:t>
        </w:r>
      </w:hyperlink>
      <w:r w:rsidRPr="00066736">
        <w:rPr>
          <w:sz w:val="14"/>
          <w:szCs w:val="16"/>
        </w:rPr>
        <w:t>, NRG)</w:t>
      </w:r>
    </w:p>
    <w:p w14:paraId="6FFE7899" w14:textId="77777777" w:rsidR="001E0A77" w:rsidRPr="00066736" w:rsidRDefault="001E0A77" w:rsidP="001E0A77">
      <w:pPr>
        <w:rPr>
          <w:rStyle w:val="Emphasis"/>
          <w:sz w:val="20"/>
        </w:rPr>
      </w:pPr>
      <w:r w:rsidRPr="00066736">
        <w:rPr>
          <w:sz w:val="8"/>
        </w:rPr>
        <w:t xml:space="preserve">Government is similar: It is a significant actor in the economy, as measured by personal income, but is still just one of millions and controls only a fraction of all personal income in Utah. As such, comparing public education revenues to all personal income in the state is an incomplete, though useful, gauge of education funding effort. </w:t>
      </w:r>
      <w:r w:rsidRPr="00066736">
        <w:rPr>
          <w:rStyle w:val="StyleBoldUnderline"/>
          <w:sz w:val="20"/>
        </w:rPr>
        <w:t xml:space="preserve">Narrowing how we think about public education funding efforts to this single, limited measure of public education funding creates a </w:t>
      </w:r>
      <w:r w:rsidRPr="00066736">
        <w:rPr>
          <w:rStyle w:val="Emphasis"/>
          <w:sz w:val="20"/>
        </w:rPr>
        <w:t>distorted and misleading</w:t>
      </w:r>
      <w:r w:rsidRPr="00066736">
        <w:rPr>
          <w:rStyle w:val="StyleBoldUnderline"/>
          <w:sz w:val="20"/>
        </w:rPr>
        <w:t xml:space="preserve"> view of what is happening in the real world. </w:t>
      </w:r>
      <w:r w:rsidRPr="00066736">
        <w:rPr>
          <w:sz w:val="8"/>
        </w:rPr>
        <w:t xml:space="preserve">Based on these realities, </w:t>
      </w:r>
      <w:r w:rsidRPr="00066736">
        <w:rPr>
          <w:rStyle w:val="StyleBoldUnderline"/>
          <w:sz w:val="20"/>
        </w:rPr>
        <w:t>the answer to the</w:t>
      </w:r>
      <w:r w:rsidRPr="00066736">
        <w:rPr>
          <w:sz w:val="8"/>
        </w:rPr>
        <w:t xml:space="preserve"> second </w:t>
      </w:r>
      <w:r w:rsidRPr="00066736">
        <w:rPr>
          <w:rStyle w:val="StyleBoldUnderline"/>
          <w:sz w:val="20"/>
        </w:rPr>
        <w:t>question (“is such a narrow thought process likely to produce good public policy?”) is also “</w:t>
      </w:r>
      <w:r w:rsidRPr="00066736">
        <w:rPr>
          <w:rStyle w:val="Emphasis"/>
          <w:sz w:val="20"/>
        </w:rPr>
        <w:t>no</w:t>
      </w:r>
      <w:r w:rsidRPr="00066736">
        <w:rPr>
          <w:rStyle w:val="StyleBoldUnderline"/>
          <w:sz w:val="20"/>
        </w:rPr>
        <w:t>.”</w:t>
      </w:r>
      <w:r w:rsidRPr="00066736">
        <w:rPr>
          <w:sz w:val="8"/>
        </w:rPr>
        <w:t xml:space="preserve"> After all, </w:t>
      </w:r>
      <w:r w:rsidRPr="00066736">
        <w:rPr>
          <w:rStyle w:val="StyleBoldUnderline"/>
          <w:sz w:val="20"/>
        </w:rPr>
        <w:t xml:space="preserve">how can we make good public policy from a misinformed view of reality, except by sheer </w:t>
      </w:r>
      <w:r w:rsidRPr="00066736">
        <w:rPr>
          <w:rStyle w:val="StyleBoldUnderline"/>
          <w:strike/>
          <w:sz w:val="20"/>
        </w:rPr>
        <w:t>dumb</w:t>
      </w:r>
      <w:r w:rsidRPr="00066736">
        <w:rPr>
          <w:rStyle w:val="StyleBoldUnderline"/>
          <w:sz w:val="20"/>
        </w:rPr>
        <w:t xml:space="preserve"> luck? As the saying goes, “</w:t>
      </w:r>
      <w:r w:rsidRPr="00066736">
        <w:rPr>
          <w:rStyle w:val="Emphasis"/>
          <w:sz w:val="20"/>
        </w:rPr>
        <w:t xml:space="preserve">garbage in, garbage out.” </w:t>
      </w:r>
    </w:p>
    <w:p w14:paraId="1065839D" w14:textId="77777777" w:rsidR="001E0A77" w:rsidRPr="00066736" w:rsidRDefault="001E0A77" w:rsidP="001E0A77">
      <w:pPr>
        <w:pStyle w:val="Heading3"/>
        <w:rPr>
          <w:rFonts w:cs="Times New Roman"/>
          <w:sz w:val="28"/>
        </w:rPr>
      </w:pPr>
      <w:r w:rsidRPr="00066736">
        <w:rPr>
          <w:rFonts w:cs="Times New Roman"/>
          <w:sz w:val="28"/>
        </w:rPr>
        <w:t>Breadth Good</w:t>
      </w:r>
    </w:p>
    <w:p w14:paraId="2176E598" w14:textId="77777777" w:rsidR="001E0A77" w:rsidRPr="00066736" w:rsidRDefault="001E0A77" w:rsidP="001E0A77">
      <w:pPr>
        <w:pStyle w:val="Heading4"/>
        <w:rPr>
          <w:rFonts w:cs="Times New Roman"/>
          <w:sz w:val="24"/>
        </w:rPr>
      </w:pPr>
      <w:r w:rsidRPr="00066736">
        <w:rPr>
          <w:rFonts w:cs="Times New Roman"/>
          <w:sz w:val="24"/>
        </w:rPr>
        <w:t>Education should include learning aspects in the schooling environment. Defining education too narrowly is harmful for native populations and trains us to be poor political visionaries</w:t>
      </w:r>
    </w:p>
    <w:p w14:paraId="6952BD9A" w14:textId="77777777" w:rsidR="001E0A77" w:rsidRPr="00066736" w:rsidRDefault="001E0A77" w:rsidP="001E0A77">
      <w:pPr>
        <w:rPr>
          <w:rStyle w:val="StyleStyleBold12pt"/>
        </w:rPr>
      </w:pPr>
      <w:r w:rsidRPr="00066736">
        <w:rPr>
          <w:rStyle w:val="StyleStyleBold12pt"/>
        </w:rPr>
        <w:t xml:space="preserve">Ongtooguk 17 </w:t>
      </w:r>
      <w:r w:rsidRPr="00066736">
        <w:rPr>
          <w:sz w:val="14"/>
          <w:szCs w:val="16"/>
        </w:rPr>
        <w:t xml:space="preserve">(Patrick, Senior Research Associate at University of Alaska Anchorage and Assistant Professor in the College of Education, “summary of presentation for the Bristol Bay Education Summit”, </w:t>
      </w:r>
      <w:hyperlink r:id="rId47" w:history="1">
        <w:r w:rsidRPr="00066736">
          <w:rPr>
            <w:rStyle w:val="Hyperlink"/>
            <w:sz w:val="20"/>
          </w:rPr>
          <w:t>http://www.alaskool.org/native_ed/articles/ongtooguk/BristolBayEdSummitNov04.html</w:t>
        </w:r>
      </w:hyperlink>
      <w:r w:rsidRPr="00066736">
        <w:rPr>
          <w:sz w:val="14"/>
          <w:szCs w:val="16"/>
        </w:rPr>
        <w:t>, April 2017, NRG)</w:t>
      </w:r>
    </w:p>
    <w:p w14:paraId="26409E6E" w14:textId="77777777" w:rsidR="001E0A77" w:rsidRPr="00066736" w:rsidRDefault="001E0A77" w:rsidP="001E0A77">
      <w:pPr>
        <w:rPr>
          <w:rStyle w:val="apple-style-span"/>
          <w:sz w:val="8"/>
        </w:rPr>
      </w:pPr>
      <w:r w:rsidRPr="00066736">
        <w:rPr>
          <w:rStyle w:val="StyleBoldUnderline"/>
          <w:sz w:val="20"/>
        </w:rPr>
        <w:t>A critical question that must be asked is: Are the students of the region being prepared for the reality of life beyond graduating from high school</w:t>
      </w:r>
      <w:r w:rsidRPr="00066736">
        <w:rPr>
          <w:sz w:val="8"/>
        </w:rPr>
        <w:t xml:space="preserve">? </w:t>
      </w:r>
      <w:r w:rsidRPr="00066736">
        <w:rPr>
          <w:rStyle w:val="Emphasis"/>
          <w:sz w:val="20"/>
        </w:rPr>
        <w:t>There is a danger in defining “preparation” too narrowly</w:t>
      </w:r>
      <w:r w:rsidRPr="00066736">
        <w:rPr>
          <w:sz w:val="8"/>
        </w:rPr>
        <w:t xml:space="preserve">. For </w:t>
      </w:r>
      <w:r w:rsidRPr="00066736">
        <w:rPr>
          <w:rStyle w:val="StyleBoldUnderline"/>
          <w:sz w:val="20"/>
        </w:rPr>
        <w:t xml:space="preserve">preparation includes not only reading, writing and content knowledge, but the development of the imagination, vision, and a </w:t>
      </w:r>
      <w:r w:rsidRPr="00066736">
        <w:rPr>
          <w:rStyle w:val="Emphasis"/>
          <w:sz w:val="20"/>
        </w:rPr>
        <w:t>sense of purpose and mission</w:t>
      </w:r>
      <w:r w:rsidRPr="00066736">
        <w:rPr>
          <w:sz w:val="8"/>
        </w:rPr>
        <w:t xml:space="preserve">. Preparation includes the desire to view oneself as a contributing and important member of a traditional society and a dynamic responsive community. When school districts in the region, including school administrators and board members say they are responding to the needs of Alaska Native communities we should be asking and comparing their programs with these realities. It does us little good to have developed new economic and social networks, if the next generation is not able to engage with these networks. Our </w:t>
      </w:r>
      <w:r w:rsidRPr="00066736">
        <w:rPr>
          <w:rStyle w:val="StyleBoldUnderline"/>
          <w:sz w:val="20"/>
        </w:rPr>
        <w:t xml:space="preserve">schools are more than ever </w:t>
      </w:r>
      <w:r w:rsidRPr="00066736">
        <w:rPr>
          <w:rStyle w:val="Emphasis"/>
          <w:sz w:val="20"/>
        </w:rPr>
        <w:t>narrowing the definition of education</w:t>
      </w:r>
      <w:r w:rsidRPr="00066736">
        <w:rPr>
          <w:rStyle w:val="StyleBoldUnderline"/>
          <w:sz w:val="20"/>
        </w:rPr>
        <w:t xml:space="preserve"> to the ability to pass a test</w:t>
      </w:r>
      <w:r w:rsidRPr="00066736">
        <w:rPr>
          <w:sz w:val="8"/>
        </w:rPr>
        <w:t xml:space="preserve">. Our Alaska </w:t>
      </w:r>
      <w:r w:rsidRPr="00066736">
        <w:rPr>
          <w:rStyle w:val="StyleBoldUnderline"/>
          <w:sz w:val="20"/>
        </w:rPr>
        <w:t>Native issues, our authors, our literature, history, lives and customs are relegated to a back seat or perhaps no seat at all.</w:t>
      </w:r>
      <w:r w:rsidRPr="00066736">
        <w:rPr>
          <w:sz w:val="8"/>
        </w:rPr>
        <w:t xml:space="preserve"> </w:t>
      </w:r>
      <w:r w:rsidRPr="00066736">
        <w:rPr>
          <w:rStyle w:val="StyleBoldUnderline"/>
          <w:sz w:val="20"/>
        </w:rPr>
        <w:t xml:space="preserve">These are not educational frills for Native youth, but rather they are </w:t>
      </w:r>
      <w:r w:rsidRPr="00066736">
        <w:rPr>
          <w:rStyle w:val="Emphasis"/>
          <w:sz w:val="20"/>
        </w:rPr>
        <w:t>critical elements of an education</w:t>
      </w:r>
      <w:r w:rsidRPr="00066736">
        <w:rPr>
          <w:rStyle w:val="StyleBoldUnderline"/>
          <w:sz w:val="20"/>
        </w:rPr>
        <w:t xml:space="preserve"> that will truly prepare our students. </w:t>
      </w:r>
      <w:r w:rsidRPr="00066736">
        <w:rPr>
          <w:sz w:val="8"/>
        </w:rPr>
        <w:t xml:space="preserve">As Alaska Natives we need to express our voice. </w:t>
      </w:r>
      <w:r w:rsidRPr="00066736">
        <w:rPr>
          <w:rStyle w:val="StyleBoldUnderline"/>
          <w:sz w:val="20"/>
        </w:rPr>
        <w:t>We need to talk about our concerns and our aspirations for improving the educational system with each other, with our youth, with our communities. This is our challenge and we need to meet this challenge by defining the problem and advancing the solution.</w:t>
      </w:r>
      <w:r w:rsidRPr="00066736">
        <w:rPr>
          <w:sz w:val="8"/>
        </w:rPr>
        <w:t xml:space="preserve"> The stakes are high – much higher than a “high stakes” test – as the very life of our institutions and our communities is in the hands of the next generation. </w:t>
      </w:r>
    </w:p>
    <w:p w14:paraId="180AA181" w14:textId="77777777" w:rsidR="001E0A77" w:rsidRPr="00066736" w:rsidRDefault="001E0A77" w:rsidP="001E0A77">
      <w:pPr>
        <w:pStyle w:val="Heading4"/>
        <w:rPr>
          <w:sz w:val="24"/>
        </w:rPr>
      </w:pPr>
      <w:r w:rsidRPr="00066736">
        <w:rPr>
          <w:sz w:val="24"/>
        </w:rPr>
        <w:t>Breadth first</w:t>
      </w:r>
    </w:p>
    <w:p w14:paraId="6AE28689" w14:textId="77777777" w:rsidR="001E0A77" w:rsidRPr="00066736" w:rsidRDefault="001E0A77" w:rsidP="001E0A77">
      <w:pPr>
        <w:rPr>
          <w:sz w:val="14"/>
          <w:szCs w:val="16"/>
        </w:rPr>
      </w:pPr>
      <w:r w:rsidRPr="00066736">
        <w:rPr>
          <w:b/>
          <w:sz w:val="20"/>
        </w:rPr>
        <w:t xml:space="preserve">Colander and McGoldrick 9 </w:t>
      </w:r>
      <w:r w:rsidRPr="00066736">
        <w:rPr>
          <w:sz w:val="14"/>
          <w:szCs w:val="16"/>
        </w:rPr>
        <w:t>(David, Professor of Economics at Middlebury College, and KimMarie, professor of economics in the University of Richmond, Liberal Education, Vol. 95, No. 2 “The Economics Major and Liberal Education,” Spring)</w:t>
      </w:r>
    </w:p>
    <w:p w14:paraId="0F502A36" w14:textId="77777777" w:rsidR="001E0A77" w:rsidRPr="00066736" w:rsidRDefault="001E0A77" w:rsidP="001E0A77">
      <w:pPr>
        <w:rPr>
          <w:rStyle w:val="StyleBoldUnderline"/>
          <w:sz w:val="20"/>
        </w:rPr>
      </w:pPr>
      <w:r w:rsidRPr="00066736">
        <w:rPr>
          <w:rStyle w:val="StyleBoldUnderline"/>
          <w:sz w:val="20"/>
        </w:rPr>
        <w:t>The success or failure of a liberal education,</w:t>
      </w:r>
      <w:r w:rsidRPr="00066736">
        <w:rPr>
          <w:sz w:val="8"/>
        </w:rPr>
        <w:t xml:space="preserve"> or an undergraduate major, </w:t>
      </w:r>
      <w:r w:rsidRPr="00066736">
        <w:rPr>
          <w:rStyle w:val="StyleBoldUnderline"/>
          <w:sz w:val="20"/>
        </w:rPr>
        <w:t>depends far more on how the educational process influences students’ passion for learning than it does on what specifically they learn. A successful liberal education creates a lifelong learner, and classroom instruction is as much a catalyst for education as it is the education itself</w:t>
      </w:r>
      <w:r w:rsidRPr="00066736">
        <w:rPr>
          <w:sz w:val="8"/>
        </w:rPr>
        <w:t xml:space="preserve">. Because passion for learning carries over to other fields and areas, the catalyst function of education does not depend on content. </w:t>
      </w:r>
      <w:r w:rsidRPr="00066736">
        <w:rPr>
          <w:rStyle w:val="StyleBoldUnderline"/>
          <w:sz w:val="20"/>
        </w:rPr>
        <w:t>Academic departments tend to focus on</w:t>
      </w:r>
      <w:r w:rsidRPr="00066736">
        <w:rPr>
          <w:sz w:val="8"/>
        </w:rPr>
        <w:t xml:space="preserve"> both the need for </w:t>
      </w:r>
      <w:r w:rsidRPr="00066736">
        <w:rPr>
          <w:rStyle w:val="StyleBoldUnderline"/>
          <w:sz w:val="20"/>
        </w:rPr>
        <w:t>depth</w:t>
      </w:r>
      <w:r w:rsidRPr="00066736">
        <w:rPr>
          <w:sz w:val="8"/>
        </w:rPr>
        <w:t xml:space="preserve"> in the field and the need for specialized training as a component of liberal education. The push for depth over breadth by disciplinary scholars is to be expected. Just as a Shakespeare scholar is unlikely to be passionate about teaching freshman composition, a scholar of classical game theory is unlikely to be passionate about teaching general economic principles within the context of an interdisciplinary consideration of broad themes. </w:t>
      </w:r>
      <w:r w:rsidRPr="00066736">
        <w:rPr>
          <w:rStyle w:val="StyleBoldUnderline"/>
          <w:sz w:val="20"/>
        </w:rPr>
        <w:t>Because breadth is not usually associated with research passion by disciplinary specialists, and because a college is a collection of disciplinary specialists, breadth often gets shortchanged; it is interpreted as “superficial.” But in reality, breadth pertains to the nature of the questions asked</w:t>
      </w:r>
      <w:r w:rsidRPr="00066736">
        <w:rPr>
          <w:sz w:val="8"/>
        </w:rPr>
        <w:t xml:space="preserve">. </w:t>
      </w:r>
      <w:r w:rsidRPr="00066736">
        <w:rPr>
          <w:rStyle w:val="StyleBoldUnderline"/>
          <w:sz w:val="20"/>
        </w:rPr>
        <w:t>It involves asking questions that are unlikely to have definitive answers—“big-think” questions that challenge the foundations of disciplinary analysis</w:t>
      </w:r>
      <w:r w:rsidRPr="00066736">
        <w:rPr>
          <w:sz w:val="8"/>
        </w:rPr>
        <w:t xml:space="preserve">. </w:t>
      </w:r>
      <w:r w:rsidRPr="00066736">
        <w:rPr>
          <w:rStyle w:val="StyleBoldUnderline"/>
          <w:sz w:val="20"/>
        </w:rPr>
        <w:t xml:space="preserve">By contrast, depth involves asking smaller questions that can be answered—“little-think” questions that, too often, involve an uncritical acceptance of the assumptions upon which research is built. </w:t>
      </w:r>
      <w:r w:rsidRPr="00066736">
        <w:rPr>
          <w:sz w:val="8"/>
        </w:rPr>
        <w:t xml:space="preserve">Questions and areas of study have two dimensions: a research dimension and a teaching dimension. The disciplinary nature of both graduate education and undergraduate college faculties leads to an emphasis on “research questions,” which tend to be narrow and in-depth, and a de-emphasis on “teaching questions,” which tend to involve greater breadth. Economics has its own distinctive set of teaching questions: Is capitalism preferable to socialism? What is the appropriate structure of an economy? Does the market alienate individuals from their true selves? Is consumer sovereignty acceptable? Do statistical significance tests appropriately measure significance? It is worthwhile to teach such “big-think” questions, but because they do not fit the disciplinary research focus of the profession, they tend not to be included in the economics major. This is regrettable, since </w:t>
      </w:r>
      <w:r w:rsidRPr="00066736">
        <w:rPr>
          <w:rStyle w:val="StyleBoldUnderline"/>
          <w:sz w:val="20"/>
        </w:rPr>
        <w:t>struggling with “big-think” questions helps provoke a passion for learning in students and, hence, can be a catalyst for deeper student learning. It is similarly worthwhile to expose students to longstanding debates within the field</w:t>
      </w:r>
      <w:r w:rsidRPr="00066736">
        <w:rPr>
          <w:sz w:val="8"/>
        </w:rPr>
        <w:t xml:space="preserve">. For example, Marx considered the alienation created by the market to be a central problem of western societies; Hayek argued that the market was necessary to preserve individual freedom; and Alfred Marshall argued that activities determine wants and, thus, wants cannot be considered as primitives in economic analysis. </w:t>
      </w:r>
      <w:r w:rsidRPr="00066736">
        <w:rPr>
          <w:rStyle w:val="StyleBoldUnderline"/>
          <w:sz w:val="20"/>
        </w:rPr>
        <w:t>Such debates are highly relevant for students to consider as they study economics within the context of a liberal education. But these kinds of debates are not actively engaged as part of cutting-edge research, which instead tends to focus either on narrow questions that can be resolved through statistical analysis or on highly theoretical questions that exceed the level of undergraduate students.</w:t>
      </w:r>
    </w:p>
    <w:p w14:paraId="61F24B33" w14:textId="77777777" w:rsidR="001E0A77" w:rsidRPr="00066736" w:rsidRDefault="001E0A77" w:rsidP="001E0A77">
      <w:pPr>
        <w:pStyle w:val="Heading3"/>
        <w:rPr>
          <w:sz w:val="28"/>
        </w:rPr>
      </w:pPr>
      <w:r w:rsidRPr="00066736">
        <w:rPr>
          <w:sz w:val="28"/>
        </w:rPr>
        <w:t>Precision Bad</w:t>
      </w:r>
    </w:p>
    <w:p w14:paraId="273BC516" w14:textId="77777777" w:rsidR="001E0A77" w:rsidRPr="00066736" w:rsidRDefault="001E0A77" w:rsidP="001E0A77">
      <w:pPr>
        <w:pStyle w:val="Heading4"/>
        <w:rPr>
          <w:sz w:val="24"/>
        </w:rPr>
      </w:pPr>
      <w:r w:rsidRPr="00066736">
        <w:rPr>
          <w:sz w:val="24"/>
        </w:rPr>
        <w:t>Studies show using “Plain English” yields more positive results than Legal Language</w:t>
      </w:r>
    </w:p>
    <w:p w14:paraId="3B04AEF7" w14:textId="77777777" w:rsidR="001E0A77" w:rsidRPr="00066736" w:rsidRDefault="001E0A77" w:rsidP="001E0A77">
      <w:pPr>
        <w:rPr>
          <w:rStyle w:val="StyleBoldUnderline"/>
          <w:sz w:val="20"/>
        </w:rPr>
      </w:pPr>
      <w:r w:rsidRPr="00066736">
        <w:rPr>
          <w:rStyle w:val="StyleStyleBold12pt"/>
          <w:sz w:val="14"/>
        </w:rPr>
        <w:t>Charrow and Charrow, 79</w:t>
      </w:r>
      <w:r w:rsidRPr="00066736">
        <w:rPr>
          <w:sz w:val="14"/>
          <w:szCs w:val="16"/>
        </w:rPr>
        <w:t>, ( Robert P. Charrow and Veda R. Charrow, Columbia Law Review, Vol. 79, No. 7 (Nov., 1979), pp. 1306-1374, JSTOR)</w:t>
      </w:r>
    </w:p>
    <w:p w14:paraId="3DB908A1" w14:textId="77777777" w:rsidR="001E0A77" w:rsidRPr="00066736" w:rsidRDefault="001E0A77" w:rsidP="001E0A77">
      <w:pPr>
        <w:rPr>
          <w:sz w:val="10"/>
          <w:szCs w:val="16"/>
        </w:rPr>
      </w:pPr>
      <w:r w:rsidRPr="00066736">
        <w:rPr>
          <w:rStyle w:val="StyleBoldUnderline"/>
          <w:sz w:val="20"/>
        </w:rPr>
        <w:t>There has been a growing concern</w:t>
      </w:r>
      <w:r w:rsidRPr="00066736">
        <w:rPr>
          <w:sz w:val="10"/>
          <w:szCs w:val="16"/>
        </w:rPr>
        <w:t xml:space="preserve"> in recent years </w:t>
      </w:r>
      <w:r w:rsidRPr="00066736">
        <w:rPr>
          <w:rStyle w:val="StyleBoldUnderline"/>
          <w:sz w:val="20"/>
        </w:rPr>
        <w:t>regarding the inability</w:t>
      </w:r>
      <w:r w:rsidRPr="00066736">
        <w:rPr>
          <w:sz w:val="10"/>
          <w:szCs w:val="16"/>
        </w:rPr>
        <w:t xml:space="preserve"> of lay persons </w:t>
      </w:r>
      <w:r w:rsidRPr="00066736">
        <w:rPr>
          <w:rStyle w:val="StyleBoldUnderline"/>
          <w:sz w:val="20"/>
        </w:rPr>
        <w:t>to understand legal language</w:t>
      </w:r>
      <w:r w:rsidRPr="00066736">
        <w:rPr>
          <w:sz w:val="10"/>
          <w:szCs w:val="16"/>
        </w:rPr>
        <w:t xml:space="preserve">.' </w:t>
      </w:r>
      <w:r w:rsidRPr="00066736">
        <w:rPr>
          <w:rStyle w:val="StyleBoldUnderline"/>
          <w:sz w:val="20"/>
        </w:rPr>
        <w:t>This concern</w:t>
      </w:r>
      <w:r w:rsidRPr="00066736">
        <w:rPr>
          <w:sz w:val="10"/>
          <w:szCs w:val="16"/>
        </w:rPr>
        <w:t xml:space="preserve"> has </w:t>
      </w:r>
      <w:r w:rsidRPr="00066736">
        <w:rPr>
          <w:rStyle w:val="StyleBoldUnderline"/>
          <w:sz w:val="20"/>
        </w:rPr>
        <w:t>generated a movement to rewrite legal documents in "plain English</w:t>
      </w:r>
      <w:r w:rsidRPr="00066736">
        <w:rPr>
          <w:sz w:val="10"/>
          <w:szCs w:val="16"/>
        </w:rPr>
        <w:t xml:space="preserve">." </w:t>
      </w:r>
      <w:r w:rsidRPr="00066736">
        <w:rPr>
          <w:rStyle w:val="StyleBoldUnderline"/>
          <w:sz w:val="20"/>
        </w:rPr>
        <w:t>At</w:t>
      </w:r>
      <w:r w:rsidRPr="00066736">
        <w:rPr>
          <w:sz w:val="10"/>
          <w:szCs w:val="16"/>
        </w:rPr>
        <w:t xml:space="preserve"> both the </w:t>
      </w:r>
      <w:r w:rsidRPr="00066736">
        <w:rPr>
          <w:rStyle w:val="StyleBoldUnderline"/>
          <w:sz w:val="20"/>
        </w:rPr>
        <w:t>federal and state levels</w:t>
      </w:r>
      <w:r w:rsidRPr="00066736">
        <w:rPr>
          <w:sz w:val="10"/>
          <w:szCs w:val="16"/>
        </w:rPr>
        <w:t xml:space="preserve">, </w:t>
      </w:r>
      <w:r w:rsidRPr="00066736">
        <w:rPr>
          <w:rStyle w:val="StyleBoldUnderline"/>
          <w:sz w:val="20"/>
        </w:rPr>
        <w:t>laws have been enacted</w:t>
      </w:r>
      <w:r w:rsidRPr="00066736">
        <w:rPr>
          <w:sz w:val="10"/>
          <w:szCs w:val="16"/>
        </w:rPr>
        <w:t xml:space="preserve"> and regulations issued, </w:t>
      </w:r>
      <w:r w:rsidRPr="00066736">
        <w:rPr>
          <w:rStyle w:val="StyleBoldUnderline"/>
          <w:sz w:val="20"/>
        </w:rPr>
        <w:t>requiring that</w:t>
      </w:r>
      <w:r w:rsidRPr="00066736">
        <w:rPr>
          <w:sz w:val="10"/>
          <w:szCs w:val="16"/>
        </w:rPr>
        <w:t xml:space="preserve"> automobile insurance policies, warranties, and other</w:t>
      </w:r>
      <w:r w:rsidRPr="00066736">
        <w:rPr>
          <w:rStyle w:val="StyleBoldUnderline"/>
          <w:sz w:val="20"/>
        </w:rPr>
        <w:t xml:space="preserve"> legal instruments be written in language that is clear and understandable to the average person</w:t>
      </w:r>
      <w:r w:rsidRPr="00066736">
        <w:rPr>
          <w:sz w:val="10"/>
          <w:szCs w:val="16"/>
        </w:rPr>
        <w:t xml:space="preserve">.2 Many of </w:t>
      </w:r>
      <w:r w:rsidRPr="00066736">
        <w:rPr>
          <w:rStyle w:val="StyleBoldUnderline"/>
          <w:sz w:val="20"/>
        </w:rPr>
        <w:t>these efforts have been greeted with</w:t>
      </w:r>
      <w:r w:rsidRPr="00066736">
        <w:rPr>
          <w:sz w:val="10"/>
          <w:szCs w:val="16"/>
        </w:rPr>
        <w:t xml:space="preserve"> loud </w:t>
      </w:r>
      <w:r w:rsidRPr="00066736">
        <w:rPr>
          <w:rStyle w:val="StyleBoldUnderline"/>
          <w:sz w:val="20"/>
        </w:rPr>
        <w:t>praise</w:t>
      </w:r>
      <w:r w:rsidRPr="00066736">
        <w:rPr>
          <w:sz w:val="10"/>
          <w:szCs w:val="16"/>
        </w:rPr>
        <w:t xml:space="preserve"> </w:t>
      </w:r>
      <w:r w:rsidRPr="00066736">
        <w:rPr>
          <w:rStyle w:val="StyleBoldUnderline"/>
          <w:sz w:val="20"/>
        </w:rPr>
        <w:t>and</w:t>
      </w:r>
      <w:r w:rsidRPr="00066736">
        <w:rPr>
          <w:sz w:val="10"/>
          <w:szCs w:val="16"/>
        </w:rPr>
        <w:t xml:space="preserve"> with </w:t>
      </w:r>
      <w:r w:rsidRPr="00066736">
        <w:rPr>
          <w:rStyle w:val="StyleBoldUnderline"/>
          <w:sz w:val="20"/>
        </w:rPr>
        <w:t>confidence that rewriting will alleviate all comprehension problems</w:t>
      </w:r>
      <w:r w:rsidRPr="00066736">
        <w:rPr>
          <w:sz w:val="10"/>
          <w:szCs w:val="16"/>
        </w:rPr>
        <w:t xml:space="preserve">. But there are major issues that have not been addressed.3 For one thing, although it is assumed that all "legalese" is incomprehensible, there is no real data, aside from anecdotes, to support this asumption or to elucidate the exact nature of the problem. There is no empirical evidence of the extent to which legal language is not understood, nor is there any data regarding those segments of the population-aside from lawyers and bureau- crats-that may not have problems comprehending legalese.4 As for the rewriting of legalese into "plain English," there are no criteria for determining what constitutes "plain English," and no empirically determined rules for rewriting. Instead, there has been a reliance on such makeshift or invalid devices as readability formulas,5 </w:t>
      </w:r>
      <w:r w:rsidRPr="00066736">
        <w:rPr>
          <w:rStyle w:val="StyleBoldUnderline"/>
          <w:sz w:val="20"/>
        </w:rPr>
        <w:t>frequency dictionaries and "commonsense</w:t>
      </w:r>
      <w:r w:rsidRPr="00066736">
        <w:rPr>
          <w:sz w:val="10"/>
          <w:szCs w:val="16"/>
        </w:rPr>
        <w:t xml:space="preserve">"-although not necessarily accurate-grammatical </w:t>
      </w:r>
      <w:r w:rsidRPr="00066736">
        <w:rPr>
          <w:rStyle w:val="StyleBoldUnderline"/>
          <w:sz w:val="20"/>
        </w:rPr>
        <w:t>rules of thumb</w:t>
      </w:r>
      <w:r w:rsidRPr="00066736">
        <w:rPr>
          <w:sz w:val="10"/>
          <w:szCs w:val="16"/>
        </w:rPr>
        <w:t xml:space="preserve">. Moreover, while the questions of what is "plain English" and what is "clear and understandable" will undoubtedly stimulate a flurry of litigation, the courts, at this time, appear to be ill-prepared to grapple with such questions. They lack the linguistic expertise and the necessary empirical tools to make sound determinations concerning clarity or comprehensibility.6 </w:t>
      </w:r>
      <w:r w:rsidRPr="00066736">
        <w:rPr>
          <w:rStyle w:val="StyleBoldUnderline"/>
          <w:sz w:val="20"/>
        </w:rPr>
        <w:t>This Article presents the results of the first empirical, objective linguistic study of the comprehensibility of one type of legal language-standard jury instructions</w:t>
      </w:r>
      <w:r w:rsidRPr="00066736">
        <w:rPr>
          <w:sz w:val="10"/>
          <w:szCs w:val="16"/>
        </w:rPr>
        <w:t xml:space="preserve">. We have not merely attempted here to demonstrate that jury instructions are inadequately understood; we have also attempted to isolate those linguistic features typical of this brand of </w:t>
      </w:r>
      <w:r w:rsidRPr="00066736">
        <w:rPr>
          <w:rStyle w:val="StyleBoldUnderline"/>
          <w:sz w:val="20"/>
        </w:rPr>
        <w:t>legalese-aspects</w:t>
      </w:r>
      <w:r w:rsidRPr="00066736">
        <w:rPr>
          <w:sz w:val="10"/>
          <w:szCs w:val="16"/>
        </w:rPr>
        <w:t xml:space="preserve"> of legal grammar, semantics, vocabulary, and discourse structure-that </w:t>
      </w:r>
      <w:r w:rsidRPr="00066736">
        <w:rPr>
          <w:rStyle w:val="StyleBoldUnderline"/>
          <w:sz w:val="20"/>
        </w:rPr>
        <w:t>cause the comprehension problems</w:t>
      </w:r>
      <w:r w:rsidRPr="00066736">
        <w:rPr>
          <w:sz w:val="10"/>
          <w:szCs w:val="16"/>
        </w:rPr>
        <w:t xml:space="preserve">. </w:t>
      </w:r>
      <w:r w:rsidRPr="00066736">
        <w:rPr>
          <w:rStyle w:val="StyleBoldUnderline"/>
          <w:sz w:val="20"/>
        </w:rPr>
        <w:t>We</w:t>
      </w:r>
      <w:r w:rsidRPr="00066736">
        <w:rPr>
          <w:sz w:val="10"/>
          <w:szCs w:val="16"/>
        </w:rPr>
        <w:t xml:space="preserve"> </w:t>
      </w:r>
      <w:r w:rsidRPr="00066736">
        <w:rPr>
          <w:rStyle w:val="StyleBoldUnderline"/>
          <w:sz w:val="20"/>
        </w:rPr>
        <w:t>have then used this knowledge to rewrite jury instructions in a systematic fashion, and have empirically verified that such rewriting can yield positive results.</w:t>
      </w:r>
      <w:r w:rsidRPr="00066736">
        <w:rPr>
          <w:sz w:val="10"/>
          <w:szCs w:val="16"/>
        </w:rPr>
        <w:t xml:space="preserve"> </w:t>
      </w:r>
      <w:r w:rsidRPr="00066736">
        <w:rPr>
          <w:rStyle w:val="StyleBoldUnderline"/>
          <w:sz w:val="20"/>
        </w:rPr>
        <w:t>Most importantly, we have formulated an empirical psycholinguistic methodology that can be used by courts, legislatures, regulatory agencies, and the private sector to determine whether or not a document is comprehensible</w:t>
      </w:r>
      <w:r w:rsidRPr="00066736">
        <w:rPr>
          <w:sz w:val="10"/>
          <w:szCs w:val="16"/>
        </w:rPr>
        <w:t xml:space="preserve"> to the intended audience. The proposed methodology, when properly applied, can provide insight into the linguistic reasons underlying specific comprehension problems.7</w:t>
      </w:r>
    </w:p>
    <w:p w14:paraId="7E8CEC97" w14:textId="77777777" w:rsidR="001E0A77" w:rsidRPr="00066736" w:rsidRDefault="001E0A77" w:rsidP="001E0A77">
      <w:pPr>
        <w:pStyle w:val="Heading4"/>
        <w:rPr>
          <w:sz w:val="24"/>
        </w:rPr>
      </w:pPr>
      <w:r w:rsidRPr="00066736">
        <w:rPr>
          <w:sz w:val="24"/>
        </w:rPr>
        <w:t>Dictionary definitions are misused when making precise arguments – similar words with ambiguity between them changes how the words are used.</w:t>
      </w:r>
    </w:p>
    <w:p w14:paraId="7F5D5077" w14:textId="77777777" w:rsidR="001E0A77" w:rsidRPr="00066736" w:rsidRDefault="001E0A77" w:rsidP="001E0A77">
      <w:pPr>
        <w:rPr>
          <w:sz w:val="14"/>
          <w:szCs w:val="16"/>
        </w:rPr>
      </w:pPr>
      <w:r w:rsidRPr="00066736">
        <w:rPr>
          <w:rStyle w:val="StyleStyleBold12pt"/>
        </w:rPr>
        <w:t>Solan, 93</w:t>
      </w:r>
      <w:r w:rsidRPr="00066736">
        <w:rPr>
          <w:sz w:val="14"/>
          <w:szCs w:val="16"/>
        </w:rPr>
        <w:t>, (Lawrence Solan, professor at Brooklyn Law School law degree and a Ph.D. in linguistics, American Speech, Vol. 68, No. 1 (Spring, 1993), pp. 50-57, JSTOR, //LOH)</w:t>
      </w:r>
    </w:p>
    <w:p w14:paraId="39E4EFEC" w14:textId="77777777" w:rsidR="001E0A77" w:rsidRPr="00066736" w:rsidRDefault="001E0A77" w:rsidP="001E0A77">
      <w:pPr>
        <w:rPr>
          <w:sz w:val="20"/>
          <w:u w:val="single"/>
        </w:rPr>
      </w:pPr>
      <w:r w:rsidRPr="00066736">
        <w:rPr>
          <w:sz w:val="10"/>
          <w:szCs w:val="16"/>
        </w:rPr>
        <w:t xml:space="preserve">First, </w:t>
      </w:r>
      <w:r w:rsidRPr="00066736">
        <w:rPr>
          <w:rStyle w:val="StyleBoldUnderline"/>
          <w:sz w:val="20"/>
        </w:rPr>
        <w:t>words denote concepts, and concepts are fuzzy at the margins.</w:t>
      </w:r>
      <w:r w:rsidRPr="00066736">
        <w:rPr>
          <w:sz w:val="10"/>
          <w:szCs w:val="16"/>
        </w:rPr>
        <w:t xml:space="preserve"> Philosophers and cognitive psychologists have their favorite examples: </w:t>
      </w:r>
      <w:r w:rsidRPr="00066736">
        <w:rPr>
          <w:rStyle w:val="StyleBoldUnderline"/>
          <w:sz w:val="20"/>
        </w:rPr>
        <w:t>When does a hill become a mountain</w:t>
      </w:r>
      <w:r w:rsidRPr="00066736">
        <w:rPr>
          <w:sz w:val="10"/>
          <w:szCs w:val="16"/>
        </w:rPr>
        <w:t xml:space="preserve">? On a continuum of shapes, </w:t>
      </w:r>
      <w:r w:rsidRPr="00066736">
        <w:rPr>
          <w:rStyle w:val="StyleBoldUnderline"/>
          <w:sz w:val="20"/>
        </w:rPr>
        <w:t>when does a cup become a bowl</w:t>
      </w:r>
      <w:r w:rsidRPr="00066736">
        <w:rPr>
          <w:sz w:val="10"/>
          <w:szCs w:val="16"/>
        </w:rPr>
        <w:t xml:space="preserve">?-and many others. </w:t>
      </w:r>
      <w:r w:rsidRPr="00066736">
        <w:rPr>
          <w:rStyle w:val="StyleBoldUnderline"/>
          <w:sz w:val="20"/>
        </w:rPr>
        <w:t>When we ask people to Come here, how close do they have to be before they</w:t>
      </w:r>
      <w:r w:rsidRPr="00066736">
        <w:rPr>
          <w:sz w:val="10"/>
          <w:szCs w:val="16"/>
        </w:rPr>
        <w:t xml:space="preserve"> have </w:t>
      </w:r>
      <w:r w:rsidRPr="00066736">
        <w:rPr>
          <w:rStyle w:val="StyleBoldUnderline"/>
          <w:sz w:val="20"/>
        </w:rPr>
        <w:t>reach</w:t>
      </w:r>
      <w:r w:rsidRPr="00066736">
        <w:rPr>
          <w:sz w:val="10"/>
          <w:szCs w:val="16"/>
        </w:rPr>
        <w:t xml:space="preserve">ed the state of </w:t>
      </w:r>
      <w:r w:rsidRPr="00066736">
        <w:rPr>
          <w:rStyle w:val="StyleBoldUnderline"/>
          <w:sz w:val="20"/>
        </w:rPr>
        <w:t>herehood</w:t>
      </w:r>
      <w:r w:rsidRPr="00066736">
        <w:rPr>
          <w:sz w:val="10"/>
          <w:szCs w:val="16"/>
        </w:rPr>
        <w:t>?3 T</w:t>
      </w:r>
      <w:r w:rsidRPr="00066736">
        <w:rPr>
          <w:rStyle w:val="StyleBoldUnderline"/>
          <w:sz w:val="20"/>
        </w:rPr>
        <w:t>his is no doubt a very complicated question</w:t>
      </w:r>
      <w:r w:rsidRPr="00066736">
        <w:rPr>
          <w:sz w:val="10"/>
          <w:szCs w:val="16"/>
        </w:rPr>
        <w:t xml:space="preserve">, which depends on context and on many other factors that are not readily accessible. </w:t>
      </w:r>
      <w:r w:rsidRPr="00066736">
        <w:rPr>
          <w:rStyle w:val="StyleBoldUnderline"/>
          <w:sz w:val="20"/>
        </w:rPr>
        <w:t>Compare Come here spoken to a friend in Europe to Come here spoken to a misbehaving child across the room</w:t>
      </w:r>
      <w:r w:rsidRPr="00066736">
        <w:rPr>
          <w:sz w:val="10"/>
          <w:szCs w:val="16"/>
        </w:rPr>
        <w:t xml:space="preserve">. </w:t>
      </w:r>
      <w:r w:rsidRPr="00066736">
        <w:rPr>
          <w:rStyle w:val="StyleBoldUnderline"/>
          <w:sz w:val="20"/>
        </w:rPr>
        <w:t>In both instances there will be a range within which the hearer can be said to have 'come here'</w:t>
      </w:r>
      <w:r w:rsidRPr="00066736">
        <w:rPr>
          <w:sz w:val="10"/>
          <w:szCs w:val="16"/>
        </w:rPr>
        <w:t xml:space="preserve">, </w:t>
      </w:r>
      <w:r w:rsidRPr="00066736">
        <w:rPr>
          <w:rStyle w:val="StyleBoldUnderline"/>
          <w:sz w:val="20"/>
        </w:rPr>
        <w:t>although that range is very different in the two different cases</w:t>
      </w:r>
      <w:r w:rsidRPr="00066736">
        <w:rPr>
          <w:sz w:val="10"/>
          <w:szCs w:val="16"/>
        </w:rPr>
        <w:t xml:space="preserve">. Webster's Ninth New Collegiate Dictionary defines here as "in or at this place," which is really of no help in solving the problem of fuzziness at the margin. Nor can it be. This leads to the second point about our knowledge of words. </w:t>
      </w:r>
      <w:r w:rsidRPr="00066736">
        <w:rPr>
          <w:rStyle w:val="StyleBoldUnderline"/>
          <w:sz w:val="20"/>
        </w:rPr>
        <w:t>Not only do concepts become fuzzy</w:t>
      </w:r>
      <w:r w:rsidRPr="00066736">
        <w:rPr>
          <w:sz w:val="10"/>
          <w:szCs w:val="16"/>
        </w:rPr>
        <w:t xml:space="preserve"> at the margins, </w:t>
      </w:r>
      <w:r w:rsidRPr="00066736">
        <w:rPr>
          <w:rStyle w:val="StyleBoldUnderline"/>
          <w:sz w:val="20"/>
        </w:rPr>
        <w:t>but the necessary and sufficient conditions for membership in a category</w:t>
      </w:r>
      <w:r w:rsidRPr="00066736">
        <w:rPr>
          <w:sz w:val="10"/>
          <w:szCs w:val="16"/>
        </w:rPr>
        <w:t xml:space="preserve"> denoted by a word </w:t>
      </w:r>
      <w:r w:rsidRPr="00066736">
        <w:rPr>
          <w:rStyle w:val="StyleBoldUnderline"/>
          <w:sz w:val="20"/>
        </w:rPr>
        <w:t>are not readily accessible by intuition</w:t>
      </w:r>
      <w:r w:rsidRPr="00066736">
        <w:rPr>
          <w:sz w:val="10"/>
          <w:szCs w:val="16"/>
        </w:rPr>
        <w:t xml:space="preserve"> (see Jackendoff 1983). The best-known example of this phenomenon in the literature is Wittgenstein's discussion of the word game (1953, 31-32). </w:t>
      </w:r>
      <w:r w:rsidRPr="00066736">
        <w:rPr>
          <w:rStyle w:val="StyleBoldUnderline"/>
          <w:sz w:val="20"/>
        </w:rPr>
        <w:t>If you were to ask me whether tennis is a game, I would confidently answer that it is. But if you were to ask me what a game is, I would have to answer that I am not really able to answer the question intelligently</w:t>
      </w:r>
      <w:r w:rsidRPr="00066736">
        <w:rPr>
          <w:sz w:val="10"/>
          <w:szCs w:val="16"/>
        </w:rPr>
        <w:t xml:space="preserve">. </w:t>
      </w:r>
      <w:r w:rsidRPr="00066736">
        <w:rPr>
          <w:rStyle w:val="StyleBoldUnderline"/>
          <w:sz w:val="20"/>
        </w:rPr>
        <w:t>Neither do I</w:t>
      </w:r>
      <w:r w:rsidRPr="00066736">
        <w:rPr>
          <w:sz w:val="10"/>
          <w:szCs w:val="16"/>
        </w:rPr>
        <w:t xml:space="preserve">, for that matter, </w:t>
      </w:r>
      <w:r w:rsidRPr="00066736">
        <w:rPr>
          <w:rStyle w:val="StyleBoldUnderline"/>
          <w:sz w:val="20"/>
        </w:rPr>
        <w:t>know how to say what makes a fox a fox, a bed a bed, a tree a tree, and so on</w:t>
      </w:r>
      <w:r w:rsidRPr="00066736">
        <w:rPr>
          <w:sz w:val="10"/>
          <w:szCs w:val="16"/>
        </w:rPr>
        <w:t xml:space="preserve">. </w:t>
      </w:r>
      <w:r w:rsidRPr="00066736">
        <w:rPr>
          <w:rStyle w:val="StyleBoldUnderline"/>
          <w:sz w:val="20"/>
        </w:rPr>
        <w:t>The</w:t>
      </w:r>
      <w:r w:rsidRPr="00066736">
        <w:rPr>
          <w:sz w:val="10"/>
          <w:szCs w:val="16"/>
        </w:rPr>
        <w:t xml:space="preserve"> business of the </w:t>
      </w:r>
      <w:r w:rsidRPr="00066736">
        <w:rPr>
          <w:rStyle w:val="StyleBoldUnderline"/>
          <w:sz w:val="20"/>
        </w:rPr>
        <w:t>lexicographer</w:t>
      </w:r>
      <w:r w:rsidRPr="00066736">
        <w:rPr>
          <w:sz w:val="10"/>
          <w:szCs w:val="16"/>
        </w:rPr>
        <w:t xml:space="preserve"> </w:t>
      </w:r>
      <w:r w:rsidRPr="00066736">
        <w:rPr>
          <w:rStyle w:val="StyleBoldUnderline"/>
          <w:sz w:val="20"/>
        </w:rPr>
        <w:t>is to try</w:t>
      </w:r>
      <w:r w:rsidRPr="00066736">
        <w:rPr>
          <w:sz w:val="10"/>
          <w:szCs w:val="16"/>
        </w:rPr>
        <w:t xml:space="preserve">, in a few lines, to do what I just said cannot be done: </w:t>
      </w:r>
      <w:r w:rsidRPr="00066736">
        <w:rPr>
          <w:rStyle w:val="StyleBoldUnderline"/>
          <w:sz w:val="20"/>
        </w:rPr>
        <w:t>to describe the necessary and sufficient conditions for membership in a conceptual category</w:t>
      </w:r>
      <w:r w:rsidRPr="00066736">
        <w:rPr>
          <w:sz w:val="10"/>
          <w:szCs w:val="16"/>
        </w:rPr>
        <w:t xml:space="preserve"> based on examples of the word's usage in the past. </w:t>
      </w:r>
      <w:r w:rsidRPr="00066736">
        <w:rPr>
          <w:rStyle w:val="StyleBoldUnderline"/>
          <w:sz w:val="20"/>
        </w:rPr>
        <w:t>To the lexicographer, the limitation of space is a very important issue</w:t>
      </w:r>
      <w:r w:rsidRPr="00066736">
        <w:rPr>
          <w:sz w:val="10"/>
          <w:szCs w:val="16"/>
        </w:rPr>
        <w:t xml:space="preserve">.4 Inevitably, </w:t>
      </w:r>
      <w:r w:rsidRPr="00066736">
        <w:rPr>
          <w:rStyle w:val="StyleBoldUnderline"/>
          <w:sz w:val="20"/>
        </w:rPr>
        <w:t>the lexicographer's success will only be partial, even in the best dictionaries</w:t>
      </w:r>
      <w:r w:rsidRPr="00066736">
        <w:rPr>
          <w:sz w:val="10"/>
          <w:szCs w:val="16"/>
        </w:rPr>
        <w:t xml:space="preserve">. </w:t>
      </w:r>
      <w:r w:rsidRPr="00066736">
        <w:rPr>
          <w:rStyle w:val="StyleBoldUnderline"/>
          <w:sz w:val="20"/>
        </w:rPr>
        <w:t>The problems of fuzziness at the margins and inaccessibility of the necessary and sufficient conditions to membership in a conceptual class conspire to set limits on what a lexicographer can accomplish</w:t>
      </w:r>
      <w:r w:rsidRPr="00066736">
        <w:rPr>
          <w:sz w:val="10"/>
          <w:szCs w:val="16"/>
        </w:rPr>
        <w:t xml:space="preserve">. I do not mean by this to imply anything negative at all about lexicographers or their art. </w:t>
      </w:r>
      <w:r w:rsidRPr="00066736">
        <w:rPr>
          <w:rStyle w:val="StyleBoldUnderline"/>
          <w:sz w:val="20"/>
        </w:rPr>
        <w:t>Dictionaries</w:t>
      </w:r>
      <w:r w:rsidRPr="00066736">
        <w:rPr>
          <w:sz w:val="10"/>
          <w:szCs w:val="16"/>
        </w:rPr>
        <w:t xml:space="preserve">, at least nontechnical ones, </w:t>
      </w:r>
      <w:r w:rsidRPr="00066736">
        <w:rPr>
          <w:rStyle w:val="StyleBoldUnderline"/>
          <w:sz w:val="20"/>
        </w:rPr>
        <w:t>appear to be directed toward potential users</w:t>
      </w:r>
      <w:r w:rsidRPr="00066736">
        <w:rPr>
          <w:sz w:val="10"/>
          <w:szCs w:val="16"/>
        </w:rPr>
        <w:t xml:space="preserve"> </w:t>
      </w:r>
      <w:r w:rsidRPr="00066736">
        <w:rPr>
          <w:rStyle w:val="StyleBoldUnderline"/>
          <w:sz w:val="20"/>
        </w:rPr>
        <w:t>who come across a word</w:t>
      </w:r>
      <w:r w:rsidRPr="00066736">
        <w:rPr>
          <w:sz w:val="10"/>
          <w:szCs w:val="16"/>
        </w:rPr>
        <w:t xml:space="preserve"> whose meaning or spelling </w:t>
      </w:r>
      <w:r w:rsidRPr="00066736">
        <w:rPr>
          <w:rStyle w:val="StyleBoldUnderline"/>
          <w:sz w:val="20"/>
        </w:rPr>
        <w:t>they do not know</w:t>
      </w:r>
      <w:r w:rsidRPr="00066736">
        <w:rPr>
          <w:sz w:val="10"/>
          <w:szCs w:val="16"/>
        </w:rPr>
        <w:t xml:space="preserve">. </w:t>
      </w:r>
      <w:r w:rsidRPr="00066736">
        <w:rPr>
          <w:rStyle w:val="StyleBoldUnderline"/>
          <w:sz w:val="20"/>
        </w:rPr>
        <w:t>No one would look up</w:t>
      </w:r>
      <w:r w:rsidRPr="00066736">
        <w:rPr>
          <w:sz w:val="10"/>
          <w:szCs w:val="16"/>
        </w:rPr>
        <w:t xml:space="preserve"> here in the dictionary to find out </w:t>
      </w:r>
      <w:r w:rsidRPr="00066736">
        <w:rPr>
          <w:rStyle w:val="StyleBoldUnderline"/>
          <w:sz w:val="20"/>
        </w:rPr>
        <w:t>whether a Belgian</w:t>
      </w:r>
      <w:r w:rsidRPr="00066736">
        <w:rPr>
          <w:sz w:val="10"/>
          <w:szCs w:val="16"/>
        </w:rPr>
        <w:t xml:space="preserve"> friend </w:t>
      </w:r>
      <w:r w:rsidRPr="00066736">
        <w:rPr>
          <w:rStyle w:val="StyleBoldUnderline"/>
          <w:sz w:val="20"/>
        </w:rPr>
        <w:t>traveling to Philadelphia</w:t>
      </w:r>
      <w:r w:rsidRPr="00066736">
        <w:rPr>
          <w:sz w:val="10"/>
          <w:szCs w:val="16"/>
        </w:rPr>
        <w:t xml:space="preserve"> has honored my request when I asked him from my office </w:t>
      </w:r>
      <w:r w:rsidRPr="00066736">
        <w:rPr>
          <w:rStyle w:val="StyleBoldUnderline"/>
          <w:sz w:val="20"/>
        </w:rPr>
        <w:t>in New York to Come here</w:t>
      </w:r>
      <w:r w:rsidRPr="00066736">
        <w:rPr>
          <w:sz w:val="10"/>
          <w:szCs w:val="16"/>
        </w:rPr>
        <w:t xml:space="preserve">. Returning to the Chapman case, the discussion thus far points to a single conclusion: the majority opinion in the Supreme Court has misused the dictionary. </w:t>
      </w:r>
      <w:r w:rsidRPr="00066736">
        <w:rPr>
          <w:rStyle w:val="StyleBoldUnderline"/>
          <w:sz w:val="20"/>
        </w:rPr>
        <w:t>There is nothing wrong with the dictionary definition of mixture</w:t>
      </w:r>
      <w:r w:rsidRPr="00066736">
        <w:rPr>
          <w:sz w:val="10"/>
          <w:szCs w:val="16"/>
        </w:rPr>
        <w:t xml:space="preserve">, as far as I can see, </w:t>
      </w:r>
      <w:r w:rsidRPr="00066736">
        <w:rPr>
          <w:rStyle w:val="StyleBoldUnderline"/>
          <w:sz w:val="20"/>
        </w:rPr>
        <w:t>so long as we do not pretend that everything that meets the conditions set forth in the definition</w:t>
      </w:r>
      <w:r w:rsidRPr="00066736">
        <w:rPr>
          <w:sz w:val="10"/>
          <w:szCs w:val="16"/>
        </w:rPr>
        <w:t xml:space="preserve"> is a mixture and everything that does not meet these conditions is not a mixture. Rather, th</w:t>
      </w:r>
      <w:r w:rsidRPr="00066736">
        <w:rPr>
          <w:rStyle w:val="StyleBoldUnderline"/>
          <w:sz w:val="20"/>
        </w:rPr>
        <w:t xml:space="preserve">e dictionary entry should be seen as a </w:t>
      </w:r>
      <w:r w:rsidRPr="00066736">
        <w:rPr>
          <w:sz w:val="10"/>
          <w:szCs w:val="16"/>
        </w:rPr>
        <w:t xml:space="preserve">decent </w:t>
      </w:r>
      <w:r w:rsidRPr="00066736">
        <w:rPr>
          <w:rStyle w:val="StyleBoldUnderline"/>
          <w:sz w:val="20"/>
        </w:rPr>
        <w:t>two-line approximation of the word's meaning</w:t>
      </w:r>
      <w:r w:rsidRPr="00066736">
        <w:rPr>
          <w:sz w:val="10"/>
          <w:szCs w:val="16"/>
        </w:rPr>
        <w:t xml:space="preserve">, which is just what the lexicographer intended to accomplish. </w:t>
      </w:r>
      <w:r w:rsidRPr="00066736">
        <w:rPr>
          <w:rStyle w:val="StyleBoldUnderline"/>
          <w:sz w:val="20"/>
        </w:rPr>
        <w:t>It does not capture all that we, as native speakers of English, know about the word.</w:t>
      </w:r>
    </w:p>
    <w:p w14:paraId="1ED512F8" w14:textId="77777777" w:rsidR="001E0A77" w:rsidRPr="00066736" w:rsidRDefault="001E0A77" w:rsidP="001E0A77">
      <w:pPr>
        <w:rPr>
          <w:sz w:val="20"/>
          <w:u w:val="single"/>
        </w:rPr>
      </w:pPr>
    </w:p>
    <w:p w14:paraId="5563B50C" w14:textId="77777777" w:rsidR="001E0A77" w:rsidRPr="00066736" w:rsidRDefault="001E0A77" w:rsidP="001E0A77">
      <w:pPr>
        <w:pStyle w:val="Heading4"/>
        <w:rPr>
          <w:sz w:val="24"/>
        </w:rPr>
      </w:pPr>
      <w:r w:rsidRPr="00066736">
        <w:rPr>
          <w:sz w:val="24"/>
        </w:rPr>
        <w:t>Precise definitions of education are nearly impossible</w:t>
      </w:r>
    </w:p>
    <w:p w14:paraId="6D255F41" w14:textId="77777777" w:rsidR="001E0A77" w:rsidRPr="00066736" w:rsidRDefault="001E0A77" w:rsidP="001E0A77">
      <w:pPr>
        <w:rPr>
          <w:sz w:val="14"/>
          <w:szCs w:val="16"/>
        </w:rPr>
      </w:pPr>
      <w:r w:rsidRPr="00066736">
        <w:rPr>
          <w:sz w:val="14"/>
          <w:szCs w:val="16"/>
        </w:rPr>
        <w:t xml:space="preserve">H.T.D. </w:t>
      </w:r>
      <w:r w:rsidRPr="00066736">
        <w:rPr>
          <w:rStyle w:val="StyleStyleBold12pt"/>
        </w:rPr>
        <w:t>Rost</w:t>
      </w:r>
      <w:r w:rsidRPr="00066736">
        <w:rPr>
          <w:sz w:val="14"/>
          <w:szCs w:val="16"/>
        </w:rPr>
        <w:t xml:space="preserve"> (Kenyatta University College, Faculty of Education, Nairobi, Kenya) </w:t>
      </w:r>
      <w:r w:rsidRPr="00066736">
        <w:rPr>
          <w:rStyle w:val="StyleStyleBold12pt"/>
        </w:rPr>
        <w:t>1979</w:t>
      </w:r>
      <w:r w:rsidRPr="00066736">
        <w:rPr>
          <w:sz w:val="14"/>
          <w:szCs w:val="16"/>
        </w:rPr>
        <w:t xml:space="preserve"> “The Magnificent Tangle That is Education” The Journal of Educational Thought (JET) / Revue de la Pensée Éducative, Vol. 13,No. 1 (April 1979), pp. 53-59, JSTOR</w:t>
      </w:r>
    </w:p>
    <w:p w14:paraId="4DC42EE8" w14:textId="77777777" w:rsidR="001E0A77" w:rsidRPr="00066736" w:rsidRDefault="001E0A77" w:rsidP="001E0A77">
      <w:pPr>
        <w:rPr>
          <w:sz w:val="10"/>
          <w:szCs w:val="16"/>
        </w:rPr>
      </w:pPr>
      <w:r w:rsidRPr="00066736">
        <w:rPr>
          <w:sz w:val="10"/>
          <w:szCs w:val="16"/>
        </w:rPr>
        <w:t xml:space="preserve">Upon investigation, </w:t>
      </w:r>
      <w:r w:rsidRPr="00066736">
        <w:rPr>
          <w:rStyle w:val="StyleBoldUnderline"/>
          <w:sz w:val="20"/>
        </w:rPr>
        <w:t>it becomes quickly apparent that what adds up to education today</w:t>
      </w:r>
      <w:r w:rsidRPr="00066736">
        <w:rPr>
          <w:sz w:val="10"/>
          <w:szCs w:val="16"/>
        </w:rPr>
        <w:t xml:space="preserve"> in various countries and societies </w:t>
      </w:r>
      <w:r w:rsidRPr="00066736">
        <w:rPr>
          <w:rStyle w:val="StyleBoldUnderline"/>
          <w:sz w:val="20"/>
        </w:rPr>
        <w:t>seems to be a bewildering jumble</w:t>
      </w:r>
      <w:r w:rsidRPr="00066736">
        <w:rPr>
          <w:sz w:val="10"/>
          <w:szCs w:val="16"/>
        </w:rPr>
        <w:t xml:space="preserve">. </w:t>
      </w:r>
      <w:r w:rsidRPr="00066736">
        <w:rPr>
          <w:rStyle w:val="StyleBoldUnderline"/>
          <w:sz w:val="20"/>
        </w:rPr>
        <w:t>The great variety of opinion and uncertainty in education is a reflection of the enormous variety of opinion and uncertainty about countless issues</w:t>
      </w:r>
      <w:r w:rsidRPr="00066736">
        <w:rPr>
          <w:sz w:val="10"/>
          <w:szCs w:val="16"/>
        </w:rPr>
        <w:t xml:space="preserve"> in general in the world. </w:t>
      </w:r>
      <w:r w:rsidRPr="00066736">
        <w:rPr>
          <w:rStyle w:val="StyleBoldUnderline"/>
          <w:sz w:val="20"/>
        </w:rPr>
        <w:t>Those who attempt to formulate "definitions of education" or concern themselves with "the meaning of education"</w:t>
      </w:r>
      <w:r w:rsidRPr="00066736">
        <w:rPr>
          <w:sz w:val="10"/>
          <w:szCs w:val="16"/>
        </w:rPr>
        <w:t xml:space="preserve"> or "the concept (or concepts) of education" or "the nature of education" </w:t>
      </w:r>
      <w:r w:rsidRPr="00066736">
        <w:rPr>
          <w:rStyle w:val="StyleBoldUnderline"/>
          <w:sz w:val="20"/>
        </w:rPr>
        <w:t>are faced with an uphill task</w:t>
      </w:r>
      <w:r w:rsidRPr="00066736">
        <w:rPr>
          <w:sz w:val="10"/>
          <w:szCs w:val="16"/>
        </w:rPr>
        <w:t xml:space="preserve">. To begin with, </w:t>
      </w:r>
      <w:r w:rsidRPr="00066736">
        <w:rPr>
          <w:rStyle w:val="StyleBoldUnderline"/>
          <w:sz w:val="20"/>
        </w:rPr>
        <w:t>there is a tendency in modern thought to distrust clear-cut definitions and precise meanings for a word like education. How can one attempt to compress into a sentence the core of all that may be understood by education?</w:t>
      </w:r>
      <w:r w:rsidRPr="00066736">
        <w:rPr>
          <w:sz w:val="10"/>
          <w:szCs w:val="16"/>
        </w:rPr>
        <w:t xml:space="preserve"> Nevertheless, </w:t>
      </w:r>
      <w:r w:rsidRPr="00066736">
        <w:rPr>
          <w:rStyle w:val="StyleBoldUnderline"/>
          <w:sz w:val="20"/>
        </w:rPr>
        <w:t>attempted definitions and explanations of the meaning of the word abound and proliferate. Some thinkers regard the word concept as almost meaningless</w:t>
      </w:r>
      <w:r w:rsidRPr="00066736">
        <w:rPr>
          <w:sz w:val="10"/>
          <w:szCs w:val="16"/>
        </w:rPr>
        <w:t>, concept being, to them, a fictitious entity,2 while others seem to use it with confidence, aware of what they feel is a fairly precise meaning. Many would look askance at the possibility of emerging with anything very concrete when perusing "the nature" of such a mysterious thing as education. After all, education is most frequently linked with man, and "the nature of man" is perhaps even more bewildering than "the nature of education." Yet others manfully pronounce their views on "the nature of education."</w:t>
      </w:r>
    </w:p>
    <w:p w14:paraId="4068B359" w14:textId="03883ACE" w:rsidR="001E0A77" w:rsidRPr="001E0A77" w:rsidRDefault="001E0A77" w:rsidP="001E0A77">
      <w:pPr>
        <w:pStyle w:val="Heading3"/>
        <w:rPr>
          <w:sz w:val="28"/>
        </w:rPr>
      </w:pPr>
      <w:r w:rsidRPr="00066736">
        <w:rPr>
          <w:sz w:val="28"/>
        </w:rPr>
        <w:t>Ordinary Meaning Good</w:t>
      </w:r>
    </w:p>
    <w:p w14:paraId="0BB5245E" w14:textId="77777777" w:rsidR="001E0A77" w:rsidRPr="00066736" w:rsidRDefault="001E0A77" w:rsidP="001E0A77">
      <w:pPr>
        <w:pStyle w:val="Heading4"/>
        <w:rPr>
          <w:sz w:val="24"/>
        </w:rPr>
      </w:pPr>
      <w:r w:rsidRPr="00066736">
        <w:rPr>
          <w:sz w:val="24"/>
        </w:rPr>
        <w:t>Using the ordinary meaning of words is vital to legal precision, effective communication and the rule of law – it’s the foundation of predictability</w:t>
      </w:r>
    </w:p>
    <w:p w14:paraId="3F40E51E" w14:textId="77777777" w:rsidR="001E0A77" w:rsidRPr="00066736" w:rsidRDefault="001E0A77" w:rsidP="001E0A77">
      <w:pPr>
        <w:rPr>
          <w:sz w:val="14"/>
          <w:szCs w:val="16"/>
        </w:rPr>
      </w:pPr>
      <w:r w:rsidRPr="00066736">
        <w:rPr>
          <w:b/>
          <w:sz w:val="20"/>
        </w:rPr>
        <w:t xml:space="preserve">Pregerson, 6 </w:t>
      </w:r>
      <w:r w:rsidRPr="00066736">
        <w:rPr>
          <w:sz w:val="14"/>
          <w:szCs w:val="16"/>
        </w:rPr>
        <w:t xml:space="preserve">– US Judge for the Court of Appeals for the Ninth Circuit (Harry, ARMANDO NAVARRO-LOPEZ, Petitioner, v. ALBERTO R. GONZALES, Attorney General, Respondent.  No. 04-70345  UNITED STATES COURT OF APPEALS FOR THE NINTH CIRCUIT  503 F.3d 1063; 2007 U.S. App. LEXIS 22312, 11/19, lexis) </w:t>
      </w:r>
    </w:p>
    <w:p w14:paraId="37A287DD" w14:textId="77777777" w:rsidR="001E0A77" w:rsidRPr="00066736" w:rsidRDefault="001E0A77" w:rsidP="001E0A77">
      <w:pPr>
        <w:rPr>
          <w:sz w:val="8"/>
        </w:rPr>
      </w:pPr>
      <w:r w:rsidRPr="00066736">
        <w:rPr>
          <w:sz w:val="8"/>
        </w:rPr>
        <w:t xml:space="preserve">Expanding these categories beyond recognition at the expense of </w:t>
      </w:r>
      <w:r w:rsidRPr="00066736">
        <w:rPr>
          <w:sz w:val="20"/>
          <w:u w:val="single"/>
        </w:rPr>
        <w:t>depriving</w:t>
      </w:r>
      <w:r w:rsidRPr="00066736">
        <w:rPr>
          <w:sz w:val="8"/>
        </w:rPr>
        <w:t xml:space="preserve"> common </w:t>
      </w:r>
      <w:r w:rsidRPr="00066736">
        <w:rPr>
          <w:sz w:val="20"/>
          <w:u w:val="single"/>
        </w:rPr>
        <w:t>words</w:t>
      </w:r>
      <w:r w:rsidRPr="00066736">
        <w:rPr>
          <w:sz w:val="8"/>
        </w:rPr>
        <w:t xml:space="preserve"> like "felony" and "violence" </w:t>
      </w:r>
      <w:r w:rsidRPr="00066736">
        <w:rPr>
          <w:sz w:val="20"/>
          <w:u w:val="single"/>
        </w:rPr>
        <w:t xml:space="preserve">of their </w:t>
      </w:r>
      <w:r w:rsidRPr="00066736">
        <w:rPr>
          <w:rStyle w:val="hit"/>
          <w:sz w:val="8"/>
        </w:rPr>
        <w:t>ordinary meaning</w:t>
      </w:r>
      <w:r w:rsidRPr="00066736">
        <w:rPr>
          <w:sz w:val="20"/>
          <w:u w:val="single"/>
        </w:rPr>
        <w:t xml:space="preserve"> does a disservice to the law. In order for judges to apply laws and for citizens to obey them, words must have meanings that are consistent and </w:t>
      </w:r>
      <w:r w:rsidRPr="00066736">
        <w:rPr>
          <w:rStyle w:val="hit"/>
          <w:sz w:val="8"/>
        </w:rPr>
        <w:t>predictable.</w:t>
      </w:r>
      <w:r w:rsidRPr="00066736">
        <w:rPr>
          <w:sz w:val="20"/>
          <w:u w:val="single"/>
        </w:rPr>
        <w:t xml:space="preserve"> Precision in language is necessary not only for effective communication, but also for a well-functioning legal system</w:t>
      </w:r>
      <w:r w:rsidRPr="00066736">
        <w:rPr>
          <w:sz w:val="8"/>
        </w:rPr>
        <w:t xml:space="preserve">. </w:t>
      </w:r>
      <w:r w:rsidRPr="00066736">
        <w:rPr>
          <w:sz w:val="20"/>
          <w:u w:val="single"/>
        </w:rPr>
        <w:t>As guardians of the rule of law, we should be careful not to contribute to the deterioration of the English language, with the loss of respect for the law that inevitably results</w:t>
      </w:r>
      <w:r w:rsidRPr="00066736">
        <w:rPr>
          <w:sz w:val="8"/>
        </w:rPr>
        <w:t>.</w:t>
      </w:r>
    </w:p>
    <w:p w14:paraId="71430C90" w14:textId="77777777" w:rsidR="001E0A77" w:rsidRPr="00066736" w:rsidRDefault="001E0A77" w:rsidP="001E0A77">
      <w:pPr>
        <w:pStyle w:val="Heading4"/>
        <w:rPr>
          <w:sz w:val="24"/>
        </w:rPr>
      </w:pPr>
      <w:r w:rsidRPr="00066736">
        <w:rPr>
          <w:sz w:val="24"/>
        </w:rPr>
        <w:t>Ordinary meaning of words is vital to predictability</w:t>
      </w:r>
    </w:p>
    <w:p w14:paraId="3445E401" w14:textId="77777777" w:rsidR="001E0A77" w:rsidRPr="00066736" w:rsidRDefault="001E0A77" w:rsidP="001E0A77">
      <w:pPr>
        <w:rPr>
          <w:sz w:val="14"/>
          <w:szCs w:val="16"/>
        </w:rPr>
      </w:pPr>
      <w:r w:rsidRPr="00066736">
        <w:rPr>
          <w:b/>
          <w:sz w:val="20"/>
        </w:rPr>
        <w:t>Hill, 6</w:t>
      </w:r>
      <w:r w:rsidRPr="00066736">
        <w:rPr>
          <w:sz w:val="14"/>
          <w:szCs w:val="16"/>
        </w:rPr>
        <w:t xml:space="preserve"> – Judge, Supreme Court of Wyoming  (IN THE INTEREST OF ANO: SLB, Appellant (Petitioner), v. JEO, Appellee (Respondent).  No. C-05-13   SUPREME COURT OF WYOMING  2006 WY 74; 136 P.3d 797; 2006 Wyo. LEXIS 80, 6/23, lexis) </w:t>
      </w:r>
    </w:p>
    <w:p w14:paraId="7848BF38" w14:textId="77777777" w:rsidR="001E0A77" w:rsidRPr="00066736" w:rsidRDefault="001E0A77" w:rsidP="001E0A77">
      <w:pPr>
        <w:rPr>
          <w:sz w:val="8"/>
        </w:rPr>
      </w:pPr>
      <w:r w:rsidRPr="00066736">
        <w:rPr>
          <w:sz w:val="20"/>
          <w:u w:val="single"/>
        </w:rPr>
        <w:t>We look first to the plain and ordinary meaning of the words to determine if the statute is ambiguous.</w:t>
      </w:r>
      <w:r w:rsidRPr="00066736">
        <w:rPr>
          <w:sz w:val="8"/>
        </w:rPr>
        <w:t xml:space="preserve"> </w:t>
      </w:r>
      <w:r w:rsidRPr="00066736">
        <w:rPr>
          <w:sz w:val="20"/>
          <w:u w:val="single"/>
        </w:rPr>
        <w:t xml:space="preserve">A statute is clear and unambiguous if its wording is such that reasonable persons are able to agree on its meaning with consistency and predictability. </w:t>
      </w:r>
      <w:r w:rsidRPr="00066736">
        <w:rPr>
          <w:sz w:val="8"/>
        </w:rPr>
        <w:t>Conversely, a statute is ambiguous if it is found to be vague or uncertain and subject to varying interpretations. Ultimately, whether a statute is ambiguous is a matter of law to be determined by the court.</w:t>
      </w:r>
    </w:p>
    <w:p w14:paraId="19DCC4C7" w14:textId="77777777" w:rsidR="001E0A77" w:rsidRPr="00066736" w:rsidRDefault="001E0A77" w:rsidP="001E0A77">
      <w:pPr>
        <w:pStyle w:val="Heading4"/>
        <w:rPr>
          <w:sz w:val="24"/>
        </w:rPr>
      </w:pPr>
      <w:r w:rsidRPr="00066736">
        <w:rPr>
          <w:sz w:val="24"/>
        </w:rPr>
        <w:t>Ordinary meaning is the most predictable way to interpret the resolution</w:t>
      </w:r>
    </w:p>
    <w:p w14:paraId="4575BC77" w14:textId="77777777" w:rsidR="001E0A77" w:rsidRPr="00066736" w:rsidRDefault="001E0A77" w:rsidP="001E0A77">
      <w:pPr>
        <w:rPr>
          <w:sz w:val="14"/>
          <w:szCs w:val="16"/>
        </w:rPr>
      </w:pPr>
      <w:r w:rsidRPr="00066736">
        <w:rPr>
          <w:b/>
          <w:sz w:val="20"/>
        </w:rPr>
        <w:t>Kanne, 9</w:t>
      </w:r>
      <w:r w:rsidRPr="00066736">
        <w:rPr>
          <w:sz w:val="14"/>
          <w:szCs w:val="16"/>
        </w:rPr>
        <w:t xml:space="preserve"> – US Circuit Court Judge (CHARLES C. MIDDLETON, SR., Plaintiff-Appellant, v. CITY OF CHICAGO, Defendant-Appellee.  No. 08-2806  UNITED STATES COURT OF APPEALS FOR THE SEVENTH CIRCUIT  578 F.3d 655; 2009 U.S. App. LEXIS 18979; 186 L.R.R.M. 3465; 158 Lab. Cas. (CCH) P10,061; 92 Empl. Prac. Dec. (CCH) P43,662 </w:t>
      </w:r>
    </w:p>
    <w:p w14:paraId="50CC0795" w14:textId="77777777" w:rsidR="001E0A77" w:rsidRPr="00066736" w:rsidRDefault="001E0A77" w:rsidP="001E0A77">
      <w:pPr>
        <w:rPr>
          <w:sz w:val="8"/>
        </w:rPr>
      </w:pPr>
      <w:r w:rsidRPr="00066736">
        <w:rPr>
          <w:rStyle w:val="verdana"/>
          <w:sz w:val="8"/>
        </w:rPr>
        <w:t xml:space="preserve">At first blush, the answer to our question appears fairly straightforward. After all, </w:t>
      </w:r>
      <w:bookmarkStart w:id="5" w:name="clsccl6"/>
      <w:bookmarkEnd w:id="5"/>
      <w:r w:rsidRPr="00066736">
        <w:rPr>
          <w:rStyle w:val="verdana"/>
          <w:sz w:val="20"/>
          <w:u w:val="single"/>
        </w:rPr>
        <w:t xml:space="preserve">when </w:t>
      </w:r>
      <w:r w:rsidRPr="00066736">
        <w:rPr>
          <w:rStyle w:val="hit"/>
          <w:sz w:val="8"/>
        </w:rPr>
        <w:t>interpreting</w:t>
      </w:r>
      <w:r w:rsidRPr="00066736">
        <w:rPr>
          <w:rStyle w:val="verdana"/>
          <w:sz w:val="20"/>
          <w:u w:val="single"/>
        </w:rPr>
        <w:t xml:space="preserve"> </w:t>
      </w:r>
      <w:r w:rsidRPr="00066736">
        <w:rPr>
          <w:rStyle w:val="hit"/>
          <w:sz w:val="8"/>
        </w:rPr>
        <w:t>a statute,</w:t>
      </w:r>
      <w:r w:rsidRPr="00066736">
        <w:rPr>
          <w:rStyle w:val="verdana"/>
          <w:sz w:val="20"/>
          <w:u w:val="single"/>
        </w:rPr>
        <w:t xml:space="preserve"> we must begin with its text and assume "that </w:t>
      </w:r>
      <w:r w:rsidRPr="00066736">
        <w:rPr>
          <w:rStyle w:val="StyleBoldUnderline"/>
          <w:sz w:val="20"/>
        </w:rPr>
        <w:t>the ordinary meaning of</w:t>
      </w:r>
      <w:r w:rsidRPr="00066736">
        <w:rPr>
          <w:rStyle w:val="verdana"/>
          <w:sz w:val="20"/>
          <w:u w:val="single"/>
        </w:rPr>
        <w:t xml:space="preserve"> that language accurately expresses the legislative purpose</w:t>
      </w:r>
      <w:r w:rsidRPr="00066736">
        <w:rPr>
          <w:rStyle w:val="verdana"/>
          <w:sz w:val="8"/>
        </w:rPr>
        <w:t xml:space="preserve">." </w:t>
      </w:r>
      <w:bookmarkStart w:id="6" w:name="PAGE_5_1292"/>
      <w:bookmarkEnd w:id="6"/>
      <w:r w:rsidRPr="00066736">
        <w:rPr>
          <w:rStyle w:val="verdana"/>
          <w:sz w:val="8"/>
        </w:rPr>
        <w:t> [**5] </w:t>
      </w:r>
      <w:r w:rsidRPr="00066736">
        <w:rPr>
          <w:rStyle w:val="italic"/>
          <w:sz w:val="8"/>
        </w:rPr>
        <w:t>Engine Mfrs. Ass'n v. S. Coast Air Quality Mgmt. Dist</w:t>
      </w:r>
      <w:r w:rsidRPr="00066736">
        <w:rPr>
          <w:rStyle w:val="verdana"/>
          <w:sz w:val="8"/>
        </w:rPr>
        <w:t xml:space="preserve">., 541 U.S. 246, 252, 124 S. Ct. 1756, 158 L. Ed. 2d 529 (2004) (quotations omitted). </w:t>
      </w:r>
      <w:r w:rsidRPr="00066736">
        <w:rPr>
          <w:rStyle w:val="verdana"/>
          <w:sz w:val="20"/>
          <w:u w:val="single"/>
        </w:rPr>
        <w:t>Unless Congress expressed a clear intention to the contrary, a statute's language is conclusive</w:t>
      </w:r>
      <w:r w:rsidRPr="00066736">
        <w:rPr>
          <w:rStyle w:val="verdana"/>
          <w:sz w:val="8"/>
        </w:rPr>
        <w:t xml:space="preserve">. </w:t>
      </w:r>
      <w:r w:rsidRPr="00066736">
        <w:rPr>
          <w:rStyle w:val="italic"/>
          <w:sz w:val="8"/>
        </w:rPr>
        <w:t>Lamie v. U.S. Tr</w:t>
      </w:r>
      <w:r w:rsidRPr="00066736">
        <w:rPr>
          <w:rStyle w:val="verdana"/>
          <w:sz w:val="8"/>
        </w:rPr>
        <w:t xml:space="preserve">., 540 U.S. 526, 534, 124 S. Ct. 1023, 157 L. Ed. 2d 1024 (2004) ("It is well established that 'when the statute's language is plain, the sole function of the courts--at least where the disposition required by the text is not absurd--is to enforce it according to its terms.'" (quoting </w:t>
      </w:r>
      <w:r w:rsidRPr="00066736">
        <w:rPr>
          <w:rStyle w:val="italic"/>
          <w:sz w:val="8"/>
        </w:rPr>
        <w:t>Hartford Underwriters Ins. Co. v. Union Planters Bank, N.A</w:t>
      </w:r>
      <w:r w:rsidRPr="00066736">
        <w:rPr>
          <w:rStyle w:val="verdana"/>
          <w:sz w:val="8"/>
        </w:rPr>
        <w:t>., 530 U.S. 1, 6, 120 S. Ct. 1942, 147 L. Ed. 2d 1 (2000))). Simply applying the language of § 1658(a) to USERRA indicates that the latter was subject to the former: this is a civil action; USERRA is an act of Congress; it was enacted well after § 1658(a); and it did not "otherwise provide" for a different limitations period.</w:t>
      </w:r>
    </w:p>
    <w:p w14:paraId="05BE885B" w14:textId="77777777" w:rsidR="00BF4A03" w:rsidRDefault="00BF4A03" w:rsidP="00BF4A03"/>
    <w:p w14:paraId="49C3D960" w14:textId="4C1EBC64" w:rsidR="00E036EA" w:rsidRPr="00175877" w:rsidRDefault="00E036EA" w:rsidP="00754D3A">
      <w:pPr>
        <w:pStyle w:val="Heading2"/>
      </w:pPr>
      <w:r w:rsidRPr="00175877">
        <w:t>And/Or</w:t>
      </w:r>
      <w:r w:rsidR="00754D3A">
        <w:t>:</w:t>
      </w:r>
    </w:p>
    <w:p w14:paraId="79771947" w14:textId="77777777" w:rsidR="00E036EA" w:rsidRDefault="00E036EA" w:rsidP="00E036EA"/>
    <w:p w14:paraId="6911BE17" w14:textId="77777777" w:rsidR="00E036EA" w:rsidRPr="00175877" w:rsidRDefault="00E036EA" w:rsidP="00E036EA">
      <w:pPr>
        <w:pStyle w:val="Heading4"/>
      </w:pPr>
      <w:r w:rsidRPr="00175877">
        <w:t>One or the other or both</w:t>
      </w:r>
    </w:p>
    <w:p w14:paraId="68B65796" w14:textId="77777777" w:rsidR="00E036EA" w:rsidRPr="00175877" w:rsidRDefault="00E036EA" w:rsidP="00E036EA">
      <w:r w:rsidRPr="00175877">
        <w:rPr>
          <w:b/>
          <w:bCs/>
          <w:iCs/>
        </w:rPr>
        <w:t>Words and Phrases 7</w:t>
      </w:r>
      <w:r w:rsidRPr="00175877">
        <w:t xml:space="preserve"> (3A W&amp;P, p. 220)</w:t>
      </w:r>
    </w:p>
    <w:p w14:paraId="364B1086" w14:textId="77777777" w:rsidR="00E036EA" w:rsidRPr="003A6DE8" w:rsidRDefault="00E036EA" w:rsidP="00E036EA">
      <w:pPr>
        <w:rPr>
          <w:sz w:val="16"/>
        </w:rPr>
      </w:pPr>
      <w:r w:rsidRPr="003A6DE8">
        <w:rPr>
          <w:sz w:val="16"/>
        </w:rPr>
        <w:t xml:space="preserve">C.A.1 (Mass.) 1981. </w:t>
      </w:r>
      <w:r w:rsidRPr="00175877">
        <w:rPr>
          <w:rStyle w:val="TitleChar"/>
        </w:rPr>
        <w:t>Words “and/or,”</w:t>
      </w:r>
      <w:r w:rsidRPr="003A6DE8">
        <w:rPr>
          <w:sz w:val="16"/>
        </w:rPr>
        <w:t xml:space="preserve"> for contract purposes, </w:t>
      </w:r>
      <w:r w:rsidRPr="00175877">
        <w:rPr>
          <w:rStyle w:val="TitleChar"/>
        </w:rPr>
        <w:t>commonly mean the one or the other or both</w:t>
      </w:r>
      <w:r w:rsidRPr="003A6DE8">
        <w:rPr>
          <w:sz w:val="16"/>
        </w:rPr>
        <w:t>.—Local Division 589, Amalgameted Transit Union, AFL-CIO, CLC v. Com. Of Mass., 666 F.2d 618, certiorari denied Local Div. 589, Amalgamated Transit Union AFL-CIO v. Massachusetts, 102 S.Ct. 2928, 457 U.S. 1117, 73 L.Ed.2d 1329.—Contracts 159.</w:t>
      </w:r>
    </w:p>
    <w:p w14:paraId="78C5C842" w14:textId="77777777" w:rsidR="00E036EA" w:rsidRDefault="00E036EA" w:rsidP="00E036EA"/>
    <w:p w14:paraId="56A0752D" w14:textId="77777777" w:rsidR="00E036EA" w:rsidRPr="00175877" w:rsidRDefault="00E036EA" w:rsidP="00E036EA">
      <w:pPr>
        <w:pStyle w:val="Heading4"/>
      </w:pPr>
      <w:r w:rsidRPr="00175877">
        <w:t>And/or means one or the other or both</w:t>
      </w:r>
    </w:p>
    <w:p w14:paraId="64BC1A15" w14:textId="77777777" w:rsidR="00E036EA" w:rsidRPr="0078219C" w:rsidRDefault="00E036EA" w:rsidP="00E036EA">
      <w:pPr>
        <w:rPr>
          <w:rStyle w:val="TitleChar"/>
        </w:rPr>
      </w:pPr>
      <w:r w:rsidRPr="00175877">
        <w:rPr>
          <w:b/>
          <w:bCs/>
          <w:iCs/>
        </w:rPr>
        <w:t>Pullum 8</w:t>
      </w:r>
      <w:r w:rsidRPr="00175877">
        <w:t xml:space="preserve"> (Geoffrey K., Professor of General Linguistics – University of Edinburgh, “</w:t>
      </w:r>
      <w:hyperlink r:id="rId48" w:tooltip="Permanent link to And/or: " w:history="1">
        <w:r w:rsidRPr="00175877">
          <w:rPr>
            <w:rStyle w:val="Hyperlink"/>
          </w:rPr>
          <w:t>And/or: "and AND or", or "and OR or"?</w:t>
        </w:r>
      </w:hyperlink>
      <w:r w:rsidRPr="00175877">
        <w:t>”, Language Log, 4-14, http://languagelog.ldc.upenn.edu/nll/?p=35)</w:t>
      </w:r>
    </w:p>
    <w:p w14:paraId="1F41968F" w14:textId="77777777" w:rsidR="00E036EA" w:rsidRPr="003A6DE8" w:rsidRDefault="00E036EA" w:rsidP="00E036EA">
      <w:pPr>
        <w:rPr>
          <w:sz w:val="16"/>
        </w:rPr>
      </w:pPr>
      <w:r w:rsidRPr="00175877">
        <w:rPr>
          <w:rStyle w:val="TitleChar"/>
        </w:rPr>
        <w:t>Does and/or mean "and and or", or "and or or"?</w:t>
      </w:r>
      <w:r w:rsidRPr="003A6DE8">
        <w:rPr>
          <w:sz w:val="16"/>
        </w:rPr>
        <w:t xml:space="preserve"> That is, if I say I am interested in </w:t>
      </w:r>
      <w:r w:rsidRPr="003A6DE8">
        <w:rPr>
          <w:i/>
          <w:iCs/>
          <w:sz w:val="16"/>
        </w:rPr>
        <w:t>A</w:t>
      </w:r>
      <w:r w:rsidRPr="003A6DE8">
        <w:rPr>
          <w:sz w:val="16"/>
        </w:rPr>
        <w:t xml:space="preserve"> and/or </w:t>
      </w:r>
      <w:r w:rsidRPr="003A6DE8">
        <w:rPr>
          <w:i/>
          <w:iCs/>
          <w:sz w:val="16"/>
        </w:rPr>
        <w:t>B</w:t>
      </w:r>
      <w:r w:rsidRPr="003A6DE8">
        <w:rPr>
          <w:sz w:val="16"/>
        </w:rPr>
        <w:t xml:space="preserve">, do I mean I'm interested in </w:t>
      </w:r>
      <w:r w:rsidRPr="003A6DE8">
        <w:rPr>
          <w:i/>
          <w:iCs/>
          <w:sz w:val="16"/>
        </w:rPr>
        <w:t>A</w:t>
      </w:r>
      <w:r w:rsidRPr="003A6DE8">
        <w:rPr>
          <w:sz w:val="16"/>
        </w:rPr>
        <w:t xml:space="preserve"> and </w:t>
      </w:r>
      <w:r w:rsidRPr="003A6DE8">
        <w:rPr>
          <w:i/>
          <w:iCs/>
          <w:sz w:val="16"/>
        </w:rPr>
        <w:t>B</w:t>
      </w:r>
      <w:r w:rsidRPr="003A6DE8">
        <w:rPr>
          <w:sz w:val="16"/>
        </w:rPr>
        <w:t xml:space="preserve"> </w:t>
      </w:r>
      <w:r w:rsidRPr="003A6DE8">
        <w:rPr>
          <w:b/>
          <w:bCs/>
          <w:sz w:val="16"/>
        </w:rPr>
        <w:t>and</w:t>
      </w:r>
      <w:r w:rsidRPr="003A6DE8">
        <w:rPr>
          <w:sz w:val="16"/>
        </w:rPr>
        <w:t xml:space="preserve"> I'm interested in </w:t>
      </w:r>
      <w:r w:rsidRPr="003A6DE8">
        <w:rPr>
          <w:i/>
          <w:iCs/>
          <w:sz w:val="16"/>
        </w:rPr>
        <w:t>A</w:t>
      </w:r>
      <w:r w:rsidRPr="003A6DE8">
        <w:rPr>
          <w:sz w:val="16"/>
        </w:rPr>
        <w:t xml:space="preserve"> or </w:t>
      </w:r>
      <w:r w:rsidRPr="003A6DE8">
        <w:rPr>
          <w:i/>
          <w:iCs/>
          <w:sz w:val="16"/>
        </w:rPr>
        <w:t>B</w:t>
      </w:r>
      <w:r w:rsidRPr="003A6DE8">
        <w:rPr>
          <w:sz w:val="16"/>
        </w:rPr>
        <w:t xml:space="preserve">, or do I mean that I'm interested in </w:t>
      </w:r>
      <w:r w:rsidRPr="003A6DE8">
        <w:rPr>
          <w:i/>
          <w:iCs/>
          <w:sz w:val="16"/>
        </w:rPr>
        <w:t>A</w:t>
      </w:r>
      <w:r w:rsidRPr="003A6DE8">
        <w:rPr>
          <w:sz w:val="16"/>
        </w:rPr>
        <w:t xml:space="preserve"> and </w:t>
      </w:r>
      <w:r w:rsidRPr="003A6DE8">
        <w:rPr>
          <w:i/>
          <w:iCs/>
          <w:sz w:val="16"/>
        </w:rPr>
        <w:t>B</w:t>
      </w:r>
      <w:r w:rsidRPr="003A6DE8">
        <w:rPr>
          <w:sz w:val="16"/>
        </w:rPr>
        <w:t xml:space="preserve"> </w:t>
      </w:r>
      <w:r w:rsidRPr="003A6DE8">
        <w:rPr>
          <w:b/>
          <w:bCs/>
          <w:sz w:val="16"/>
        </w:rPr>
        <w:t>or</w:t>
      </w:r>
      <w:r w:rsidRPr="003A6DE8">
        <w:rPr>
          <w:sz w:val="16"/>
        </w:rPr>
        <w:t xml:space="preserve"> I'm interested in </w:t>
      </w:r>
      <w:r w:rsidRPr="003A6DE8">
        <w:rPr>
          <w:i/>
          <w:iCs/>
          <w:sz w:val="16"/>
        </w:rPr>
        <w:t>A</w:t>
      </w:r>
      <w:r w:rsidRPr="003A6DE8">
        <w:rPr>
          <w:sz w:val="16"/>
        </w:rPr>
        <w:t xml:space="preserve"> or </w:t>
      </w:r>
      <w:r w:rsidRPr="003A6DE8">
        <w:rPr>
          <w:i/>
          <w:iCs/>
          <w:sz w:val="16"/>
        </w:rPr>
        <w:t>B</w:t>
      </w:r>
      <w:r w:rsidRPr="003A6DE8">
        <w:rPr>
          <w:sz w:val="16"/>
        </w:rPr>
        <w:t xml:space="preserve">? (You may want to say that it means I'm interested in </w:t>
      </w:r>
      <w:r w:rsidRPr="003A6DE8">
        <w:rPr>
          <w:i/>
          <w:iCs/>
          <w:sz w:val="16"/>
        </w:rPr>
        <w:t>A</w:t>
      </w:r>
      <w:r w:rsidRPr="003A6DE8">
        <w:rPr>
          <w:sz w:val="16"/>
        </w:rPr>
        <w:t xml:space="preserve"> and </w:t>
      </w:r>
      <w:r w:rsidRPr="003A6DE8">
        <w:rPr>
          <w:i/>
          <w:iCs/>
          <w:sz w:val="16"/>
        </w:rPr>
        <w:t>B</w:t>
      </w:r>
      <w:r w:rsidRPr="003A6DE8">
        <w:rPr>
          <w:sz w:val="16"/>
        </w:rPr>
        <w:t xml:space="preserve"> </w:t>
      </w:r>
      <w:r w:rsidRPr="003A6DE8">
        <w:rPr>
          <w:b/>
          <w:bCs/>
          <w:sz w:val="16"/>
        </w:rPr>
        <w:t>and/or</w:t>
      </w:r>
      <w:r w:rsidRPr="003A6DE8">
        <w:rPr>
          <w:sz w:val="16"/>
        </w:rPr>
        <w:t xml:space="preserve"> I'm interested in </w:t>
      </w:r>
      <w:r w:rsidRPr="003A6DE8">
        <w:rPr>
          <w:i/>
          <w:iCs/>
          <w:sz w:val="16"/>
        </w:rPr>
        <w:t>A</w:t>
      </w:r>
      <w:r w:rsidRPr="003A6DE8">
        <w:rPr>
          <w:sz w:val="16"/>
        </w:rPr>
        <w:t xml:space="preserve"> or </w:t>
      </w:r>
      <w:r w:rsidRPr="003A6DE8">
        <w:rPr>
          <w:i/>
          <w:iCs/>
          <w:sz w:val="16"/>
        </w:rPr>
        <w:t>B</w:t>
      </w:r>
      <w:r w:rsidRPr="003A6DE8">
        <w:rPr>
          <w:sz w:val="16"/>
        </w:rPr>
        <w:t xml:space="preserve">; but in that case I repeat my question.) </w:t>
      </w:r>
      <w:r w:rsidRPr="00175877">
        <w:rPr>
          <w:rStyle w:val="TitleChar"/>
        </w:rPr>
        <w:t>Having reflected on it</w:t>
      </w:r>
      <w:r w:rsidRPr="003A6DE8">
        <w:rPr>
          <w:sz w:val="16"/>
        </w:rPr>
        <w:t xml:space="preserve"> for a little while, </w:t>
      </w:r>
      <w:r w:rsidRPr="00175877">
        <w:rPr>
          <w:rStyle w:val="TitleChar"/>
        </w:rPr>
        <w:t>I am convinced that the answer has to be that</w:t>
      </w:r>
      <w:r w:rsidRPr="003A6DE8">
        <w:rPr>
          <w:sz w:val="16"/>
        </w:rPr>
        <w:t xml:space="preserve"> </w:t>
      </w:r>
      <w:r w:rsidRPr="00175877">
        <w:rPr>
          <w:rStyle w:val="TitleChar"/>
        </w:rPr>
        <w:t>A and/or B must mean "A and B or A or B"</w:t>
      </w:r>
      <w:r w:rsidRPr="003A6DE8">
        <w:rPr>
          <w:sz w:val="16"/>
        </w:rPr>
        <w:t xml:space="preserve">. That is, if an entity </w:t>
      </w:r>
      <w:r w:rsidRPr="003A6DE8">
        <w:rPr>
          <w:i/>
          <w:iCs/>
          <w:sz w:val="16"/>
        </w:rPr>
        <w:t>A</w:t>
      </w:r>
      <w:r w:rsidRPr="003A6DE8">
        <w:rPr>
          <w:sz w:val="16"/>
        </w:rPr>
        <w:t xml:space="preserve"> is claimed to have the property of being </w:t>
      </w:r>
      <w:r w:rsidRPr="003A6DE8">
        <w:rPr>
          <w:i/>
          <w:iCs/>
          <w:sz w:val="16"/>
        </w:rPr>
        <w:t>F and/or G</w:t>
      </w:r>
      <w:r w:rsidRPr="003A6DE8">
        <w:rPr>
          <w:sz w:val="16"/>
        </w:rPr>
        <w:t>, the claim amounts to saying that either (i) </w:t>
      </w:r>
      <w:r w:rsidRPr="003A6DE8">
        <w:rPr>
          <w:i/>
          <w:iCs/>
          <w:sz w:val="16"/>
        </w:rPr>
        <w:t>A</w:t>
      </w:r>
      <w:r w:rsidRPr="003A6DE8">
        <w:rPr>
          <w:sz w:val="16"/>
        </w:rPr>
        <w:t xml:space="preserve"> has the property of being both </w:t>
      </w:r>
      <w:r w:rsidRPr="003A6DE8">
        <w:rPr>
          <w:i/>
          <w:iCs/>
          <w:sz w:val="16"/>
        </w:rPr>
        <w:t>F</w:t>
      </w:r>
      <w:r w:rsidRPr="003A6DE8">
        <w:rPr>
          <w:sz w:val="16"/>
        </w:rPr>
        <w:t xml:space="preserve"> and </w:t>
      </w:r>
      <w:r w:rsidRPr="003A6DE8">
        <w:rPr>
          <w:i/>
          <w:iCs/>
          <w:sz w:val="16"/>
        </w:rPr>
        <w:t>G</w:t>
      </w:r>
      <w:r w:rsidRPr="003A6DE8">
        <w:rPr>
          <w:sz w:val="16"/>
        </w:rPr>
        <w:t xml:space="preserve"> or (ii) </w:t>
      </w:r>
      <w:r w:rsidRPr="003A6DE8">
        <w:rPr>
          <w:i/>
          <w:iCs/>
          <w:sz w:val="16"/>
        </w:rPr>
        <w:t>A</w:t>
      </w:r>
      <w:r w:rsidRPr="003A6DE8">
        <w:rPr>
          <w:sz w:val="16"/>
        </w:rPr>
        <w:t xml:space="preserve"> has the property of being either </w:t>
      </w:r>
      <w:r w:rsidRPr="003A6DE8">
        <w:rPr>
          <w:i/>
          <w:iCs/>
          <w:sz w:val="16"/>
        </w:rPr>
        <w:t>F</w:t>
      </w:r>
      <w:r w:rsidRPr="003A6DE8">
        <w:rPr>
          <w:sz w:val="16"/>
        </w:rPr>
        <w:t xml:space="preserve"> or </w:t>
      </w:r>
      <w:r w:rsidRPr="003A6DE8">
        <w:rPr>
          <w:i/>
          <w:iCs/>
          <w:sz w:val="16"/>
        </w:rPr>
        <w:t>G</w:t>
      </w:r>
      <w:r w:rsidRPr="003A6DE8">
        <w:rPr>
          <w:sz w:val="16"/>
        </w:rPr>
        <w:t xml:space="preserve">. And to claim that </w:t>
      </w:r>
      <w:r w:rsidRPr="003A6DE8">
        <w:rPr>
          <w:i/>
          <w:iCs/>
          <w:sz w:val="16"/>
        </w:rPr>
        <w:t>F</w:t>
      </w:r>
      <w:r w:rsidRPr="003A6DE8">
        <w:rPr>
          <w:sz w:val="16"/>
        </w:rPr>
        <w:t xml:space="preserve"> is a property of entities </w:t>
      </w:r>
      <w:r w:rsidRPr="003A6DE8">
        <w:rPr>
          <w:i/>
          <w:iCs/>
          <w:sz w:val="16"/>
        </w:rPr>
        <w:t>A and/or B</w:t>
      </w:r>
      <w:r w:rsidRPr="003A6DE8">
        <w:rPr>
          <w:sz w:val="16"/>
        </w:rPr>
        <w:t xml:space="preserve"> is to claim that either (i) </w:t>
      </w:r>
      <w:r w:rsidRPr="003A6DE8">
        <w:rPr>
          <w:i/>
          <w:iCs/>
          <w:sz w:val="16"/>
        </w:rPr>
        <w:t>F</w:t>
      </w:r>
      <w:r w:rsidRPr="003A6DE8">
        <w:rPr>
          <w:sz w:val="16"/>
        </w:rPr>
        <w:t xml:space="preserve"> holds for </w:t>
      </w:r>
      <w:r w:rsidRPr="003A6DE8">
        <w:rPr>
          <w:i/>
          <w:iCs/>
          <w:sz w:val="16"/>
        </w:rPr>
        <w:t>A</w:t>
      </w:r>
      <w:r w:rsidRPr="003A6DE8">
        <w:rPr>
          <w:sz w:val="16"/>
        </w:rPr>
        <w:t xml:space="preserve"> and </w:t>
      </w:r>
      <w:r w:rsidRPr="003A6DE8">
        <w:rPr>
          <w:i/>
          <w:iCs/>
          <w:sz w:val="16"/>
        </w:rPr>
        <w:t>B</w:t>
      </w:r>
      <w:r w:rsidRPr="003A6DE8">
        <w:rPr>
          <w:sz w:val="16"/>
        </w:rPr>
        <w:t xml:space="preserve"> or (ii) </w:t>
      </w:r>
      <w:r w:rsidRPr="003A6DE8">
        <w:rPr>
          <w:i/>
          <w:iCs/>
          <w:sz w:val="16"/>
        </w:rPr>
        <w:t>F</w:t>
      </w:r>
      <w:r w:rsidRPr="003A6DE8">
        <w:rPr>
          <w:sz w:val="16"/>
        </w:rPr>
        <w:t xml:space="preserve"> holds for </w:t>
      </w:r>
      <w:r w:rsidRPr="003A6DE8">
        <w:rPr>
          <w:i/>
          <w:iCs/>
          <w:sz w:val="16"/>
        </w:rPr>
        <w:t>A</w:t>
      </w:r>
      <w:r w:rsidRPr="003A6DE8">
        <w:rPr>
          <w:sz w:val="16"/>
        </w:rPr>
        <w:t xml:space="preserve"> or </w:t>
      </w:r>
      <w:r w:rsidRPr="003A6DE8">
        <w:rPr>
          <w:i/>
          <w:iCs/>
          <w:sz w:val="16"/>
        </w:rPr>
        <w:t>B</w:t>
      </w:r>
      <w:r w:rsidRPr="003A6DE8">
        <w:rPr>
          <w:sz w:val="16"/>
        </w:rPr>
        <w:t xml:space="preserve">. However, in that case </w:t>
      </w:r>
      <w:r w:rsidRPr="00175877">
        <w:rPr>
          <w:rStyle w:val="TitleChar"/>
        </w:rPr>
        <w:t>and/or is effectively identical in meaning with or</w:t>
      </w:r>
      <w:r w:rsidRPr="003A6DE8">
        <w:rPr>
          <w:sz w:val="16"/>
        </w:rPr>
        <w:t xml:space="preserve">, so it is at first rather hard to see why </w:t>
      </w:r>
      <w:r w:rsidRPr="003A6DE8">
        <w:rPr>
          <w:i/>
          <w:iCs/>
          <w:sz w:val="16"/>
        </w:rPr>
        <w:t>and/or</w:t>
      </w:r>
      <w:r w:rsidRPr="003A6DE8">
        <w:rPr>
          <w:sz w:val="16"/>
        </w:rPr>
        <w:t xml:space="preserve"> exists at all. But I do have a guess. The right theory of what </w:t>
      </w:r>
      <w:r w:rsidRPr="003A6DE8">
        <w:rPr>
          <w:i/>
          <w:iCs/>
          <w:sz w:val="16"/>
        </w:rPr>
        <w:t>or</w:t>
      </w:r>
      <w:r w:rsidRPr="003A6DE8">
        <w:rPr>
          <w:sz w:val="16"/>
        </w:rPr>
        <w:t xml:space="preserve"> means in English is that it is in general inclusive but that sometimes the exclusive special case is conveyed as a conversational implicature. </w:t>
      </w:r>
      <w:r w:rsidRPr="003A6DE8">
        <w:rPr>
          <w:i/>
          <w:iCs/>
          <w:sz w:val="16"/>
        </w:rPr>
        <w:t>I'm going to study linguistics at either York or Edinburgh</w:t>
      </w:r>
      <w:r w:rsidRPr="003A6DE8">
        <w:rPr>
          <w:sz w:val="16"/>
        </w:rPr>
        <w:t xml:space="preserve">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York it will not be Edinburgh, and if it is Edinburgh it will not be York. But of course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175877">
        <w:rPr>
          <w:rStyle w:val="TitleChar"/>
        </w:rPr>
        <w:t>When they don't exclude each other,</w:t>
      </w:r>
      <w:r w:rsidRPr="003A6DE8">
        <w:rPr>
          <w:sz w:val="16"/>
        </w:rPr>
        <w:t xml:space="preserve"> </w:t>
      </w:r>
      <w:r w:rsidRPr="00175877">
        <w:rPr>
          <w:rStyle w:val="TitleChar"/>
        </w:rPr>
        <w:t>it's</w:t>
      </w:r>
      <w:r w:rsidRPr="003A6DE8">
        <w:rPr>
          <w:sz w:val="16"/>
        </w:rPr>
        <w:t xml:space="preserve"> </w:t>
      </w:r>
      <w:r w:rsidRPr="00175877">
        <w:rPr>
          <w:rStyle w:val="TitleChar"/>
        </w:rPr>
        <w:t>always understood</w:t>
      </w:r>
      <w:r w:rsidRPr="003A6DE8">
        <w:rPr>
          <w:sz w:val="16"/>
        </w:rPr>
        <w:t xml:space="preserve"> </w:t>
      </w:r>
      <w:r w:rsidRPr="00175877">
        <w:rPr>
          <w:rStyle w:val="TitleChar"/>
        </w:rPr>
        <w:t>that or allows for both</w:t>
      </w:r>
      <w:r w:rsidRPr="003A6DE8">
        <w:rPr>
          <w:sz w:val="16"/>
        </w:rPr>
        <w:t xml:space="preserve">: </w:t>
      </w:r>
      <w:r w:rsidRPr="00175877">
        <w:rPr>
          <w:rStyle w:val="TitleChar"/>
        </w:rPr>
        <w:t>obviously someone whose ambition is to win</w:t>
      </w:r>
      <w:r w:rsidRPr="003A6DE8">
        <w:rPr>
          <w:sz w:val="16"/>
        </w:rPr>
        <w:t xml:space="preserve"> either </w:t>
      </w:r>
      <w:r w:rsidRPr="00175877">
        <w:rPr>
          <w:rStyle w:val="TitleChar"/>
        </w:rPr>
        <w:t>an Oscar or an Olympic</w:t>
      </w:r>
      <w:r w:rsidRPr="003A6DE8">
        <w:rPr>
          <w:sz w:val="16"/>
        </w:rPr>
        <w:t xml:space="preserve"> </w:t>
      </w:r>
      <w:r w:rsidRPr="00175877">
        <w:rPr>
          <w:rStyle w:val="TitleChar"/>
        </w:rPr>
        <w:t>medal wouldn't feel a failure if they won both</w:t>
      </w:r>
      <w:r w:rsidRPr="003A6DE8">
        <w:rPr>
          <w:sz w:val="16"/>
        </w:rPr>
        <w:t xml:space="preserve">. Winning both would satisfy the ambition in spades. So my guess would be that </w:t>
      </w:r>
      <w:r w:rsidRPr="003A6DE8">
        <w:rPr>
          <w:i/>
          <w:iCs/>
          <w:sz w:val="16"/>
        </w:rPr>
        <w:t>and/or</w:t>
      </w:r>
      <w:r w:rsidRPr="003A6DE8">
        <w:rPr>
          <w:sz w:val="16"/>
        </w:rPr>
        <w:t xml:space="preserve"> is a way of underlining the point that the </w:t>
      </w:r>
      <w:r w:rsidRPr="003A6DE8">
        <w:rPr>
          <w:i/>
          <w:iCs/>
          <w:sz w:val="16"/>
        </w:rPr>
        <w:t>or</w:t>
      </w:r>
      <w:r w:rsidRPr="003A6DE8">
        <w:rPr>
          <w:sz w:val="16"/>
        </w:rPr>
        <w:t xml:space="preserve"> is to be understood in its inclusive sense rather than its exclusive sense. Sometimes you want to explicitly indicate "or more than one of the above", and </w:t>
      </w:r>
      <w:r w:rsidRPr="003A6DE8">
        <w:rPr>
          <w:i/>
          <w:iCs/>
          <w:sz w:val="16"/>
        </w:rPr>
        <w:t>and/or</w:t>
      </w:r>
      <w:r w:rsidRPr="003A6DE8">
        <w:rPr>
          <w:sz w:val="16"/>
        </w:rPr>
        <w:t xml:space="preserve"> does that. Take the first example of </w:t>
      </w:r>
      <w:r w:rsidRPr="003A6DE8">
        <w:rPr>
          <w:i/>
          <w:iCs/>
          <w:sz w:val="16"/>
        </w:rPr>
        <w:t>and/or</w:t>
      </w:r>
      <w:r w:rsidRPr="003A6DE8">
        <w:rPr>
          <w:sz w:val="16"/>
        </w:rPr>
        <w:t xml:space="preserve"> in the </w:t>
      </w:r>
      <w:r w:rsidRPr="003A6DE8">
        <w:rPr>
          <w:i/>
          <w:iCs/>
          <w:sz w:val="16"/>
        </w:rPr>
        <w:t>Wall Street Journal</w:t>
      </w:r>
      <w:r w:rsidRPr="003A6DE8">
        <w:rPr>
          <w:sz w:val="16"/>
        </w:rPr>
        <w:t xml:space="preserve">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t>
      </w:r>
      <w:r w:rsidRPr="003A6DE8">
        <w:rPr>
          <w:i/>
          <w:iCs/>
          <w:sz w:val="16"/>
        </w:rPr>
        <w:t>Washington Post</w:t>
      </w:r>
      <w:r w:rsidRPr="003A6DE8">
        <w:rPr>
          <w:sz w:val="16"/>
        </w:rPr>
        <w:t xml:space="preserve">) is this: </w:t>
      </w:r>
      <w:r w:rsidRPr="003A6DE8">
        <w:rPr>
          <w:i/>
          <w:iCs/>
          <w:sz w:val="16"/>
        </w:rPr>
        <w:t>Too many of his attitudes, claims and complaints are careless, conflicting, dubious, inaccurate, mean, petty, simplistic, superficial, uninformed and/or pointlessly biased.</w:t>
      </w:r>
      <w:r w:rsidRPr="003A6DE8">
        <w:rPr>
          <w:sz w:val="16"/>
        </w:rPr>
        <w:t xml:space="preserve">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w:t>
      </w:r>
      <w:r w:rsidRPr="003A6DE8">
        <w:rPr>
          <w:bCs/>
          <w:sz w:val="16"/>
        </w:rPr>
        <w:t>true</w:t>
      </w:r>
      <w:r w:rsidRPr="003A6DE8">
        <w:rPr>
          <w:sz w:val="16"/>
        </w:rPr>
        <w:t xml:space="preserve">, not false. </w:t>
      </w:r>
      <w:r w:rsidRPr="00175877">
        <w:rPr>
          <w:rStyle w:val="TitleChar"/>
        </w:rPr>
        <w:t>An or would have done the job here, but the and/or injects a (logically redundant) reminder</w:t>
      </w:r>
      <w:r w:rsidRPr="003A6DE8">
        <w:rPr>
          <w:sz w:val="16"/>
        </w:rPr>
        <w:t xml:space="preserve"> that it may well be the case that more than one of the list of ten properties applies to the miserable individual in question.</w:t>
      </w:r>
    </w:p>
    <w:p w14:paraId="3239BA40" w14:textId="77777777" w:rsidR="00E036EA" w:rsidRPr="00175877" w:rsidRDefault="00E036EA" w:rsidP="00E036EA">
      <w:pPr>
        <w:pStyle w:val="Heading4"/>
      </w:pPr>
      <w:r w:rsidRPr="00175877">
        <w:t xml:space="preserve"> “And/or” can mean either – defer to general community practice</w:t>
      </w:r>
    </w:p>
    <w:p w14:paraId="6BAAFBF8" w14:textId="77777777" w:rsidR="00E036EA" w:rsidRPr="00175877" w:rsidRDefault="00E036EA" w:rsidP="00E036EA">
      <w:r w:rsidRPr="00175877">
        <w:rPr>
          <w:b/>
          <w:bCs/>
          <w:iCs/>
        </w:rPr>
        <w:t>Words and Phrases 7</w:t>
      </w:r>
      <w:r w:rsidRPr="00175877">
        <w:t xml:space="preserve"> (3A W&amp;P, p. 224)</w:t>
      </w:r>
    </w:p>
    <w:p w14:paraId="19914751" w14:textId="77777777" w:rsidR="00E036EA" w:rsidRPr="003A6DE8" w:rsidRDefault="00E036EA" w:rsidP="00E036EA">
      <w:pPr>
        <w:rPr>
          <w:sz w:val="16"/>
        </w:rPr>
      </w:pPr>
      <w:r w:rsidRPr="003A6DE8">
        <w:rPr>
          <w:sz w:val="16"/>
        </w:rPr>
        <w:t xml:space="preserve">N.D. 1964. </w:t>
      </w:r>
      <w:r w:rsidRPr="00175877">
        <w:rPr>
          <w:rStyle w:val="TitleChar"/>
        </w:rPr>
        <w:t>“And/or” as used in contract may mean either “and” or “or”, and interpretation should be one which will best effect purpose of parties as determined in light of equities of the case</w:t>
      </w:r>
      <w:r w:rsidRPr="003A6DE8">
        <w:rPr>
          <w:sz w:val="16"/>
        </w:rPr>
        <w:t>.—Hummel v. Kranz, 126 N.W.2d 786—Contracts 159.</w:t>
      </w:r>
    </w:p>
    <w:p w14:paraId="7569A964" w14:textId="522E2563" w:rsidR="00E036EA" w:rsidRDefault="00E036EA" w:rsidP="00754D3A">
      <w:pPr>
        <w:pStyle w:val="Heading2"/>
      </w:pPr>
      <w:r>
        <w:t>In</w:t>
      </w:r>
      <w:r w:rsidR="00754D3A">
        <w:t>:</w:t>
      </w:r>
    </w:p>
    <w:p w14:paraId="71945FA8" w14:textId="77777777" w:rsidR="00E036EA" w:rsidRPr="00753778" w:rsidRDefault="00E036EA" w:rsidP="00E036EA"/>
    <w:p w14:paraId="64269376" w14:textId="77777777" w:rsidR="00E036EA" w:rsidRPr="00AD5A43" w:rsidRDefault="00E036EA" w:rsidP="00E036EA">
      <w:pPr>
        <w:pStyle w:val="Heading4"/>
      </w:pPr>
      <w:r>
        <w:t>“</w:t>
      </w:r>
      <w:r w:rsidRPr="00AD5A43">
        <w:t>In</w:t>
      </w:r>
      <w:r>
        <w:t>”</w:t>
      </w:r>
      <w:r w:rsidRPr="00AD5A43">
        <w:t xml:space="preserve"> means within </w:t>
      </w:r>
      <w:r>
        <w:t>---</w:t>
      </w:r>
      <w:r w:rsidRPr="00AD5A43">
        <w:t xml:space="preserve"> this is the </w:t>
      </w:r>
      <w:r w:rsidRPr="00C50D66">
        <w:rPr>
          <w:u w:val="single"/>
        </w:rPr>
        <w:t>core meaning</w:t>
      </w:r>
    </w:p>
    <w:p w14:paraId="36F3F135" w14:textId="77777777" w:rsidR="00E036EA" w:rsidRPr="00AD5A43" w:rsidRDefault="00E036EA" w:rsidP="00E036EA">
      <w:pPr>
        <w:autoSpaceDE w:val="0"/>
        <w:autoSpaceDN w:val="0"/>
        <w:adjustRightInd w:val="0"/>
      </w:pPr>
      <w:r w:rsidRPr="00AD5A43">
        <w:rPr>
          <w:rStyle w:val="StyleStyleBold12pt"/>
        </w:rPr>
        <w:t>Encarta 7</w:t>
      </w:r>
      <w:r>
        <w:t xml:space="preserve"> – </w:t>
      </w:r>
      <w:r w:rsidRPr="00AD5A43">
        <w:t xml:space="preserve">Encarta World English Dictionary, 7 (“In (1)”, 2007, </w:t>
      </w:r>
      <w:hyperlink r:id="rId49" w:history="1">
        <w:r w:rsidRPr="00AD5A43">
          <w:t>http://encarta.msn.com/encnet/features/dictionary/DictionaryResults.aspx?refid=1861620513</w:t>
        </w:r>
      </w:hyperlink>
      <w:r w:rsidRPr="00AD5A43">
        <w:t>)</w:t>
      </w:r>
    </w:p>
    <w:p w14:paraId="477941D7" w14:textId="77777777" w:rsidR="00E036EA" w:rsidRDefault="00E036EA" w:rsidP="00E036EA">
      <w:pPr>
        <w:rPr>
          <w:sz w:val="12"/>
        </w:rPr>
      </w:pPr>
      <w:r w:rsidRPr="000802B9">
        <w:rPr>
          <w:rStyle w:val="TitleChar"/>
          <w:highlight w:val="cyan"/>
        </w:rPr>
        <w:t>in</w:t>
      </w:r>
      <w:r w:rsidRPr="00AD5A43">
        <w:rPr>
          <w:sz w:val="16"/>
        </w:rPr>
        <w:t xml:space="preserve"> [ </w:t>
      </w:r>
      <w:hyperlink r:id="rId50" w:history="1">
        <w:r w:rsidRPr="00AD5A43">
          <w:rPr>
            <w:sz w:val="16"/>
          </w:rPr>
          <w:t>in</w:t>
        </w:r>
      </w:hyperlink>
      <w:r w:rsidRPr="00AD5A43">
        <w:rPr>
          <w:sz w:val="16"/>
        </w:rPr>
        <w:t xml:space="preserve"> ] </w:t>
      </w:r>
      <w:r w:rsidRPr="000802B9">
        <w:rPr>
          <w:rStyle w:val="Emphasis"/>
          <w:highlight w:val="cyan"/>
        </w:rPr>
        <w:t>CORE MEANING</w:t>
      </w:r>
      <w:r w:rsidRPr="00AD5A43">
        <w:rPr>
          <w:rStyle w:val="TitleChar"/>
        </w:rPr>
        <w:t xml:space="preserve">: a grammatical word indicating that something or somebody is </w:t>
      </w:r>
      <w:r w:rsidRPr="000802B9">
        <w:rPr>
          <w:rStyle w:val="TitleChar"/>
          <w:highlight w:val="cyan"/>
        </w:rPr>
        <w:t>within</w:t>
      </w:r>
      <w:r w:rsidRPr="00AD5A43">
        <w:rPr>
          <w:rStyle w:val="TitleChar"/>
        </w:rPr>
        <w:t xml:space="preserve"> or inside something</w:t>
      </w:r>
      <w:r w:rsidRPr="00AD5A43">
        <w:rPr>
          <w:sz w:val="16"/>
        </w:rPr>
        <w:t>.</w:t>
      </w:r>
      <w:r>
        <w:rPr>
          <w:sz w:val="16"/>
        </w:rPr>
        <w:t xml:space="preserve"> </w:t>
      </w:r>
      <w:r w:rsidRPr="00AD5A43">
        <w:rPr>
          <w:sz w:val="12"/>
        </w:rPr>
        <w:t>1.</w:t>
      </w:r>
      <w:r>
        <w:rPr>
          <w:sz w:val="12"/>
        </w:rPr>
        <w:t xml:space="preserve"> </w:t>
      </w:r>
      <w:r w:rsidRPr="007A3792">
        <w:rPr>
          <w:rStyle w:val="TitleChar"/>
        </w:rPr>
        <w:t>preposition</w:t>
      </w:r>
      <w:r>
        <w:rPr>
          <w:rStyle w:val="TitleChar"/>
        </w:rPr>
        <w:t xml:space="preserve"> </w:t>
      </w:r>
      <w:r w:rsidRPr="000802B9">
        <w:rPr>
          <w:rStyle w:val="TitleChar"/>
          <w:highlight w:val="cyan"/>
        </w:rPr>
        <w:t xml:space="preserve">indicates </w:t>
      </w:r>
      <w:r w:rsidRPr="000802B9">
        <w:rPr>
          <w:rStyle w:val="Emphasis"/>
          <w:highlight w:val="cyan"/>
        </w:rPr>
        <w:t>place</w:t>
      </w:r>
      <w:r w:rsidRPr="007A3792">
        <w:rPr>
          <w:rStyle w:val="TitleChar"/>
        </w:rPr>
        <w:t>:</w:t>
      </w:r>
      <w:r>
        <w:rPr>
          <w:rStyle w:val="TitleChar"/>
        </w:rPr>
        <w:t xml:space="preserve"> </w:t>
      </w:r>
      <w:r w:rsidRPr="007A3792">
        <w:rPr>
          <w:rStyle w:val="TitleChar"/>
        </w:rPr>
        <w:t>indicates that something happens or is situated somewhere</w:t>
      </w:r>
      <w:r>
        <w:rPr>
          <w:sz w:val="12"/>
        </w:rPr>
        <w:t xml:space="preserve"> </w:t>
      </w:r>
      <w:r w:rsidRPr="007A3792">
        <w:rPr>
          <w:rStyle w:val="TitleChar"/>
        </w:rPr>
        <w:t>He spent a whole year in Russia</w:t>
      </w:r>
      <w:r w:rsidRPr="00AD5A43">
        <w:rPr>
          <w:sz w:val="12"/>
        </w:rPr>
        <w:t>.</w:t>
      </w:r>
      <w:r>
        <w:rPr>
          <w:sz w:val="12"/>
        </w:rPr>
        <w:t xml:space="preserve"> </w:t>
      </w:r>
      <w:r w:rsidRPr="00AD5A43">
        <w:rPr>
          <w:sz w:val="12"/>
        </w:rPr>
        <w:t>2.</w:t>
      </w:r>
      <w:r>
        <w:rPr>
          <w:sz w:val="12"/>
        </w:rPr>
        <w:t xml:space="preserve"> </w:t>
      </w:r>
      <w:r w:rsidRPr="00AD5A43">
        <w:rPr>
          <w:sz w:val="12"/>
        </w:rPr>
        <w:t>preposition</w:t>
      </w:r>
      <w:r>
        <w:rPr>
          <w:sz w:val="12"/>
        </w:rPr>
        <w:t xml:space="preserve"> </w:t>
      </w:r>
      <w:r w:rsidRPr="00AD5A43">
        <w:rPr>
          <w:sz w:val="12"/>
        </w:rPr>
        <w:t>indicates state:</w:t>
      </w:r>
      <w:r>
        <w:rPr>
          <w:sz w:val="12"/>
        </w:rPr>
        <w:t xml:space="preserve"> </w:t>
      </w:r>
      <w:r w:rsidRPr="00AD5A43">
        <w:rPr>
          <w:sz w:val="12"/>
        </w:rPr>
        <w:t>indicates a state or condition that something or somebody is experiencing</w:t>
      </w:r>
      <w:r>
        <w:rPr>
          <w:sz w:val="12"/>
        </w:rPr>
        <w:t xml:space="preserve"> </w:t>
      </w:r>
      <w:r w:rsidRPr="00AD5A43">
        <w:rPr>
          <w:sz w:val="12"/>
        </w:rPr>
        <w:t>The banking industry is in a state of flux.</w:t>
      </w:r>
      <w:r>
        <w:rPr>
          <w:sz w:val="12"/>
        </w:rPr>
        <w:t xml:space="preserve"> </w:t>
      </w:r>
      <w:r w:rsidRPr="00AD5A43">
        <w:rPr>
          <w:sz w:val="12"/>
        </w:rPr>
        <w:t>3.</w:t>
      </w:r>
      <w:r>
        <w:rPr>
          <w:sz w:val="12"/>
        </w:rPr>
        <w:t xml:space="preserve"> </w:t>
      </w:r>
      <w:r w:rsidRPr="00AD5A43">
        <w:rPr>
          <w:sz w:val="12"/>
        </w:rPr>
        <w:t>preposition</w:t>
      </w:r>
      <w:r>
        <w:rPr>
          <w:sz w:val="12"/>
        </w:rPr>
        <w:t xml:space="preserve"> </w:t>
      </w:r>
      <w:r w:rsidRPr="00AD5A43">
        <w:rPr>
          <w:sz w:val="12"/>
        </w:rPr>
        <w:t>after:</w:t>
      </w:r>
      <w:r>
        <w:rPr>
          <w:sz w:val="12"/>
        </w:rPr>
        <w:t xml:space="preserve"> </w:t>
      </w:r>
      <w:r w:rsidRPr="00AD5A43">
        <w:rPr>
          <w:sz w:val="12"/>
        </w:rPr>
        <w:t>after a period of time that will pass before something happens</w:t>
      </w:r>
      <w:r>
        <w:rPr>
          <w:sz w:val="12"/>
        </w:rPr>
        <w:t xml:space="preserve"> </w:t>
      </w:r>
      <w:r w:rsidRPr="00AD5A43">
        <w:rPr>
          <w:sz w:val="12"/>
        </w:rPr>
        <w:t>She should be well enough to leave in a week or two.</w:t>
      </w:r>
      <w:r>
        <w:rPr>
          <w:sz w:val="12"/>
        </w:rPr>
        <w:t xml:space="preserve"> </w:t>
      </w:r>
      <w:r w:rsidRPr="00AD5A43">
        <w:rPr>
          <w:sz w:val="12"/>
        </w:rPr>
        <w:t>4.</w:t>
      </w:r>
      <w:r>
        <w:rPr>
          <w:sz w:val="12"/>
        </w:rPr>
        <w:t xml:space="preserve"> </w:t>
      </w:r>
      <w:r w:rsidRPr="00AD5A43">
        <w:rPr>
          <w:sz w:val="12"/>
        </w:rPr>
        <w:t>preposition</w:t>
      </w:r>
      <w:r>
        <w:rPr>
          <w:sz w:val="12"/>
        </w:rPr>
        <w:t xml:space="preserve"> </w:t>
      </w:r>
      <w:r w:rsidRPr="00AD5A43">
        <w:rPr>
          <w:sz w:val="12"/>
        </w:rPr>
        <w:t>during:</w:t>
      </w:r>
      <w:r>
        <w:rPr>
          <w:sz w:val="12"/>
        </w:rPr>
        <w:t xml:space="preserve"> </w:t>
      </w:r>
      <w:r w:rsidRPr="00AD5A43">
        <w:rPr>
          <w:sz w:val="12"/>
        </w:rPr>
        <w:t>indicates that something happens during a period of time</w:t>
      </w:r>
      <w:r>
        <w:rPr>
          <w:sz w:val="12"/>
        </w:rPr>
        <w:t xml:space="preserve"> </w:t>
      </w:r>
      <w:r w:rsidRPr="00AD5A43">
        <w:rPr>
          <w:sz w:val="12"/>
        </w:rPr>
        <w:t>He crossed the desert in 39 days.</w:t>
      </w:r>
      <w:r>
        <w:rPr>
          <w:sz w:val="12"/>
        </w:rPr>
        <w:t xml:space="preserve"> </w:t>
      </w:r>
      <w:r w:rsidRPr="00AD5A43">
        <w:rPr>
          <w:sz w:val="12"/>
        </w:rPr>
        <w:t>5.</w:t>
      </w:r>
      <w:r>
        <w:rPr>
          <w:sz w:val="12"/>
        </w:rPr>
        <w:t xml:space="preserve"> </w:t>
      </w:r>
      <w:r w:rsidRPr="00AD5A43">
        <w:rPr>
          <w:sz w:val="12"/>
        </w:rPr>
        <w:t>preposition</w:t>
      </w:r>
      <w:r>
        <w:rPr>
          <w:sz w:val="12"/>
        </w:rPr>
        <w:t xml:space="preserve"> </w:t>
      </w:r>
      <w:r w:rsidRPr="00AD5A43">
        <w:rPr>
          <w:sz w:val="12"/>
        </w:rPr>
        <w:t>indicates how something is expressed:</w:t>
      </w:r>
      <w:r>
        <w:rPr>
          <w:sz w:val="12"/>
        </w:rPr>
        <w:t xml:space="preserve"> </w:t>
      </w:r>
      <w:r w:rsidRPr="00AD5A43">
        <w:rPr>
          <w:sz w:val="12"/>
        </w:rPr>
        <w:t>indicates the means of communication used to express something</w:t>
      </w:r>
      <w:r>
        <w:rPr>
          <w:sz w:val="12"/>
        </w:rPr>
        <w:t xml:space="preserve"> </w:t>
      </w:r>
      <w:r w:rsidRPr="00AD5A43">
        <w:rPr>
          <w:sz w:val="12"/>
        </w:rPr>
        <w:t>I managed to write the whole speech in French.</w:t>
      </w:r>
      <w:r>
        <w:rPr>
          <w:sz w:val="12"/>
        </w:rPr>
        <w:t xml:space="preserve"> </w:t>
      </w:r>
      <w:r w:rsidRPr="00AD5A43">
        <w:rPr>
          <w:sz w:val="12"/>
        </w:rPr>
        <w:t>6.</w:t>
      </w:r>
      <w:r>
        <w:rPr>
          <w:sz w:val="12"/>
        </w:rPr>
        <w:t xml:space="preserve"> </w:t>
      </w:r>
      <w:r w:rsidRPr="00AD5A43">
        <w:rPr>
          <w:sz w:val="12"/>
        </w:rPr>
        <w:t>preposition</w:t>
      </w:r>
      <w:r>
        <w:rPr>
          <w:sz w:val="12"/>
        </w:rPr>
        <w:t xml:space="preserve"> </w:t>
      </w:r>
      <w:r w:rsidRPr="00AD5A43">
        <w:rPr>
          <w:sz w:val="12"/>
        </w:rPr>
        <w:t>indicates subject area:</w:t>
      </w:r>
      <w:r>
        <w:rPr>
          <w:sz w:val="12"/>
        </w:rPr>
        <w:t xml:space="preserve"> </w:t>
      </w:r>
      <w:r w:rsidRPr="00AD5A43">
        <w:rPr>
          <w:sz w:val="12"/>
        </w:rPr>
        <w:t>indicates a subject or field of activity</w:t>
      </w:r>
      <w:r>
        <w:rPr>
          <w:sz w:val="12"/>
        </w:rPr>
        <w:t xml:space="preserve"> </w:t>
      </w:r>
      <w:r w:rsidRPr="00AD5A43">
        <w:rPr>
          <w:sz w:val="12"/>
        </w:rPr>
        <w:t>She graduated with a degree in biology.</w:t>
      </w:r>
      <w:r>
        <w:rPr>
          <w:sz w:val="12"/>
        </w:rPr>
        <w:t xml:space="preserve"> </w:t>
      </w:r>
      <w:r w:rsidRPr="00AD5A43">
        <w:rPr>
          <w:sz w:val="12"/>
        </w:rPr>
        <w:t>7.</w:t>
      </w:r>
      <w:r>
        <w:rPr>
          <w:sz w:val="12"/>
        </w:rPr>
        <w:t xml:space="preserve"> </w:t>
      </w:r>
      <w:r w:rsidRPr="00AD5A43">
        <w:rPr>
          <w:sz w:val="12"/>
        </w:rPr>
        <w:t>preposition</w:t>
      </w:r>
      <w:r>
        <w:rPr>
          <w:sz w:val="12"/>
        </w:rPr>
        <w:t xml:space="preserve"> </w:t>
      </w:r>
      <w:r w:rsidRPr="00AD5A43">
        <w:rPr>
          <w:sz w:val="12"/>
        </w:rPr>
        <w:t>as consequence of:</w:t>
      </w:r>
      <w:r>
        <w:rPr>
          <w:sz w:val="12"/>
        </w:rPr>
        <w:t xml:space="preserve"> </w:t>
      </w:r>
      <w:r w:rsidRPr="00AD5A43">
        <w:rPr>
          <w:sz w:val="12"/>
        </w:rPr>
        <w:t>while doing something or as a consequence of something</w:t>
      </w:r>
      <w:r>
        <w:rPr>
          <w:sz w:val="12"/>
        </w:rPr>
        <w:t xml:space="preserve"> </w:t>
      </w:r>
      <w:r w:rsidRPr="00AD5A43">
        <w:rPr>
          <w:sz w:val="12"/>
        </w:rPr>
        <w:t>In reaching for a glass he knocked over the ashtray.</w:t>
      </w:r>
      <w:r>
        <w:rPr>
          <w:sz w:val="12"/>
        </w:rPr>
        <w:t xml:space="preserve"> </w:t>
      </w:r>
      <w:r w:rsidRPr="00AD5A43">
        <w:rPr>
          <w:sz w:val="12"/>
        </w:rPr>
        <w:t>8.</w:t>
      </w:r>
      <w:r>
        <w:rPr>
          <w:sz w:val="12"/>
        </w:rPr>
        <w:t xml:space="preserve"> </w:t>
      </w:r>
      <w:r w:rsidRPr="00AD5A43">
        <w:rPr>
          <w:sz w:val="12"/>
        </w:rPr>
        <w:t>preposition</w:t>
      </w:r>
      <w:r>
        <w:rPr>
          <w:sz w:val="12"/>
        </w:rPr>
        <w:t xml:space="preserve"> </w:t>
      </w:r>
      <w:r w:rsidRPr="00AD5A43">
        <w:rPr>
          <w:sz w:val="12"/>
        </w:rPr>
        <w:t>covered by:</w:t>
      </w:r>
      <w:r>
        <w:rPr>
          <w:sz w:val="12"/>
        </w:rPr>
        <w:t xml:space="preserve"> </w:t>
      </w:r>
      <w:r w:rsidRPr="00AD5A43">
        <w:rPr>
          <w:sz w:val="12"/>
        </w:rPr>
        <w:t>indicates that something is wrapped or covered by something</w:t>
      </w:r>
      <w:r>
        <w:rPr>
          <w:sz w:val="12"/>
        </w:rPr>
        <w:t xml:space="preserve"> </w:t>
      </w:r>
      <w:r w:rsidRPr="00AD5A43">
        <w:rPr>
          <w:sz w:val="12"/>
        </w:rPr>
        <w:t>The floor was covered in balloons and toys.</w:t>
      </w:r>
      <w:r>
        <w:rPr>
          <w:sz w:val="12"/>
        </w:rPr>
        <w:t xml:space="preserve"> </w:t>
      </w:r>
      <w:r w:rsidRPr="00AD5A43">
        <w:rPr>
          <w:sz w:val="12"/>
        </w:rPr>
        <w:t>9.</w:t>
      </w:r>
      <w:r>
        <w:rPr>
          <w:sz w:val="12"/>
        </w:rPr>
        <w:t xml:space="preserve"> </w:t>
      </w:r>
      <w:r w:rsidRPr="00AD5A43">
        <w:rPr>
          <w:sz w:val="12"/>
        </w:rPr>
        <w:t>preposition</w:t>
      </w:r>
      <w:r>
        <w:rPr>
          <w:sz w:val="12"/>
        </w:rPr>
        <w:t xml:space="preserve"> </w:t>
      </w:r>
      <w:r w:rsidRPr="00AD5A43">
        <w:rPr>
          <w:sz w:val="12"/>
        </w:rPr>
        <w:t>indicates how somebody is dressed:</w:t>
      </w:r>
      <w:r>
        <w:rPr>
          <w:sz w:val="12"/>
        </w:rPr>
        <w:t xml:space="preserve"> </w:t>
      </w:r>
      <w:r w:rsidRPr="00AD5A43">
        <w:rPr>
          <w:sz w:val="12"/>
        </w:rPr>
        <w:t>indicates that somebody is dressed in a particular way</w:t>
      </w:r>
      <w:r>
        <w:rPr>
          <w:sz w:val="12"/>
        </w:rPr>
        <w:t xml:space="preserve"> </w:t>
      </w:r>
      <w:r w:rsidRPr="00AD5A43">
        <w:rPr>
          <w:sz w:val="12"/>
        </w:rPr>
        <w:t>She was dressed in a beautiful suit.</w:t>
      </w:r>
      <w:r>
        <w:rPr>
          <w:sz w:val="12"/>
        </w:rPr>
        <w:t xml:space="preserve"> </w:t>
      </w:r>
      <w:r w:rsidRPr="00AD5A43">
        <w:rPr>
          <w:sz w:val="12"/>
        </w:rPr>
        <w:t>10.</w:t>
      </w:r>
      <w:r>
        <w:rPr>
          <w:sz w:val="12"/>
        </w:rPr>
        <w:t xml:space="preserve"> </w:t>
      </w:r>
      <w:r w:rsidRPr="00AD5A43">
        <w:rPr>
          <w:sz w:val="12"/>
        </w:rPr>
        <w:t>preposition</w:t>
      </w:r>
      <w:r>
        <w:rPr>
          <w:sz w:val="12"/>
        </w:rPr>
        <w:t xml:space="preserve"> </w:t>
      </w:r>
      <w:r w:rsidRPr="00AD5A43">
        <w:rPr>
          <w:sz w:val="12"/>
        </w:rPr>
        <w:t>pregnant with:</w:t>
      </w:r>
      <w:r>
        <w:rPr>
          <w:sz w:val="12"/>
        </w:rPr>
        <w:t xml:space="preserve"> </w:t>
      </w:r>
      <w:r w:rsidRPr="00AD5A43">
        <w:rPr>
          <w:sz w:val="12"/>
        </w:rPr>
        <w:t>pregnant with offspring</w:t>
      </w:r>
      <w:r>
        <w:rPr>
          <w:sz w:val="12"/>
        </w:rPr>
        <w:t xml:space="preserve"> </w:t>
      </w:r>
      <w:r w:rsidRPr="00AD5A43">
        <w:rPr>
          <w:sz w:val="12"/>
        </w:rPr>
        <w:t>The cows were in calf.</w:t>
      </w:r>
      <w:r>
        <w:rPr>
          <w:sz w:val="12"/>
        </w:rPr>
        <w:t xml:space="preserve"> </w:t>
      </w:r>
      <w:r w:rsidRPr="00AD5A43">
        <w:rPr>
          <w:sz w:val="12"/>
        </w:rPr>
        <w:t>11.</w:t>
      </w:r>
      <w:r>
        <w:rPr>
          <w:sz w:val="12"/>
        </w:rPr>
        <w:t xml:space="preserve"> </w:t>
      </w:r>
      <w:r w:rsidRPr="00AD5A43">
        <w:rPr>
          <w:sz w:val="12"/>
        </w:rPr>
        <w:t>adjective</w:t>
      </w:r>
      <w:r>
        <w:rPr>
          <w:sz w:val="12"/>
        </w:rPr>
        <w:t xml:space="preserve"> </w:t>
      </w:r>
      <w:r w:rsidRPr="00AD5A43">
        <w:rPr>
          <w:sz w:val="12"/>
        </w:rPr>
        <w:t>fashionable:</w:t>
      </w:r>
      <w:r>
        <w:rPr>
          <w:sz w:val="12"/>
        </w:rPr>
        <w:t xml:space="preserve"> </w:t>
      </w:r>
      <w:r w:rsidRPr="00AD5A43">
        <w:rPr>
          <w:sz w:val="12"/>
        </w:rPr>
        <w:t>fashionable or popular</w:t>
      </w:r>
      <w:r>
        <w:rPr>
          <w:sz w:val="12"/>
        </w:rPr>
        <w:t xml:space="preserve"> </w:t>
      </w:r>
      <w:r w:rsidRPr="00AD5A43">
        <w:rPr>
          <w:sz w:val="12"/>
        </w:rPr>
        <w:t>always knew which clubs were in</w:t>
      </w:r>
      <w:r>
        <w:rPr>
          <w:sz w:val="12"/>
        </w:rPr>
        <w:t xml:space="preserve"> </w:t>
      </w:r>
      <w:r w:rsidRPr="00AD5A43">
        <w:rPr>
          <w:sz w:val="12"/>
        </w:rPr>
        <w:t>12.</w:t>
      </w:r>
      <w:r>
        <w:rPr>
          <w:sz w:val="12"/>
        </w:rPr>
        <w:t xml:space="preserve"> </w:t>
      </w:r>
      <w:r w:rsidRPr="00AD5A43">
        <w:rPr>
          <w:sz w:val="12"/>
        </w:rPr>
        <w:t>adjective</w:t>
      </w:r>
      <w:r>
        <w:rPr>
          <w:sz w:val="12"/>
        </w:rPr>
        <w:t xml:space="preserve"> </w:t>
      </w:r>
      <w:r w:rsidRPr="00AD5A43">
        <w:rPr>
          <w:sz w:val="12"/>
        </w:rPr>
        <w:t>holding power or office:</w:t>
      </w:r>
      <w:r>
        <w:rPr>
          <w:sz w:val="12"/>
        </w:rPr>
        <w:t xml:space="preserve"> </w:t>
      </w:r>
      <w:r w:rsidRPr="00AD5A43">
        <w:rPr>
          <w:sz w:val="12"/>
        </w:rPr>
        <w:t>indicates that a party or group has achieved or will achieve power or authority</w:t>
      </w:r>
      <w:r>
        <w:rPr>
          <w:sz w:val="12"/>
        </w:rPr>
        <w:t xml:space="preserve"> </w:t>
      </w:r>
      <w:r w:rsidRPr="00AD5A43">
        <w:rPr>
          <w:sz w:val="12"/>
        </w:rPr>
        <w:t>voted in overwhelmingly</w:t>
      </w:r>
    </w:p>
    <w:p w14:paraId="11DFA8CE" w14:textId="77777777" w:rsidR="00E036EA" w:rsidRPr="00753778" w:rsidRDefault="00E036EA" w:rsidP="00E036EA"/>
    <w:p w14:paraId="4C5B9631" w14:textId="77777777" w:rsidR="00E036EA" w:rsidRPr="00BA62C7" w:rsidRDefault="00E036EA" w:rsidP="00E036EA">
      <w:pPr>
        <w:pStyle w:val="Heading4"/>
      </w:pPr>
      <w:r>
        <w:t xml:space="preserve">“In” means </w:t>
      </w:r>
      <w:r>
        <w:rPr>
          <w:u w:val="single"/>
        </w:rPr>
        <w:t>within</w:t>
      </w:r>
      <w:r>
        <w:t>, not “throughout”</w:t>
      </w:r>
    </w:p>
    <w:p w14:paraId="709DA7D8" w14:textId="77777777" w:rsidR="00E036EA" w:rsidRPr="00753778" w:rsidRDefault="00E036EA" w:rsidP="00E036EA">
      <w:r w:rsidRPr="00EA573C">
        <w:rPr>
          <w:rStyle w:val="StyleStyleBold12pt"/>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51" w:history="1">
        <w:r w:rsidRPr="00EA573C">
          <w:t>http://ky.findacase.com/research/wfrmDocViewer.aspx/xq/fac.19521113_0040095.KY.htm/qx</w:t>
        </w:r>
      </w:hyperlink>
    </w:p>
    <w:p w14:paraId="6B3D05B3" w14:textId="77777777" w:rsidR="00E036EA" w:rsidRPr="00E036EA" w:rsidRDefault="00E036EA" w:rsidP="00E036EA">
      <w:pPr>
        <w:rPr>
          <w:sz w:val="16"/>
        </w:rPr>
      </w:pPr>
      <w:r w:rsidRPr="00E036EA">
        <w:rPr>
          <w:sz w:val="16"/>
        </w:rPr>
        <w:t xml:space="preserve">We do not find any ambiguity in KRS 341.070(1). It is our opinion that </w:t>
      </w:r>
      <w:r w:rsidRPr="00630E4F">
        <w:rPr>
          <w:u w:val="single"/>
        </w:rPr>
        <w:t>the key word in the statute is the word 'in,' preceding the words 'each of three calendar quarters',</w:t>
      </w:r>
      <w:r w:rsidRPr="00E036EA">
        <w:rPr>
          <w:sz w:val="16"/>
        </w:rPr>
        <w:t xml:space="preserve"> and if the word is accorded its ordinary and common meaning, </w:t>
      </w:r>
      <w:r w:rsidRPr="00630E4F">
        <w:rPr>
          <w:u w:val="single"/>
        </w:rPr>
        <w:t xml:space="preserve">the statute does not require simultaneous employment. </w:t>
      </w:r>
      <w:r w:rsidRPr="00EA573C">
        <w:rPr>
          <w:highlight w:val="yellow"/>
          <w:u w:val="single"/>
        </w:rPr>
        <w:t>According to Webster's</w:t>
      </w:r>
      <w:r w:rsidRPr="00E036EA">
        <w:rPr>
          <w:sz w:val="16"/>
        </w:rPr>
        <w:t xml:space="preserve"> New International </w:t>
      </w:r>
      <w:r w:rsidRPr="00630E4F">
        <w:rPr>
          <w:u w:val="single"/>
        </w:rPr>
        <w:t xml:space="preserve">Dictionary, </w:t>
      </w:r>
      <w:r w:rsidRPr="00EA573C">
        <w:rPr>
          <w:highlight w:val="yellow"/>
          <w:u w:val="single"/>
        </w:rPr>
        <w:t>the word 'in,'</w:t>
      </w:r>
      <w:r w:rsidRPr="00630E4F">
        <w:rPr>
          <w:u w:val="single"/>
        </w:rPr>
        <w:t xml:space="preserve"> used with relation to a period of time, </w:t>
      </w:r>
      <w:r w:rsidRPr="00EA573C">
        <w:rPr>
          <w:highlight w:val="yellow"/>
          <w:u w:val="single"/>
        </w:rPr>
        <w:t>means</w:t>
      </w:r>
      <w:r w:rsidRPr="00630E4F">
        <w:rPr>
          <w:u w:val="single"/>
        </w:rPr>
        <w:t xml:space="preserve"> 'during the course of.'</w:t>
      </w:r>
      <w:r w:rsidRPr="00E036EA">
        <w:rPr>
          <w:sz w:val="16"/>
        </w:rPr>
        <w:t xml:space="preserve"> The same meaning, expressed in another way, would be </w:t>
      </w:r>
      <w:r w:rsidRPr="00EA573C">
        <w:rPr>
          <w:highlight w:val="yellow"/>
          <w:u w:val="single"/>
        </w:rPr>
        <w:t>'within the limits</w:t>
      </w:r>
      <w:r w:rsidRPr="00630E4F">
        <w:rPr>
          <w:u w:val="single"/>
        </w:rPr>
        <w:t xml:space="preserve"> or duration </w:t>
      </w:r>
      <w:r w:rsidRPr="00EA573C">
        <w:rPr>
          <w:highlight w:val="yellow"/>
          <w:u w:val="single"/>
        </w:rPr>
        <w:t>of.'</w:t>
      </w:r>
      <w:r w:rsidRPr="00E036EA">
        <w:rPr>
          <w:sz w:val="16"/>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64437A">
        <w:rPr>
          <w:rStyle w:val="Emphasis"/>
          <w:sz w:val="24"/>
          <w:highlight w:val="yellow"/>
        </w:rPr>
        <w:t>Obviously, the word 'in' does not mean 'throughout'</w:t>
      </w:r>
      <w:r w:rsidRPr="00EA573C">
        <w:rPr>
          <w:u w:val="single"/>
        </w:rPr>
        <w:t xml:space="preserve"> or 'for the entire period of,'</w:t>
      </w:r>
      <w:r w:rsidRPr="00630E4F">
        <w:rPr>
          <w:u w:val="single"/>
        </w:rPr>
        <w:t xml:space="preserve"> because then there would be no point in adding the requirement of the payment of a minimum of $50 in wages. </w:t>
      </w:r>
      <w:r w:rsidRPr="00E036EA">
        <w:rPr>
          <w:sz w:val="16"/>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EA573C">
        <w:rPr>
          <w:highlight w:val="yellow"/>
          <w:u w:val="single"/>
        </w:rPr>
        <w:t xml:space="preserve">We are not aware of </w:t>
      </w:r>
      <w:r w:rsidRPr="0064437A">
        <w:rPr>
          <w:rStyle w:val="Emphasis"/>
          <w:highlight w:val="yellow"/>
        </w:rPr>
        <w:t>any authority</w:t>
      </w:r>
      <w:r w:rsidRPr="00EA573C">
        <w:rPr>
          <w:sz w:val="26"/>
          <w:u w:val="single"/>
        </w:rPr>
        <w:t xml:space="preserve"> </w:t>
      </w:r>
      <w:r w:rsidRPr="00630E4F">
        <w:rPr>
          <w:u w:val="single"/>
        </w:rPr>
        <w:t xml:space="preserve">for </w:t>
      </w:r>
      <w:r w:rsidRPr="00EA573C">
        <w:rPr>
          <w:highlight w:val="yellow"/>
          <w:u w:val="single"/>
        </w:rPr>
        <w:t>ascribing such a meaning to the word 'in'</w:t>
      </w:r>
      <w:r w:rsidRPr="00E036EA">
        <w:rPr>
          <w:sz w:val="16"/>
        </w:rPr>
        <w:t xml:space="preserve">. </w:t>
      </w:r>
    </w:p>
    <w:p w14:paraId="1F10842A" w14:textId="77777777" w:rsidR="00E036EA" w:rsidRPr="0068357F" w:rsidRDefault="00E036EA" w:rsidP="00E036EA">
      <w:pPr>
        <w:rPr>
          <w:sz w:val="12"/>
        </w:rPr>
      </w:pPr>
    </w:p>
    <w:p w14:paraId="57AAF488" w14:textId="77777777" w:rsidR="00E036EA" w:rsidRPr="00AD5A43" w:rsidRDefault="00E036EA" w:rsidP="00E036EA">
      <w:pPr>
        <w:pStyle w:val="Heading4"/>
      </w:pPr>
      <w:r>
        <w:t>“In” means within the limits of</w:t>
      </w:r>
    </w:p>
    <w:p w14:paraId="5473E4DD" w14:textId="77777777" w:rsidR="00E036EA" w:rsidRPr="00AD5A43" w:rsidRDefault="00E036EA" w:rsidP="00E036EA">
      <w:r w:rsidRPr="00AD5A43">
        <w:rPr>
          <w:rStyle w:val="StyleStyleBold12pt"/>
        </w:rPr>
        <w:t>Webster’s 6</w:t>
      </w:r>
      <w:r>
        <w:t xml:space="preserve"> – </w:t>
      </w:r>
      <w:r w:rsidRPr="00AD5A43">
        <w:t>Merriam Webster Online Dictionary, 06  (</w:t>
      </w:r>
      <w:hyperlink r:id="rId52" w:history="1">
        <w:r w:rsidRPr="00AD5A43">
          <w:t>http://www.m-w.com/cgi-bin/dictionary?book=Dictionary&amp;va=in</w:t>
        </w:r>
      </w:hyperlink>
      <w:r w:rsidRPr="00AD5A43">
        <w:t>)</w:t>
      </w:r>
    </w:p>
    <w:p w14:paraId="7D1FDBDB" w14:textId="77777777" w:rsidR="00E036EA" w:rsidRPr="0068357F" w:rsidRDefault="00E036EA" w:rsidP="00E036EA">
      <w:pPr>
        <w:rPr>
          <w:sz w:val="16"/>
        </w:rPr>
      </w:pPr>
      <w:r w:rsidRPr="00AD5A43">
        <w:rPr>
          <w:sz w:val="16"/>
        </w:rPr>
        <w:t>Main Entry: 1in</w:t>
      </w:r>
      <w:r>
        <w:rPr>
          <w:sz w:val="16"/>
        </w:rPr>
        <w:t xml:space="preserve"> </w:t>
      </w:r>
      <w:r w:rsidRPr="00AD5A43">
        <w:rPr>
          <w:sz w:val="16"/>
        </w:rPr>
        <w:t>Pronunciation: 'in, &amp;n, &amp;n</w:t>
      </w:r>
      <w:r>
        <w:rPr>
          <w:sz w:val="16"/>
        </w:rPr>
        <w:t xml:space="preserve"> </w:t>
      </w:r>
      <w:r w:rsidRPr="00AD5A43">
        <w:rPr>
          <w:sz w:val="16"/>
        </w:rPr>
        <w:t>Function: preposition</w:t>
      </w:r>
      <w:r>
        <w:rPr>
          <w:sz w:val="16"/>
        </w:rPr>
        <w:t xml:space="preserve"> </w:t>
      </w:r>
      <w:r w:rsidRPr="00AD5A43">
        <w:rPr>
          <w:sz w:val="16"/>
        </w:rPr>
        <w:t>Etymology: Middle English, from Old English; akin to Old High German in in, Latin in, Greek en</w:t>
      </w:r>
      <w:r>
        <w:rPr>
          <w:sz w:val="16"/>
        </w:rPr>
        <w:t xml:space="preserve"> </w:t>
      </w:r>
      <w:r w:rsidRPr="00AD5A43">
        <w:rPr>
          <w:sz w:val="16"/>
        </w:rPr>
        <w:t xml:space="preserve">1 a -- </w:t>
      </w:r>
      <w:r w:rsidRPr="00AD5A43">
        <w:rPr>
          <w:rStyle w:val="TitleChar"/>
        </w:rPr>
        <w:t>used</w:t>
      </w:r>
      <w:r w:rsidRPr="00AD5A43">
        <w:rPr>
          <w:sz w:val="16"/>
        </w:rPr>
        <w:t xml:space="preserve"> as a function word </w:t>
      </w:r>
      <w:r w:rsidRPr="00AD5A43">
        <w:rPr>
          <w:rStyle w:val="TitleChar"/>
        </w:rPr>
        <w:t xml:space="preserve">to indicate inclusion, location, or </w:t>
      </w:r>
      <w:r w:rsidRPr="000802B9">
        <w:rPr>
          <w:rStyle w:val="TitleChar"/>
          <w:highlight w:val="cyan"/>
        </w:rPr>
        <w:t>position within limits</w:t>
      </w:r>
      <w:r w:rsidRPr="00AD5A43">
        <w:rPr>
          <w:sz w:val="16"/>
        </w:rPr>
        <w:t xml:space="preserve"> &lt;in the lake&gt; &lt;wounded in the leg&gt; &lt;in the summer&gt;</w:t>
      </w:r>
    </w:p>
    <w:p w14:paraId="0223D47A" w14:textId="77777777" w:rsidR="00FE20A6" w:rsidRDefault="00FE20A6" w:rsidP="00754D3A">
      <w:pPr>
        <w:pStyle w:val="Heading2"/>
      </w:pPr>
      <w:r>
        <w:t>United States:</w:t>
      </w:r>
    </w:p>
    <w:p w14:paraId="339B039E" w14:textId="77777777" w:rsidR="00FE20A6" w:rsidRDefault="00FE20A6" w:rsidP="00FE20A6">
      <w:pPr>
        <w:pStyle w:val="Heading4"/>
      </w:pPr>
      <w:r>
        <w:t xml:space="preserve"> “in the United States” includes all locations within federal jurisdiction</w:t>
      </w:r>
    </w:p>
    <w:p w14:paraId="5CE6A030" w14:textId="77777777" w:rsidR="00FE20A6" w:rsidRDefault="00FE20A6" w:rsidP="00FE20A6">
      <w:r w:rsidRPr="00752E18">
        <w:rPr>
          <w:rStyle w:val="StyleStyleBold12pt"/>
        </w:rPr>
        <w:t xml:space="preserve">Department of </w:t>
      </w:r>
      <w:r>
        <w:rPr>
          <w:rStyle w:val="StyleStyleBold12pt"/>
        </w:rPr>
        <w:t xml:space="preserve">Education </w:t>
      </w:r>
      <w:r w:rsidRPr="00752E18">
        <w:rPr>
          <w:rStyle w:val="StyleStyleBold12pt"/>
        </w:rPr>
        <w:t>13</w:t>
      </w:r>
      <w:r>
        <w:t xml:space="preserve"> [U.S. Department of Education, CERTIFICATIONS RELEVANT TO PUBLIC LAW 99-399, </w:t>
      </w:r>
      <w:r w:rsidRPr="00752E18">
        <w:t>October 25, 2013</w:t>
      </w:r>
      <w:r>
        <w:t xml:space="preserve">, </w:t>
      </w:r>
      <w:hyperlink r:id="rId53" w:history="1">
        <w:r w:rsidRPr="00DE2631">
          <w:rPr>
            <w:rStyle w:val="Hyperlink"/>
          </w:rPr>
          <w:t>https://definedterm.com/a/definition/7844</w:t>
        </w:r>
      </w:hyperlink>
      <w:r>
        <w:t>, accessed 6-24-17, DMJ]</w:t>
      </w:r>
    </w:p>
    <w:p w14:paraId="169C2F7A" w14:textId="77777777" w:rsidR="00FE20A6" w:rsidRDefault="00FE20A6" w:rsidP="00FE20A6"/>
    <w:p w14:paraId="00D60D3A" w14:textId="77777777" w:rsidR="00FE20A6" w:rsidRPr="00752E18" w:rsidRDefault="00FE20A6" w:rsidP="00FE20A6">
      <w:pPr>
        <w:rPr>
          <w:rStyle w:val="StyleBoldUnderline"/>
        </w:rPr>
      </w:pPr>
      <w:r w:rsidRPr="00752E18">
        <w:rPr>
          <w:rStyle w:val="StyleBoldUnderline"/>
        </w:rPr>
        <w:t>“</w:t>
      </w:r>
      <w:r w:rsidRPr="00D4012E">
        <w:rPr>
          <w:rStyle w:val="StyleBoldUnderline"/>
          <w:highlight w:val="green"/>
        </w:rPr>
        <w:t>IN THE UNITED STATES</w:t>
      </w:r>
      <w:r w:rsidRPr="00752E18">
        <w:rPr>
          <w:rStyle w:val="StyleBoldUnderline"/>
        </w:rPr>
        <w:t xml:space="preserve">”—This term </w:t>
      </w:r>
      <w:r w:rsidRPr="00D4012E">
        <w:rPr>
          <w:rStyle w:val="StyleBoldUnderline"/>
          <w:highlight w:val="green"/>
        </w:rPr>
        <w:t>refers to those positions</w:t>
      </w:r>
      <w:r w:rsidRPr="00752E18">
        <w:rPr>
          <w:rStyle w:val="StyleBoldUnderline"/>
        </w:rPr>
        <w:t xml:space="preserve"> the prospective offeror maintains </w:t>
      </w:r>
      <w:r w:rsidRPr="00D4012E">
        <w:rPr>
          <w:rStyle w:val="StyleBoldUnderline"/>
          <w:highlight w:val="green"/>
        </w:rPr>
        <w:t xml:space="preserve">within all jurisdictions which are </w:t>
      </w:r>
      <w:r w:rsidRPr="00752E18">
        <w:rPr>
          <w:rStyle w:val="StyleBoldUnderline"/>
        </w:rPr>
        <w:t xml:space="preserve">one </w:t>
      </w:r>
      <w:r w:rsidRPr="00D4012E">
        <w:rPr>
          <w:rStyle w:val="StyleBoldUnderline"/>
          <w:highlight w:val="green"/>
        </w:rPr>
        <w:t>of the 50 states</w:t>
      </w:r>
      <w:r w:rsidRPr="00752E18">
        <w:rPr>
          <w:rStyle w:val="StyleBoldUnderline"/>
        </w:rPr>
        <w:t xml:space="preserve">, the </w:t>
      </w:r>
      <w:r w:rsidRPr="00D4012E">
        <w:rPr>
          <w:rStyle w:val="StyleBoldUnderline"/>
          <w:highlight w:val="green"/>
        </w:rPr>
        <w:t>D</w:t>
      </w:r>
      <w:r w:rsidRPr="00752E18">
        <w:rPr>
          <w:rStyle w:val="StyleBoldUnderline"/>
        </w:rPr>
        <w:t xml:space="preserve">istrict of </w:t>
      </w:r>
      <w:r w:rsidRPr="00D4012E">
        <w:rPr>
          <w:rStyle w:val="StyleBoldUnderline"/>
          <w:highlight w:val="green"/>
        </w:rPr>
        <w:t>C</w:t>
      </w:r>
      <w:r w:rsidRPr="00752E18">
        <w:rPr>
          <w:rStyle w:val="StyleBoldUnderline"/>
        </w:rPr>
        <w:t xml:space="preserve">olumbia, </w:t>
      </w:r>
      <w:r w:rsidRPr="00D4012E">
        <w:rPr>
          <w:rStyle w:val="StyleBoldUnderline"/>
          <w:highlight w:val="green"/>
        </w:rPr>
        <w:t>a U</w:t>
      </w:r>
      <w:r w:rsidRPr="00752E18">
        <w:rPr>
          <w:rStyle w:val="StyleBoldUnderline"/>
        </w:rPr>
        <w:t xml:space="preserve">nited </w:t>
      </w:r>
      <w:r w:rsidRPr="00D4012E">
        <w:rPr>
          <w:rStyle w:val="StyleBoldUnderline"/>
          <w:highlight w:val="green"/>
        </w:rPr>
        <w:t>S</w:t>
      </w:r>
      <w:r w:rsidRPr="00752E18">
        <w:rPr>
          <w:rStyle w:val="StyleBoldUnderline"/>
        </w:rPr>
        <w:t xml:space="preserve">tates </w:t>
      </w:r>
      <w:r w:rsidRPr="00D4012E">
        <w:rPr>
          <w:rStyle w:val="StyleBoldUnderline"/>
          <w:highlight w:val="green"/>
        </w:rPr>
        <w:t>territory</w:t>
      </w:r>
      <w:r w:rsidRPr="00752E18">
        <w:rPr>
          <w:rStyle w:val="StyleBoldUnderline"/>
        </w:rPr>
        <w:t xml:space="preserve">, a United States </w:t>
      </w:r>
      <w:r w:rsidRPr="00D4012E">
        <w:rPr>
          <w:rStyle w:val="StyleBoldUnderline"/>
          <w:highlight w:val="green"/>
        </w:rPr>
        <w:t>possession</w:t>
      </w:r>
      <w:r w:rsidRPr="00752E18">
        <w:rPr>
          <w:rStyle w:val="StyleBoldUnderline"/>
        </w:rPr>
        <w:t xml:space="preserve">, </w:t>
      </w:r>
      <w:r w:rsidRPr="00D4012E">
        <w:rPr>
          <w:rStyle w:val="StyleBoldUnderline"/>
          <w:highlight w:val="green"/>
        </w:rPr>
        <w:t xml:space="preserve">or </w:t>
      </w:r>
      <w:r w:rsidRPr="00752E18">
        <w:rPr>
          <w:rStyle w:val="StyleBoldUnderline"/>
        </w:rPr>
        <w:t xml:space="preserve">the Commonwealths of </w:t>
      </w:r>
      <w:r w:rsidRPr="00D4012E">
        <w:rPr>
          <w:rStyle w:val="StyleBoldUnderline"/>
          <w:highlight w:val="green"/>
        </w:rPr>
        <w:t>Puerto Rico or the Northern Mariana Islands</w:t>
      </w:r>
      <w:r w:rsidRPr="00752E18">
        <w:rPr>
          <w:rStyle w:val="StyleBoldUnderline"/>
        </w:rPr>
        <w:t>.</w:t>
      </w:r>
    </w:p>
    <w:p w14:paraId="2EC61C80" w14:textId="77777777" w:rsidR="00FE20A6" w:rsidRPr="00C96A12" w:rsidRDefault="00FE20A6" w:rsidP="00FE20A6"/>
    <w:p w14:paraId="01401759" w14:textId="77777777" w:rsidR="00FE20A6" w:rsidRDefault="00FE20A6" w:rsidP="00FE20A6">
      <w:pPr>
        <w:pStyle w:val="Heading4"/>
      </w:pPr>
      <w:r>
        <w:t>“United States” refers to the country as a whole</w:t>
      </w:r>
    </w:p>
    <w:p w14:paraId="12CC5CD5" w14:textId="77777777" w:rsidR="00FE20A6" w:rsidRDefault="00FE20A6" w:rsidP="00FE20A6">
      <w:r w:rsidRPr="00E13D09">
        <w:rPr>
          <w:rStyle w:val="StyleStyleBold12pt"/>
        </w:rPr>
        <w:t>AHD 9</w:t>
      </w:r>
      <w:r>
        <w:t xml:space="preserve"> – American Heritage Dictionary, “United States”, http://www.thefreedictionary.com/United+States</w:t>
      </w:r>
    </w:p>
    <w:p w14:paraId="451208A5" w14:textId="77777777" w:rsidR="00FE20A6" w:rsidRDefault="00FE20A6" w:rsidP="00FE20A6">
      <w:r w:rsidRPr="00F1407C">
        <w:rPr>
          <w:rStyle w:val="TitleChar"/>
          <w:highlight w:val="cyan"/>
        </w:rPr>
        <w:t>United States</w:t>
      </w:r>
      <w:r>
        <w:t xml:space="preserve"> or United States of America Abbr. U.S. or US or U.S.A. or USA</w:t>
      </w:r>
    </w:p>
    <w:p w14:paraId="5FE2848C" w14:textId="77777777" w:rsidR="00FE20A6" w:rsidRPr="004E2141" w:rsidRDefault="00FE20A6" w:rsidP="00FE20A6">
      <w:pPr>
        <w:rPr>
          <w:sz w:val="14"/>
        </w:rPr>
      </w:pPr>
      <w:r w:rsidRPr="00F1407C">
        <w:rPr>
          <w:rStyle w:val="TitleChar"/>
          <w:highlight w:val="cyan"/>
        </w:rPr>
        <w:t>A country</w:t>
      </w:r>
      <w:r w:rsidRPr="00E13D09">
        <w:rPr>
          <w:rStyle w:val="TitleChar"/>
        </w:rPr>
        <w:t xml:space="preserve"> of central and northwest North America </w:t>
      </w:r>
      <w:r w:rsidRPr="00F1407C">
        <w:rPr>
          <w:rStyle w:val="TitleChar"/>
          <w:highlight w:val="cyan"/>
        </w:rPr>
        <w:t>with coastlines on the Atlantic and Pacific</w:t>
      </w:r>
      <w:r w:rsidRPr="00E13D09">
        <w:rPr>
          <w:rStyle w:val="TitleChar"/>
        </w:rPr>
        <w:t xml:space="preserve"> oceans</w:t>
      </w:r>
      <w:r w:rsidRPr="00F1407C">
        <w:rPr>
          <w:sz w:val="14"/>
        </w:rPr>
        <w:t>. It includes the noncontiguous states of Alaska and Hawaii and various island territories in the Caribbean Sea and Pacific Ocean. The area now occupied by the contiguous 48 states was originally inhabited by numerous Native American peoples and was colonized beginning in the 16th century by Spain, France, the Netherlands, and England. Great Britain eventually controlled most of the Atlantic coast and, after the French and Indian Wars (1754-1763), the Northwest Territory and Canada. The original Thirteen Colonies declared their independence from Great Britain in 1776 and formed a government under the Articles of Confederation in 1781, adopting (1787) a new constitution that went into effect after 1789. The nation soon began to expand westward. Growing tensions over the issue of Black slavery divided the country along geographic lines, sparking the secession of the South and the Civil War (1861-1865). The remainder of the 19th century was marked by increased westward expansion, industrialization, and the influx of millions of immigrants. The United States entered World War II after the Japanese attack (1941) on Pearl Harbor and emerged after the war as a world power. Washington, D.C., is the capital and New York the largest city. Population: 302,000,000.</w:t>
      </w:r>
    </w:p>
    <w:p w14:paraId="6F224F09" w14:textId="77777777"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0602A0" w14:textId="77777777" w:rsidR="00754D3A" w:rsidRDefault="00754D3A" w:rsidP="00E46E7E">
      <w:r>
        <w:separator/>
      </w:r>
    </w:p>
  </w:endnote>
  <w:endnote w:type="continuationSeparator" w:id="0">
    <w:p w14:paraId="369A9F79" w14:textId="77777777" w:rsidR="00754D3A" w:rsidRDefault="00754D3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Lucida Sans Unicode">
    <w:panose1 w:val="020B0602030504020204"/>
    <w:charset w:val="00"/>
    <w:family w:val="auto"/>
    <w:pitch w:val="variable"/>
    <w:sig w:usb0="80000AFF" w:usb1="0000396B" w:usb2="00000000" w:usb3="00000000" w:csb0="000000BF" w:csb1="00000000"/>
  </w:font>
  <w:font w:name="NexusSansWebPro">
    <w:altName w:val="Cambria"/>
    <w:panose1 w:val="00000000000000000000"/>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5241F4" w14:textId="77777777" w:rsidR="00754D3A" w:rsidRDefault="00754D3A" w:rsidP="00E46E7E">
      <w:r>
        <w:separator/>
      </w:r>
    </w:p>
  </w:footnote>
  <w:footnote w:type="continuationSeparator" w:id="0">
    <w:p w14:paraId="66984272" w14:textId="77777777" w:rsidR="00754D3A" w:rsidRDefault="00754D3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F317EDD"/>
    <w:multiLevelType w:val="hybridMultilevel"/>
    <w:tmpl w:val="B9F8F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FF13C24"/>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D65FE5"/>
    <w:multiLevelType w:val="hybridMultilevel"/>
    <w:tmpl w:val="39527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nsid w:val="22FE266E"/>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5B551FF"/>
    <w:multiLevelType w:val="hybridMultilevel"/>
    <w:tmpl w:val="EB58393E"/>
    <w:lvl w:ilvl="0" w:tplc="F172374C">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5CA7D7F"/>
    <w:multiLevelType w:val="hybridMultilevel"/>
    <w:tmpl w:val="F7FACA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2F8D6536"/>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0915A44"/>
    <w:multiLevelType w:val="hybridMultilevel"/>
    <w:tmpl w:val="8D2C4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C182514"/>
    <w:multiLevelType w:val="hybridMultilevel"/>
    <w:tmpl w:val="208E3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44A41BC1"/>
    <w:multiLevelType w:val="hybridMultilevel"/>
    <w:tmpl w:val="B7BAD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6014607"/>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FAD46BF"/>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22B537C"/>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641E183B"/>
    <w:multiLevelType w:val="hybridMultilevel"/>
    <w:tmpl w:val="791C83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4FD7873"/>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7476492"/>
    <w:multiLevelType w:val="hybridMultilevel"/>
    <w:tmpl w:val="30BC0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CC470AC"/>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4E429BC"/>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2"/>
  </w:num>
  <w:num w:numId="3">
    <w:abstractNumId w:val="18"/>
  </w:num>
  <w:num w:numId="4">
    <w:abstractNumId w:val="28"/>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 w:numId="16">
    <w:abstractNumId w:val="31"/>
  </w:num>
  <w:num w:numId="17">
    <w:abstractNumId w:val="23"/>
  </w:num>
  <w:num w:numId="18">
    <w:abstractNumId w:val="16"/>
  </w:num>
  <w:num w:numId="19">
    <w:abstractNumId w:val="14"/>
  </w:num>
  <w:num w:numId="20">
    <w:abstractNumId w:val="11"/>
  </w:num>
  <w:num w:numId="21">
    <w:abstractNumId w:val="20"/>
  </w:num>
  <w:num w:numId="22">
    <w:abstractNumId w:val="13"/>
  </w:num>
  <w:num w:numId="23">
    <w:abstractNumId w:val="21"/>
  </w:num>
  <w:num w:numId="24">
    <w:abstractNumId w:val="32"/>
  </w:num>
  <w:num w:numId="25">
    <w:abstractNumId w:val="30"/>
  </w:num>
  <w:num w:numId="26">
    <w:abstractNumId w:val="26"/>
  </w:num>
  <w:num w:numId="27">
    <w:abstractNumId w:val="29"/>
  </w:num>
  <w:num w:numId="28">
    <w:abstractNumId w:val="24"/>
  </w:num>
  <w:num w:numId="29">
    <w:abstractNumId w:val="15"/>
  </w:num>
  <w:num w:numId="30">
    <w:abstractNumId w:val="27"/>
  </w:num>
  <w:num w:numId="31">
    <w:abstractNumId w:val="19"/>
  </w:num>
  <w:num w:numId="32">
    <w:abstractNumId w:val="12"/>
  </w:num>
  <w:num w:numId="33">
    <w:abstractNumId w:val="33"/>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36EA"/>
    <w:rsid w:val="00006BFB"/>
    <w:rsid w:val="000140EC"/>
    <w:rsid w:val="00016A35"/>
    <w:rsid w:val="000331A0"/>
    <w:rsid w:val="000C16B3"/>
    <w:rsid w:val="001408C0"/>
    <w:rsid w:val="00143FD7"/>
    <w:rsid w:val="001463FB"/>
    <w:rsid w:val="001710E3"/>
    <w:rsid w:val="00186DB7"/>
    <w:rsid w:val="001D7626"/>
    <w:rsid w:val="001E0A77"/>
    <w:rsid w:val="001E7AE4"/>
    <w:rsid w:val="002613DA"/>
    <w:rsid w:val="00274600"/>
    <w:rsid w:val="002B6353"/>
    <w:rsid w:val="002B68C8"/>
    <w:rsid w:val="002F35F4"/>
    <w:rsid w:val="002F3E28"/>
    <w:rsid w:val="002F40E6"/>
    <w:rsid w:val="00303E5B"/>
    <w:rsid w:val="00313226"/>
    <w:rsid w:val="0031425E"/>
    <w:rsid w:val="00325059"/>
    <w:rsid w:val="00357719"/>
    <w:rsid w:val="00371E9C"/>
    <w:rsid w:val="00374144"/>
    <w:rsid w:val="003B3EC7"/>
    <w:rsid w:val="003D64B8"/>
    <w:rsid w:val="003F42AF"/>
    <w:rsid w:val="00412F6D"/>
    <w:rsid w:val="0042635A"/>
    <w:rsid w:val="00466B6F"/>
    <w:rsid w:val="004B3188"/>
    <w:rsid w:val="004B3DB3"/>
    <w:rsid w:val="004B79C8"/>
    <w:rsid w:val="004C63B5"/>
    <w:rsid w:val="004D461E"/>
    <w:rsid w:val="00517479"/>
    <w:rsid w:val="005A0BE5"/>
    <w:rsid w:val="005C0E1F"/>
    <w:rsid w:val="005E0D2B"/>
    <w:rsid w:val="005E2C99"/>
    <w:rsid w:val="00672258"/>
    <w:rsid w:val="0067575B"/>
    <w:rsid w:val="00692732"/>
    <w:rsid w:val="00692C26"/>
    <w:rsid w:val="006F2D3D"/>
    <w:rsid w:val="00700835"/>
    <w:rsid w:val="00726F87"/>
    <w:rsid w:val="007333B9"/>
    <w:rsid w:val="00754D3A"/>
    <w:rsid w:val="00791B7D"/>
    <w:rsid w:val="007A3515"/>
    <w:rsid w:val="007D7924"/>
    <w:rsid w:val="007E470C"/>
    <w:rsid w:val="007E5F71"/>
    <w:rsid w:val="00821415"/>
    <w:rsid w:val="0083768F"/>
    <w:rsid w:val="00857B1C"/>
    <w:rsid w:val="0091595A"/>
    <w:rsid w:val="009165EA"/>
    <w:rsid w:val="00972591"/>
    <w:rsid w:val="009829F2"/>
    <w:rsid w:val="00993F61"/>
    <w:rsid w:val="009B0746"/>
    <w:rsid w:val="009C198B"/>
    <w:rsid w:val="009D207E"/>
    <w:rsid w:val="009E5822"/>
    <w:rsid w:val="009E691A"/>
    <w:rsid w:val="00A0313B"/>
    <w:rsid w:val="00A074CB"/>
    <w:rsid w:val="00A369C4"/>
    <w:rsid w:val="00A47986"/>
    <w:rsid w:val="00A91A24"/>
    <w:rsid w:val="00AC03D5"/>
    <w:rsid w:val="00AC0E99"/>
    <w:rsid w:val="00AF1E67"/>
    <w:rsid w:val="00AF5046"/>
    <w:rsid w:val="00AF70D4"/>
    <w:rsid w:val="00B169A1"/>
    <w:rsid w:val="00B33E0C"/>
    <w:rsid w:val="00B45FE9"/>
    <w:rsid w:val="00B55D49"/>
    <w:rsid w:val="00B65E97"/>
    <w:rsid w:val="00B84180"/>
    <w:rsid w:val="00BC6901"/>
    <w:rsid w:val="00BE63EA"/>
    <w:rsid w:val="00BF4A03"/>
    <w:rsid w:val="00C42A3C"/>
    <w:rsid w:val="00C96A12"/>
    <w:rsid w:val="00CD2C6D"/>
    <w:rsid w:val="00CE3833"/>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036EA"/>
    <w:rsid w:val="00E46E7E"/>
    <w:rsid w:val="00E95631"/>
    <w:rsid w:val="00EE4B58"/>
    <w:rsid w:val="00F1173B"/>
    <w:rsid w:val="00F45F2E"/>
    <w:rsid w:val="00F56764"/>
    <w:rsid w:val="00F963B5"/>
    <w:rsid w:val="00FA538E"/>
    <w:rsid w:val="00FD16A9"/>
    <w:rsid w:val="00FD50BA"/>
    <w:rsid w:val="00FE20A6"/>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17B470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E0A77"/>
    <w:rPr>
      <w:rFonts w:ascii="Calibri" w:hAnsi="Calibri"/>
      <w:sz w:val="22"/>
    </w:rPr>
  </w:style>
  <w:style w:type="paragraph" w:styleId="Heading1">
    <w:name w:val="heading 1"/>
    <w:aliases w:val="Pocket"/>
    <w:basedOn w:val="Normal"/>
    <w:next w:val="Normal"/>
    <w:link w:val="Heading1Char"/>
    <w:uiPriority w:val="9"/>
    <w:qFormat/>
    <w:rsid w:val="001E0A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E0A7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9"/>
    <w:unhideWhenUsed/>
    <w:qFormat/>
    <w:rsid w:val="001E0A7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1E0A7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20"/>
    <w:qFormat/>
    <w:rsid w:val="001E0A77"/>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1E0A7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E0A77"/>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1E0A77"/>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1E0A77"/>
    <w:rPr>
      <w:rFonts w:asciiTheme="majorHAnsi" w:eastAsiaTheme="majorEastAsia" w:hAnsiTheme="majorHAnsi" w:cstheme="majorBidi"/>
      <w:b/>
      <w:bCs/>
      <w:iCs/>
      <w:sz w:val="26"/>
    </w:rPr>
  </w:style>
  <w:style w:type="paragraph" w:styleId="NoSpacing">
    <w:name w:val="No Spacing"/>
    <w:uiPriority w:val="1"/>
    <w:rsid w:val="001E0A7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1E0A77"/>
    <w:rPr>
      <w:b/>
      <w:sz w:val="24"/>
      <w:u w:val="none"/>
    </w:rPr>
  </w:style>
  <w:style w:type="character" w:customStyle="1" w:styleId="StyleBoldUnderline">
    <w:name w:val="Style Bold Underline"/>
    <w:aliases w:val="Intense Emphasis,Underline,Style Underline,apple-style-span + 6 pt,Kern at 16 pt,Style,Bold,Intense Emphasis1,Intense Emphasis2,HHeading 3 + 12 pt,Cards + Font: 12 pt Char,Intense Emphasis11,ci,c,B,Intense Emphasis3,Underline Char,S"/>
    <w:basedOn w:val="DefaultParagraphFont"/>
    <w:uiPriority w:val="1"/>
    <w:qFormat/>
    <w:rsid w:val="001E0A77"/>
    <w:rPr>
      <w:b w:val="0"/>
      <w:sz w:val="22"/>
      <w:u w:val="single"/>
    </w:rPr>
  </w:style>
  <w:style w:type="paragraph" w:styleId="DocumentMap">
    <w:name w:val="Document Map"/>
    <w:basedOn w:val="Normal"/>
    <w:link w:val="DocumentMapChar"/>
    <w:uiPriority w:val="99"/>
    <w:semiHidden/>
    <w:unhideWhenUsed/>
    <w:rsid w:val="001E0A77"/>
    <w:rPr>
      <w:rFonts w:ascii="Lucida Grande" w:hAnsi="Lucida Grande" w:cs="Lucida Grande"/>
    </w:rPr>
  </w:style>
  <w:style w:type="character" w:customStyle="1" w:styleId="DocumentMapChar">
    <w:name w:val="Document Map Char"/>
    <w:basedOn w:val="DefaultParagraphFont"/>
    <w:link w:val="DocumentMap"/>
    <w:uiPriority w:val="99"/>
    <w:semiHidden/>
    <w:rsid w:val="001E0A77"/>
    <w:rPr>
      <w:rFonts w:ascii="Lucida Grande" w:hAnsi="Lucida Grande" w:cs="Lucida Grande"/>
      <w:sz w:val="22"/>
    </w:rPr>
  </w:style>
  <w:style w:type="paragraph" w:styleId="ListParagraph">
    <w:name w:val="List Paragraph"/>
    <w:basedOn w:val="Normal"/>
    <w:uiPriority w:val="34"/>
    <w:rsid w:val="001E0A77"/>
    <w:pPr>
      <w:ind w:left="720"/>
      <w:contextualSpacing/>
    </w:pPr>
  </w:style>
  <w:style w:type="paragraph" w:styleId="Header">
    <w:name w:val="header"/>
    <w:basedOn w:val="Normal"/>
    <w:link w:val="HeaderChar"/>
    <w:uiPriority w:val="99"/>
    <w:unhideWhenUsed/>
    <w:rsid w:val="001E0A77"/>
    <w:pPr>
      <w:tabs>
        <w:tab w:val="center" w:pos="4320"/>
        <w:tab w:val="right" w:pos="8640"/>
      </w:tabs>
    </w:pPr>
  </w:style>
  <w:style w:type="character" w:customStyle="1" w:styleId="HeaderChar">
    <w:name w:val="Header Char"/>
    <w:basedOn w:val="DefaultParagraphFont"/>
    <w:link w:val="Header"/>
    <w:uiPriority w:val="99"/>
    <w:rsid w:val="001E0A77"/>
    <w:rPr>
      <w:rFonts w:ascii="Calibri" w:hAnsi="Calibri"/>
      <w:sz w:val="22"/>
    </w:rPr>
  </w:style>
  <w:style w:type="paragraph" w:styleId="Footer">
    <w:name w:val="footer"/>
    <w:basedOn w:val="Normal"/>
    <w:link w:val="FooterChar"/>
    <w:uiPriority w:val="99"/>
    <w:unhideWhenUsed/>
    <w:rsid w:val="001E0A77"/>
    <w:pPr>
      <w:tabs>
        <w:tab w:val="center" w:pos="4320"/>
        <w:tab w:val="right" w:pos="8640"/>
      </w:tabs>
    </w:pPr>
  </w:style>
  <w:style w:type="character" w:customStyle="1" w:styleId="FooterChar">
    <w:name w:val="Footer Char"/>
    <w:basedOn w:val="DefaultParagraphFont"/>
    <w:link w:val="Footer"/>
    <w:uiPriority w:val="99"/>
    <w:rsid w:val="001E0A77"/>
    <w:rPr>
      <w:rFonts w:ascii="Calibri" w:hAnsi="Calibri"/>
      <w:sz w:val="22"/>
    </w:rPr>
  </w:style>
  <w:style w:type="character" w:styleId="PageNumber">
    <w:name w:val="page number"/>
    <w:basedOn w:val="DefaultParagraphFont"/>
    <w:uiPriority w:val="99"/>
    <w:semiHidden/>
    <w:unhideWhenUsed/>
    <w:rsid w:val="001E0A77"/>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1E0A77"/>
    <w:rPr>
      <w:color w:val="0000FF" w:themeColor="hyperlink"/>
      <w:u w:val="single"/>
    </w:rPr>
  </w:style>
  <w:style w:type="character" w:customStyle="1" w:styleId="TitleChar">
    <w:name w:val="Title Char"/>
    <w:aliases w:val="Cites and Cards Char,Bold Underlined Char,UNDERLINE Char"/>
    <w:basedOn w:val="DefaultParagraphFont"/>
    <w:link w:val="Title"/>
    <w:uiPriority w:val="6"/>
    <w:qFormat/>
    <w:rsid w:val="00E036EA"/>
    <w:rPr>
      <w:sz w:val="20"/>
      <w:u w:val="single"/>
    </w:rPr>
  </w:style>
  <w:style w:type="character" w:styleId="FollowedHyperlink">
    <w:name w:val="FollowedHyperlink"/>
    <w:basedOn w:val="DefaultParagraphFont"/>
    <w:uiPriority w:val="99"/>
    <w:semiHidden/>
    <w:unhideWhenUsed/>
    <w:rsid w:val="00E036EA"/>
    <w:rPr>
      <w:color w:val="auto"/>
      <w:u w:val="none"/>
    </w:rPr>
  </w:style>
  <w:style w:type="character" w:customStyle="1" w:styleId="Style1Char">
    <w:name w:val="Style1 Char"/>
    <w:basedOn w:val="DefaultParagraphFont"/>
    <w:rsid w:val="00E036EA"/>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E036EA"/>
    <w:rPr>
      <w:rFonts w:cs="Arial"/>
      <w:b/>
      <w:bCs/>
      <w:iCs/>
      <w:szCs w:val="28"/>
      <w:lang w:val="en-US" w:eastAsia="en-US" w:bidi="ar-SA"/>
    </w:rPr>
  </w:style>
  <w:style w:type="paragraph" w:customStyle="1" w:styleId="Style1">
    <w:name w:val="Style1"/>
    <w:basedOn w:val="Normal"/>
    <w:link w:val="Style1Char1"/>
    <w:rsid w:val="00E036EA"/>
    <w:rPr>
      <w:rFonts w:eastAsia="SimSun"/>
      <w:u w:val="single"/>
      <w:lang w:eastAsia="zh-CN"/>
    </w:rPr>
  </w:style>
  <w:style w:type="character" w:customStyle="1" w:styleId="Style1Char1">
    <w:name w:val="Style1 Char1"/>
    <w:basedOn w:val="DefaultParagraphFont"/>
    <w:link w:val="Style1"/>
    <w:rsid w:val="00E036EA"/>
    <w:rPr>
      <w:rFonts w:ascii="Calibri" w:eastAsia="SimSun" w:hAnsi="Calibri"/>
      <w:sz w:val="22"/>
      <w:u w:val="single"/>
      <w:lang w:eastAsia="zh-CN"/>
    </w:rPr>
  </w:style>
  <w:style w:type="character" w:customStyle="1" w:styleId="Style11ptUnderline">
    <w:name w:val="Style 11 pt Underline"/>
    <w:basedOn w:val="DefaultParagraphFont"/>
    <w:rsid w:val="00E036EA"/>
    <w:rPr>
      <w:sz w:val="20"/>
      <w:u w:val="single"/>
    </w:rPr>
  </w:style>
  <w:style w:type="character" w:customStyle="1" w:styleId="Style11pt">
    <w:name w:val="Style 11 pt"/>
    <w:basedOn w:val="DefaultParagraphFont"/>
    <w:rsid w:val="00E036EA"/>
    <w:rPr>
      <w:sz w:val="20"/>
    </w:rPr>
  </w:style>
  <w:style w:type="character" w:customStyle="1" w:styleId="StyleStyle4CharTimesNewRoman11pt">
    <w:name w:val="Style Style4 Char + Times New Roman 11 pt"/>
    <w:basedOn w:val="DefaultParagraphFont"/>
    <w:rsid w:val="00E036EA"/>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E036EA"/>
    <w:rPr>
      <w:color w:val="000000"/>
      <w:sz w:val="20"/>
      <w:u w:val="single"/>
    </w:rPr>
  </w:style>
  <w:style w:type="character" w:customStyle="1" w:styleId="Style11ptBlack">
    <w:name w:val="Style 11 pt Black"/>
    <w:basedOn w:val="DefaultParagraphFont"/>
    <w:rsid w:val="00E036EA"/>
    <w:rPr>
      <w:color w:val="000000"/>
      <w:sz w:val="20"/>
    </w:rPr>
  </w:style>
  <w:style w:type="character" w:customStyle="1" w:styleId="ital-inline">
    <w:name w:val="ital-inline"/>
    <w:basedOn w:val="DefaultParagraphFont"/>
    <w:rsid w:val="00E036EA"/>
  </w:style>
  <w:style w:type="character" w:customStyle="1" w:styleId="pg">
    <w:name w:val="pg"/>
    <w:basedOn w:val="DefaultParagraphFont"/>
    <w:rsid w:val="00E036EA"/>
  </w:style>
  <w:style w:type="character" w:customStyle="1" w:styleId="underline">
    <w:name w:val="underline"/>
    <w:basedOn w:val="DefaultParagraphFont"/>
    <w:qFormat/>
    <w:rsid w:val="00E036EA"/>
    <w:rPr>
      <w:rFonts w:ascii="Times New Roman" w:hAnsi="Times New Roman"/>
      <w:u w:val="single"/>
    </w:rPr>
  </w:style>
  <w:style w:type="character" w:customStyle="1" w:styleId="senselabelstart">
    <w:name w:val="sense_label start"/>
    <w:basedOn w:val="DefaultParagraphFont"/>
    <w:rsid w:val="00E036EA"/>
  </w:style>
  <w:style w:type="character" w:customStyle="1" w:styleId="sensecontent">
    <w:name w:val="sense_content"/>
    <w:basedOn w:val="DefaultParagraphFont"/>
    <w:rsid w:val="00E036EA"/>
  </w:style>
  <w:style w:type="character" w:customStyle="1" w:styleId="vi">
    <w:name w:val="vi"/>
    <w:basedOn w:val="DefaultParagraphFont"/>
    <w:rsid w:val="00E036EA"/>
  </w:style>
  <w:style w:type="character" w:customStyle="1" w:styleId="Style11ptUnderlineBorderSinglesolidlineAuto05pt">
    <w:name w:val="Style 11 pt Underline Border: : (Single solid line Auto  0.5 pt..."/>
    <w:basedOn w:val="DefaultParagraphFont"/>
    <w:rsid w:val="00E036EA"/>
    <w:rPr>
      <w:sz w:val="20"/>
      <w:u w:val="single"/>
      <w:bdr w:val="single" w:sz="4" w:space="0" w:color="auto"/>
    </w:rPr>
  </w:style>
  <w:style w:type="character" w:customStyle="1" w:styleId="senselabel">
    <w:name w:val="sense_label"/>
    <w:basedOn w:val="DefaultParagraphFont"/>
    <w:rsid w:val="00E036EA"/>
  </w:style>
  <w:style w:type="character" w:customStyle="1" w:styleId="StyleUnderlineChar11pt">
    <w:name w:val="Style Underline Char + 11 pt"/>
    <w:basedOn w:val="DefaultParagraphFont"/>
    <w:rsid w:val="00E036EA"/>
    <w:rPr>
      <w:rFonts w:ascii="Times New Roman" w:hAnsi="Times New Roman"/>
      <w:sz w:val="20"/>
      <w:szCs w:val="24"/>
      <w:u w:val="single"/>
      <w:lang w:val="en-US" w:eastAsia="en-US" w:bidi="ar-SA"/>
    </w:rPr>
  </w:style>
  <w:style w:type="character" w:customStyle="1" w:styleId="Box">
    <w:name w:val="Box"/>
    <w:basedOn w:val="DefaultParagraphFont"/>
    <w:uiPriority w:val="1"/>
    <w:qFormat/>
    <w:rsid w:val="00E036EA"/>
    <w:rPr>
      <w:b/>
      <w:u w:val="single"/>
      <w:bdr w:val="single" w:sz="4" w:space="0" w:color="auto"/>
    </w:rPr>
  </w:style>
  <w:style w:type="paragraph" w:styleId="Title">
    <w:name w:val="Title"/>
    <w:aliases w:val="Cites and Cards,Bold Underlined,UNDERLINE"/>
    <w:basedOn w:val="Normal"/>
    <w:next w:val="Normal"/>
    <w:link w:val="TitleChar"/>
    <w:uiPriority w:val="6"/>
    <w:qFormat/>
    <w:rsid w:val="00E036EA"/>
    <w:pPr>
      <w:outlineLvl w:val="0"/>
    </w:pPr>
    <w:rPr>
      <w:rFonts w:asciiTheme="minorHAnsi" w:hAnsiTheme="minorHAnsi"/>
      <w:sz w:val="20"/>
      <w:u w:val="single"/>
    </w:rPr>
  </w:style>
  <w:style w:type="character" w:customStyle="1" w:styleId="TitleChar1">
    <w:name w:val="Title Char1"/>
    <w:basedOn w:val="DefaultParagraphFont"/>
    <w:uiPriority w:val="99"/>
    <w:rsid w:val="00E036EA"/>
    <w:rPr>
      <w:rFonts w:asciiTheme="majorHAnsi" w:eastAsiaTheme="majorEastAsia" w:hAnsiTheme="majorHAnsi" w:cstheme="majorBidi"/>
      <w:color w:val="17365D" w:themeColor="text2" w:themeShade="BF"/>
      <w:spacing w:val="5"/>
      <w:kern w:val="28"/>
      <w:sz w:val="52"/>
      <w:szCs w:val="52"/>
    </w:rPr>
  </w:style>
  <w:style w:type="character" w:customStyle="1" w:styleId="pmterms1">
    <w:name w:val="pmterms1"/>
    <w:basedOn w:val="DefaultParagraphFont"/>
    <w:rsid w:val="00E036EA"/>
  </w:style>
  <w:style w:type="character" w:customStyle="1" w:styleId="Style12ptBold">
    <w:name w:val="Style 12 pt Bold"/>
    <w:basedOn w:val="DefaultParagraphFont"/>
    <w:rsid w:val="00E036EA"/>
    <w:rPr>
      <w:b/>
      <w:bCs/>
      <w:sz w:val="20"/>
    </w:rPr>
  </w:style>
  <w:style w:type="character" w:customStyle="1" w:styleId="apple-style-span">
    <w:name w:val="apple-style-span"/>
    <w:rsid w:val="00E036EA"/>
  </w:style>
  <w:style w:type="character" w:customStyle="1" w:styleId="apple-converted-space">
    <w:name w:val="apple-converted-space"/>
    <w:rsid w:val="00E036EA"/>
  </w:style>
  <w:style w:type="character" w:customStyle="1" w:styleId="italic">
    <w:name w:val="italic"/>
    <w:rsid w:val="00E036EA"/>
  </w:style>
  <w:style w:type="character" w:customStyle="1" w:styleId="hit">
    <w:name w:val="hit"/>
    <w:rsid w:val="00E036EA"/>
  </w:style>
  <w:style w:type="character" w:customStyle="1" w:styleId="Style4Char">
    <w:name w:val="Style4 Char"/>
    <w:basedOn w:val="DefaultParagraphFont"/>
    <w:rsid w:val="00E036EA"/>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E036EA"/>
    <w:rPr>
      <w:b/>
      <w:bCs/>
      <w:sz w:val="20"/>
      <w:u w:val="single"/>
    </w:rPr>
  </w:style>
  <w:style w:type="character" w:customStyle="1" w:styleId="Style11ptItalicUnderline">
    <w:name w:val="Style 11 pt Italic Underline"/>
    <w:basedOn w:val="DefaultParagraphFont"/>
    <w:rsid w:val="00E036EA"/>
    <w:rPr>
      <w:i/>
      <w:iCs/>
      <w:sz w:val="20"/>
      <w:u w:val="single"/>
    </w:rPr>
  </w:style>
  <w:style w:type="paragraph" w:customStyle="1" w:styleId="card">
    <w:name w:val="card"/>
    <w:basedOn w:val="Normal"/>
    <w:next w:val="Normal"/>
    <w:link w:val="cardChar"/>
    <w:qFormat/>
    <w:rsid w:val="00E036EA"/>
    <w:pPr>
      <w:ind w:left="288" w:right="288"/>
    </w:pPr>
    <w:rPr>
      <w:rFonts w:eastAsia="Times New Roman"/>
    </w:rPr>
  </w:style>
  <w:style w:type="character" w:customStyle="1" w:styleId="cardChar">
    <w:name w:val="card Char"/>
    <w:link w:val="card"/>
    <w:rsid w:val="00E036EA"/>
    <w:rPr>
      <w:rFonts w:ascii="Calibri" w:eastAsia="Times New Roman" w:hAnsi="Calibri"/>
      <w:sz w:val="22"/>
    </w:rPr>
  </w:style>
  <w:style w:type="character" w:customStyle="1" w:styleId="StyleStyle4CharTimesNewRoman11ptBold">
    <w:name w:val="Style Style4 Char + Times New Roman 11 pt Bold"/>
    <w:basedOn w:val="DefaultParagraphFont"/>
    <w:rsid w:val="00E036EA"/>
    <w:rPr>
      <w:rFonts w:ascii="Times New Roman" w:hAnsi="Times New Roman"/>
      <w:b/>
      <w:bCs/>
      <w:sz w:val="20"/>
      <w:szCs w:val="24"/>
      <w:u w:val="single"/>
      <w:lang w:val="en-US" w:eastAsia="en-US" w:bidi="ar-SA"/>
    </w:rPr>
  </w:style>
  <w:style w:type="paragraph" w:customStyle="1" w:styleId="textbold">
    <w:name w:val="text bold"/>
    <w:basedOn w:val="Normal"/>
    <w:link w:val="Emphasis"/>
    <w:uiPriority w:val="7"/>
    <w:qFormat/>
    <w:rsid w:val="00E036EA"/>
    <w:pPr>
      <w:ind w:left="720"/>
      <w:jc w:val="both"/>
    </w:pPr>
    <w:rPr>
      <w:b/>
      <w:iCs/>
      <w:u w:val="single"/>
    </w:rPr>
  </w:style>
  <w:style w:type="character" w:customStyle="1" w:styleId="pron">
    <w:name w:val="pron"/>
    <w:basedOn w:val="DefaultParagraphFont"/>
    <w:rsid w:val="00E036EA"/>
  </w:style>
  <w:style w:type="character" w:customStyle="1" w:styleId="showipapr">
    <w:name w:val="show_ipapr"/>
    <w:basedOn w:val="DefaultParagraphFont"/>
    <w:rsid w:val="00E036EA"/>
  </w:style>
  <w:style w:type="character" w:customStyle="1" w:styleId="prondelim">
    <w:name w:val="prondelim"/>
    <w:basedOn w:val="DefaultParagraphFont"/>
    <w:rsid w:val="00E036EA"/>
  </w:style>
  <w:style w:type="character" w:customStyle="1" w:styleId="prontoggle">
    <w:name w:val="pron_toggle"/>
    <w:basedOn w:val="DefaultParagraphFont"/>
    <w:rsid w:val="00E036EA"/>
  </w:style>
  <w:style w:type="character" w:customStyle="1" w:styleId="showspellpr">
    <w:name w:val="show_spellpr"/>
    <w:basedOn w:val="DefaultParagraphFont"/>
    <w:rsid w:val="00E036EA"/>
  </w:style>
  <w:style w:type="character" w:customStyle="1" w:styleId="dnindex">
    <w:name w:val="dnindex"/>
    <w:basedOn w:val="DefaultParagraphFont"/>
    <w:rsid w:val="00E036EA"/>
  </w:style>
  <w:style w:type="character" w:customStyle="1" w:styleId="labset">
    <w:name w:val="labset"/>
    <w:basedOn w:val="DefaultParagraphFont"/>
    <w:rsid w:val="00E036EA"/>
  </w:style>
  <w:style w:type="character" w:customStyle="1" w:styleId="pmterms2">
    <w:name w:val="pmterms2"/>
    <w:basedOn w:val="DefaultParagraphFont"/>
    <w:rsid w:val="00E036EA"/>
  </w:style>
  <w:style w:type="paragraph" w:customStyle="1" w:styleId="Emphasis1">
    <w:name w:val="Emphasis1"/>
    <w:basedOn w:val="Normal"/>
    <w:autoRedefine/>
    <w:uiPriority w:val="7"/>
    <w:qFormat/>
    <w:rsid w:val="00E036EA"/>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character" w:customStyle="1" w:styleId="StyleBold">
    <w:name w:val="Style Bold"/>
    <w:basedOn w:val="DefaultParagraphFont"/>
    <w:uiPriority w:val="9"/>
    <w:semiHidden/>
    <w:rsid w:val="00E036EA"/>
    <w:rPr>
      <w:b/>
      <w:bCs/>
    </w:rPr>
  </w:style>
  <w:style w:type="character" w:customStyle="1" w:styleId="UnresolvedMention">
    <w:name w:val="Unresolved Mention"/>
    <w:basedOn w:val="DefaultParagraphFont"/>
    <w:uiPriority w:val="99"/>
    <w:semiHidden/>
    <w:unhideWhenUsed/>
    <w:rsid w:val="00E036EA"/>
    <w:rPr>
      <w:color w:val="808080"/>
      <w:shd w:val="clear" w:color="auto" w:fill="E6E6E6"/>
    </w:rPr>
  </w:style>
  <w:style w:type="character" w:styleId="PlaceholderText">
    <w:name w:val="Placeholder Text"/>
    <w:basedOn w:val="DefaultParagraphFont"/>
    <w:uiPriority w:val="99"/>
    <w:unhideWhenUsed/>
    <w:rsid w:val="00E036EA"/>
    <w:rPr>
      <w:color w:val="808080"/>
    </w:rPr>
  </w:style>
  <w:style w:type="paragraph" w:customStyle="1" w:styleId="Style4">
    <w:name w:val="Style4"/>
    <w:basedOn w:val="Normal"/>
    <w:qFormat/>
    <w:rsid w:val="00E036EA"/>
    <w:pPr>
      <w:numPr>
        <w:numId w:val="19"/>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036EA"/>
  </w:style>
  <w:style w:type="character" w:customStyle="1" w:styleId="StyleStyle49ptChar">
    <w:name w:val="Style Style4 + 9 pt Char"/>
    <w:basedOn w:val="DefaultParagraphFont"/>
    <w:link w:val="StyleStyle49pt"/>
    <w:rsid w:val="00E036EA"/>
    <w:rPr>
      <w:rFonts w:ascii="Times New Roman" w:eastAsia="Times New Roman" w:hAnsi="Times New Roman" w:cs="Times New Roman"/>
      <w:sz w:val="20"/>
      <w:u w:val="single"/>
    </w:rPr>
  </w:style>
  <w:style w:type="character" w:customStyle="1" w:styleId="StyleTimesNewRoman9pt">
    <w:name w:val="Style Times New Roman 9 pt"/>
    <w:rsid w:val="00E036EA"/>
    <w:rPr>
      <w:sz w:val="20"/>
    </w:rPr>
  </w:style>
  <w:style w:type="character" w:customStyle="1" w:styleId="Style9ptItalicUnderline">
    <w:name w:val="Style 9 pt Italic Underline"/>
    <w:rsid w:val="00E036EA"/>
    <w:rPr>
      <w:i/>
      <w:iCs/>
      <w:sz w:val="20"/>
      <w:u w:val="single"/>
    </w:rPr>
  </w:style>
  <w:style w:type="character" w:customStyle="1" w:styleId="Style7ptBold">
    <w:name w:val="Style 7 pt Bold"/>
    <w:basedOn w:val="DefaultParagraphFont"/>
    <w:rsid w:val="00E036EA"/>
    <w:rPr>
      <w:b w:val="0"/>
      <w:bCs/>
      <w:sz w:val="14"/>
    </w:rPr>
  </w:style>
  <w:style w:type="character" w:customStyle="1" w:styleId="UnderlineBold">
    <w:name w:val="Underline + Bold"/>
    <w:uiPriority w:val="1"/>
    <w:qFormat/>
    <w:rsid w:val="00E036EA"/>
    <w:rPr>
      <w:b w:val="0"/>
      <w:sz w:val="20"/>
      <w:u w:val="single"/>
    </w:rPr>
  </w:style>
  <w:style w:type="character" w:customStyle="1" w:styleId="verdana">
    <w:name w:val="verdana"/>
    <w:rsid w:val="00E036EA"/>
  </w:style>
  <w:style w:type="character" w:customStyle="1" w:styleId="agocite">
    <w:name w:val="agocite"/>
    <w:basedOn w:val="DefaultParagraphFont"/>
    <w:rsid w:val="00E036EA"/>
  </w:style>
  <w:style w:type="paragraph" w:customStyle="1" w:styleId="CitationCharChar">
    <w:name w:val="Citation Char Char"/>
    <w:basedOn w:val="Normal"/>
    <w:uiPriority w:val="6"/>
    <w:rsid w:val="00E036EA"/>
    <w:pPr>
      <w:ind w:left="1440" w:right="1440"/>
    </w:pPr>
    <w:rPr>
      <w:rFonts w:asciiTheme="minorHAnsi" w:eastAsiaTheme="minorHAnsi" w:hAnsiTheme="minorHAnsi"/>
      <w:szCs w:val="22"/>
      <w:u w:val="single"/>
    </w:rPr>
  </w:style>
  <w:style w:type="paragraph" w:customStyle="1" w:styleId="CardIndented">
    <w:name w:val="Card (Indented)"/>
    <w:basedOn w:val="Normal"/>
    <w:link w:val="CardIndentedChar"/>
    <w:qFormat/>
    <w:rsid w:val="00E036EA"/>
    <w:pPr>
      <w:ind w:left="288"/>
    </w:pPr>
    <w:rPr>
      <w:rFonts w:eastAsiaTheme="minorHAnsi"/>
      <w:szCs w:val="22"/>
    </w:rPr>
  </w:style>
  <w:style w:type="character" w:customStyle="1" w:styleId="CardIndentedChar">
    <w:name w:val="Card (Indented) Char"/>
    <w:basedOn w:val="DefaultParagraphFont"/>
    <w:link w:val="CardIndented"/>
    <w:rsid w:val="00E036EA"/>
    <w:rPr>
      <w:rFonts w:ascii="Calibri" w:eastAsiaTheme="minorHAnsi" w:hAnsi="Calibri"/>
      <w:sz w:val="22"/>
      <w:szCs w:val="22"/>
    </w:rPr>
  </w:style>
  <w:style w:type="paragraph" w:styleId="NormalWeb">
    <w:name w:val="Normal (Web)"/>
    <w:basedOn w:val="Normal"/>
    <w:uiPriority w:val="99"/>
    <w:unhideWhenUsed/>
    <w:rsid w:val="00BF4A03"/>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E0A77"/>
    <w:rPr>
      <w:rFonts w:ascii="Calibri" w:hAnsi="Calibri"/>
      <w:sz w:val="22"/>
    </w:rPr>
  </w:style>
  <w:style w:type="paragraph" w:styleId="Heading1">
    <w:name w:val="heading 1"/>
    <w:aliases w:val="Pocket"/>
    <w:basedOn w:val="Normal"/>
    <w:next w:val="Normal"/>
    <w:link w:val="Heading1Char"/>
    <w:uiPriority w:val="9"/>
    <w:qFormat/>
    <w:rsid w:val="001E0A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E0A7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9"/>
    <w:unhideWhenUsed/>
    <w:qFormat/>
    <w:rsid w:val="001E0A7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1E0A7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20"/>
    <w:qFormat/>
    <w:rsid w:val="001E0A77"/>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1E0A7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E0A77"/>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1E0A77"/>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1E0A77"/>
    <w:rPr>
      <w:rFonts w:asciiTheme="majorHAnsi" w:eastAsiaTheme="majorEastAsia" w:hAnsiTheme="majorHAnsi" w:cstheme="majorBidi"/>
      <w:b/>
      <w:bCs/>
      <w:iCs/>
      <w:sz w:val="26"/>
    </w:rPr>
  </w:style>
  <w:style w:type="paragraph" w:styleId="NoSpacing">
    <w:name w:val="No Spacing"/>
    <w:uiPriority w:val="1"/>
    <w:rsid w:val="001E0A7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1E0A77"/>
    <w:rPr>
      <w:b/>
      <w:sz w:val="24"/>
      <w:u w:val="none"/>
    </w:rPr>
  </w:style>
  <w:style w:type="character" w:customStyle="1" w:styleId="StyleBoldUnderline">
    <w:name w:val="Style Bold Underline"/>
    <w:aliases w:val="Intense Emphasis,Underline,Style Underline,apple-style-span + 6 pt,Kern at 16 pt,Style,Bold,Intense Emphasis1,Intense Emphasis2,HHeading 3 + 12 pt,Cards + Font: 12 pt Char,Intense Emphasis11,ci,c,B,Intense Emphasis3,Underline Char,S"/>
    <w:basedOn w:val="DefaultParagraphFont"/>
    <w:uiPriority w:val="1"/>
    <w:qFormat/>
    <w:rsid w:val="001E0A77"/>
    <w:rPr>
      <w:b w:val="0"/>
      <w:sz w:val="22"/>
      <w:u w:val="single"/>
    </w:rPr>
  </w:style>
  <w:style w:type="paragraph" w:styleId="DocumentMap">
    <w:name w:val="Document Map"/>
    <w:basedOn w:val="Normal"/>
    <w:link w:val="DocumentMapChar"/>
    <w:uiPriority w:val="99"/>
    <w:semiHidden/>
    <w:unhideWhenUsed/>
    <w:rsid w:val="001E0A77"/>
    <w:rPr>
      <w:rFonts w:ascii="Lucida Grande" w:hAnsi="Lucida Grande" w:cs="Lucida Grande"/>
    </w:rPr>
  </w:style>
  <w:style w:type="character" w:customStyle="1" w:styleId="DocumentMapChar">
    <w:name w:val="Document Map Char"/>
    <w:basedOn w:val="DefaultParagraphFont"/>
    <w:link w:val="DocumentMap"/>
    <w:uiPriority w:val="99"/>
    <w:semiHidden/>
    <w:rsid w:val="001E0A77"/>
    <w:rPr>
      <w:rFonts w:ascii="Lucida Grande" w:hAnsi="Lucida Grande" w:cs="Lucida Grande"/>
      <w:sz w:val="22"/>
    </w:rPr>
  </w:style>
  <w:style w:type="paragraph" w:styleId="ListParagraph">
    <w:name w:val="List Paragraph"/>
    <w:basedOn w:val="Normal"/>
    <w:uiPriority w:val="34"/>
    <w:rsid w:val="001E0A77"/>
    <w:pPr>
      <w:ind w:left="720"/>
      <w:contextualSpacing/>
    </w:pPr>
  </w:style>
  <w:style w:type="paragraph" w:styleId="Header">
    <w:name w:val="header"/>
    <w:basedOn w:val="Normal"/>
    <w:link w:val="HeaderChar"/>
    <w:uiPriority w:val="99"/>
    <w:unhideWhenUsed/>
    <w:rsid w:val="001E0A77"/>
    <w:pPr>
      <w:tabs>
        <w:tab w:val="center" w:pos="4320"/>
        <w:tab w:val="right" w:pos="8640"/>
      </w:tabs>
    </w:pPr>
  </w:style>
  <w:style w:type="character" w:customStyle="1" w:styleId="HeaderChar">
    <w:name w:val="Header Char"/>
    <w:basedOn w:val="DefaultParagraphFont"/>
    <w:link w:val="Header"/>
    <w:uiPriority w:val="99"/>
    <w:rsid w:val="001E0A77"/>
    <w:rPr>
      <w:rFonts w:ascii="Calibri" w:hAnsi="Calibri"/>
      <w:sz w:val="22"/>
    </w:rPr>
  </w:style>
  <w:style w:type="paragraph" w:styleId="Footer">
    <w:name w:val="footer"/>
    <w:basedOn w:val="Normal"/>
    <w:link w:val="FooterChar"/>
    <w:uiPriority w:val="99"/>
    <w:unhideWhenUsed/>
    <w:rsid w:val="001E0A77"/>
    <w:pPr>
      <w:tabs>
        <w:tab w:val="center" w:pos="4320"/>
        <w:tab w:val="right" w:pos="8640"/>
      </w:tabs>
    </w:pPr>
  </w:style>
  <w:style w:type="character" w:customStyle="1" w:styleId="FooterChar">
    <w:name w:val="Footer Char"/>
    <w:basedOn w:val="DefaultParagraphFont"/>
    <w:link w:val="Footer"/>
    <w:uiPriority w:val="99"/>
    <w:rsid w:val="001E0A77"/>
    <w:rPr>
      <w:rFonts w:ascii="Calibri" w:hAnsi="Calibri"/>
      <w:sz w:val="22"/>
    </w:rPr>
  </w:style>
  <w:style w:type="character" w:styleId="PageNumber">
    <w:name w:val="page number"/>
    <w:basedOn w:val="DefaultParagraphFont"/>
    <w:uiPriority w:val="99"/>
    <w:semiHidden/>
    <w:unhideWhenUsed/>
    <w:rsid w:val="001E0A77"/>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1E0A77"/>
    <w:rPr>
      <w:color w:val="0000FF" w:themeColor="hyperlink"/>
      <w:u w:val="single"/>
    </w:rPr>
  </w:style>
  <w:style w:type="character" w:customStyle="1" w:styleId="TitleChar">
    <w:name w:val="Title Char"/>
    <w:aliases w:val="Cites and Cards Char,Bold Underlined Char,UNDERLINE Char"/>
    <w:basedOn w:val="DefaultParagraphFont"/>
    <w:link w:val="Title"/>
    <w:uiPriority w:val="6"/>
    <w:qFormat/>
    <w:rsid w:val="00E036EA"/>
    <w:rPr>
      <w:sz w:val="20"/>
      <w:u w:val="single"/>
    </w:rPr>
  </w:style>
  <w:style w:type="character" w:styleId="FollowedHyperlink">
    <w:name w:val="FollowedHyperlink"/>
    <w:basedOn w:val="DefaultParagraphFont"/>
    <w:uiPriority w:val="99"/>
    <w:semiHidden/>
    <w:unhideWhenUsed/>
    <w:rsid w:val="00E036EA"/>
    <w:rPr>
      <w:color w:val="auto"/>
      <w:u w:val="none"/>
    </w:rPr>
  </w:style>
  <w:style w:type="character" w:customStyle="1" w:styleId="Style1Char">
    <w:name w:val="Style1 Char"/>
    <w:basedOn w:val="DefaultParagraphFont"/>
    <w:rsid w:val="00E036EA"/>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E036EA"/>
    <w:rPr>
      <w:rFonts w:cs="Arial"/>
      <w:b/>
      <w:bCs/>
      <w:iCs/>
      <w:szCs w:val="28"/>
      <w:lang w:val="en-US" w:eastAsia="en-US" w:bidi="ar-SA"/>
    </w:rPr>
  </w:style>
  <w:style w:type="paragraph" w:customStyle="1" w:styleId="Style1">
    <w:name w:val="Style1"/>
    <w:basedOn w:val="Normal"/>
    <w:link w:val="Style1Char1"/>
    <w:rsid w:val="00E036EA"/>
    <w:rPr>
      <w:rFonts w:eastAsia="SimSun"/>
      <w:u w:val="single"/>
      <w:lang w:eastAsia="zh-CN"/>
    </w:rPr>
  </w:style>
  <w:style w:type="character" w:customStyle="1" w:styleId="Style1Char1">
    <w:name w:val="Style1 Char1"/>
    <w:basedOn w:val="DefaultParagraphFont"/>
    <w:link w:val="Style1"/>
    <w:rsid w:val="00E036EA"/>
    <w:rPr>
      <w:rFonts w:ascii="Calibri" w:eastAsia="SimSun" w:hAnsi="Calibri"/>
      <w:sz w:val="22"/>
      <w:u w:val="single"/>
      <w:lang w:eastAsia="zh-CN"/>
    </w:rPr>
  </w:style>
  <w:style w:type="character" w:customStyle="1" w:styleId="Style11ptUnderline">
    <w:name w:val="Style 11 pt Underline"/>
    <w:basedOn w:val="DefaultParagraphFont"/>
    <w:rsid w:val="00E036EA"/>
    <w:rPr>
      <w:sz w:val="20"/>
      <w:u w:val="single"/>
    </w:rPr>
  </w:style>
  <w:style w:type="character" w:customStyle="1" w:styleId="Style11pt">
    <w:name w:val="Style 11 pt"/>
    <w:basedOn w:val="DefaultParagraphFont"/>
    <w:rsid w:val="00E036EA"/>
    <w:rPr>
      <w:sz w:val="20"/>
    </w:rPr>
  </w:style>
  <w:style w:type="character" w:customStyle="1" w:styleId="StyleStyle4CharTimesNewRoman11pt">
    <w:name w:val="Style Style4 Char + Times New Roman 11 pt"/>
    <w:basedOn w:val="DefaultParagraphFont"/>
    <w:rsid w:val="00E036EA"/>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E036EA"/>
    <w:rPr>
      <w:color w:val="000000"/>
      <w:sz w:val="20"/>
      <w:u w:val="single"/>
    </w:rPr>
  </w:style>
  <w:style w:type="character" w:customStyle="1" w:styleId="Style11ptBlack">
    <w:name w:val="Style 11 pt Black"/>
    <w:basedOn w:val="DefaultParagraphFont"/>
    <w:rsid w:val="00E036EA"/>
    <w:rPr>
      <w:color w:val="000000"/>
      <w:sz w:val="20"/>
    </w:rPr>
  </w:style>
  <w:style w:type="character" w:customStyle="1" w:styleId="ital-inline">
    <w:name w:val="ital-inline"/>
    <w:basedOn w:val="DefaultParagraphFont"/>
    <w:rsid w:val="00E036EA"/>
  </w:style>
  <w:style w:type="character" w:customStyle="1" w:styleId="pg">
    <w:name w:val="pg"/>
    <w:basedOn w:val="DefaultParagraphFont"/>
    <w:rsid w:val="00E036EA"/>
  </w:style>
  <w:style w:type="character" w:customStyle="1" w:styleId="underline">
    <w:name w:val="underline"/>
    <w:basedOn w:val="DefaultParagraphFont"/>
    <w:qFormat/>
    <w:rsid w:val="00E036EA"/>
    <w:rPr>
      <w:rFonts w:ascii="Times New Roman" w:hAnsi="Times New Roman"/>
      <w:u w:val="single"/>
    </w:rPr>
  </w:style>
  <w:style w:type="character" w:customStyle="1" w:styleId="senselabelstart">
    <w:name w:val="sense_label start"/>
    <w:basedOn w:val="DefaultParagraphFont"/>
    <w:rsid w:val="00E036EA"/>
  </w:style>
  <w:style w:type="character" w:customStyle="1" w:styleId="sensecontent">
    <w:name w:val="sense_content"/>
    <w:basedOn w:val="DefaultParagraphFont"/>
    <w:rsid w:val="00E036EA"/>
  </w:style>
  <w:style w:type="character" w:customStyle="1" w:styleId="vi">
    <w:name w:val="vi"/>
    <w:basedOn w:val="DefaultParagraphFont"/>
    <w:rsid w:val="00E036EA"/>
  </w:style>
  <w:style w:type="character" w:customStyle="1" w:styleId="Style11ptUnderlineBorderSinglesolidlineAuto05pt">
    <w:name w:val="Style 11 pt Underline Border: : (Single solid line Auto  0.5 pt..."/>
    <w:basedOn w:val="DefaultParagraphFont"/>
    <w:rsid w:val="00E036EA"/>
    <w:rPr>
      <w:sz w:val="20"/>
      <w:u w:val="single"/>
      <w:bdr w:val="single" w:sz="4" w:space="0" w:color="auto"/>
    </w:rPr>
  </w:style>
  <w:style w:type="character" w:customStyle="1" w:styleId="senselabel">
    <w:name w:val="sense_label"/>
    <w:basedOn w:val="DefaultParagraphFont"/>
    <w:rsid w:val="00E036EA"/>
  </w:style>
  <w:style w:type="character" w:customStyle="1" w:styleId="StyleUnderlineChar11pt">
    <w:name w:val="Style Underline Char + 11 pt"/>
    <w:basedOn w:val="DefaultParagraphFont"/>
    <w:rsid w:val="00E036EA"/>
    <w:rPr>
      <w:rFonts w:ascii="Times New Roman" w:hAnsi="Times New Roman"/>
      <w:sz w:val="20"/>
      <w:szCs w:val="24"/>
      <w:u w:val="single"/>
      <w:lang w:val="en-US" w:eastAsia="en-US" w:bidi="ar-SA"/>
    </w:rPr>
  </w:style>
  <w:style w:type="character" w:customStyle="1" w:styleId="Box">
    <w:name w:val="Box"/>
    <w:basedOn w:val="DefaultParagraphFont"/>
    <w:uiPriority w:val="1"/>
    <w:qFormat/>
    <w:rsid w:val="00E036EA"/>
    <w:rPr>
      <w:b/>
      <w:u w:val="single"/>
      <w:bdr w:val="single" w:sz="4" w:space="0" w:color="auto"/>
    </w:rPr>
  </w:style>
  <w:style w:type="paragraph" w:styleId="Title">
    <w:name w:val="Title"/>
    <w:aliases w:val="Cites and Cards,Bold Underlined,UNDERLINE"/>
    <w:basedOn w:val="Normal"/>
    <w:next w:val="Normal"/>
    <w:link w:val="TitleChar"/>
    <w:uiPriority w:val="6"/>
    <w:qFormat/>
    <w:rsid w:val="00E036EA"/>
    <w:pPr>
      <w:outlineLvl w:val="0"/>
    </w:pPr>
    <w:rPr>
      <w:rFonts w:asciiTheme="minorHAnsi" w:hAnsiTheme="minorHAnsi"/>
      <w:sz w:val="20"/>
      <w:u w:val="single"/>
    </w:rPr>
  </w:style>
  <w:style w:type="character" w:customStyle="1" w:styleId="TitleChar1">
    <w:name w:val="Title Char1"/>
    <w:basedOn w:val="DefaultParagraphFont"/>
    <w:uiPriority w:val="99"/>
    <w:rsid w:val="00E036EA"/>
    <w:rPr>
      <w:rFonts w:asciiTheme="majorHAnsi" w:eastAsiaTheme="majorEastAsia" w:hAnsiTheme="majorHAnsi" w:cstheme="majorBidi"/>
      <w:color w:val="17365D" w:themeColor="text2" w:themeShade="BF"/>
      <w:spacing w:val="5"/>
      <w:kern w:val="28"/>
      <w:sz w:val="52"/>
      <w:szCs w:val="52"/>
    </w:rPr>
  </w:style>
  <w:style w:type="character" w:customStyle="1" w:styleId="pmterms1">
    <w:name w:val="pmterms1"/>
    <w:basedOn w:val="DefaultParagraphFont"/>
    <w:rsid w:val="00E036EA"/>
  </w:style>
  <w:style w:type="character" w:customStyle="1" w:styleId="Style12ptBold">
    <w:name w:val="Style 12 pt Bold"/>
    <w:basedOn w:val="DefaultParagraphFont"/>
    <w:rsid w:val="00E036EA"/>
    <w:rPr>
      <w:b/>
      <w:bCs/>
      <w:sz w:val="20"/>
    </w:rPr>
  </w:style>
  <w:style w:type="character" w:customStyle="1" w:styleId="apple-style-span">
    <w:name w:val="apple-style-span"/>
    <w:rsid w:val="00E036EA"/>
  </w:style>
  <w:style w:type="character" w:customStyle="1" w:styleId="apple-converted-space">
    <w:name w:val="apple-converted-space"/>
    <w:rsid w:val="00E036EA"/>
  </w:style>
  <w:style w:type="character" w:customStyle="1" w:styleId="italic">
    <w:name w:val="italic"/>
    <w:rsid w:val="00E036EA"/>
  </w:style>
  <w:style w:type="character" w:customStyle="1" w:styleId="hit">
    <w:name w:val="hit"/>
    <w:rsid w:val="00E036EA"/>
  </w:style>
  <w:style w:type="character" w:customStyle="1" w:styleId="Style4Char">
    <w:name w:val="Style4 Char"/>
    <w:basedOn w:val="DefaultParagraphFont"/>
    <w:rsid w:val="00E036EA"/>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E036EA"/>
    <w:rPr>
      <w:b/>
      <w:bCs/>
      <w:sz w:val="20"/>
      <w:u w:val="single"/>
    </w:rPr>
  </w:style>
  <w:style w:type="character" w:customStyle="1" w:styleId="Style11ptItalicUnderline">
    <w:name w:val="Style 11 pt Italic Underline"/>
    <w:basedOn w:val="DefaultParagraphFont"/>
    <w:rsid w:val="00E036EA"/>
    <w:rPr>
      <w:i/>
      <w:iCs/>
      <w:sz w:val="20"/>
      <w:u w:val="single"/>
    </w:rPr>
  </w:style>
  <w:style w:type="paragraph" w:customStyle="1" w:styleId="card">
    <w:name w:val="card"/>
    <w:basedOn w:val="Normal"/>
    <w:next w:val="Normal"/>
    <w:link w:val="cardChar"/>
    <w:qFormat/>
    <w:rsid w:val="00E036EA"/>
    <w:pPr>
      <w:ind w:left="288" w:right="288"/>
    </w:pPr>
    <w:rPr>
      <w:rFonts w:eastAsia="Times New Roman"/>
    </w:rPr>
  </w:style>
  <w:style w:type="character" w:customStyle="1" w:styleId="cardChar">
    <w:name w:val="card Char"/>
    <w:link w:val="card"/>
    <w:rsid w:val="00E036EA"/>
    <w:rPr>
      <w:rFonts w:ascii="Calibri" w:eastAsia="Times New Roman" w:hAnsi="Calibri"/>
      <w:sz w:val="22"/>
    </w:rPr>
  </w:style>
  <w:style w:type="character" w:customStyle="1" w:styleId="StyleStyle4CharTimesNewRoman11ptBold">
    <w:name w:val="Style Style4 Char + Times New Roman 11 pt Bold"/>
    <w:basedOn w:val="DefaultParagraphFont"/>
    <w:rsid w:val="00E036EA"/>
    <w:rPr>
      <w:rFonts w:ascii="Times New Roman" w:hAnsi="Times New Roman"/>
      <w:b/>
      <w:bCs/>
      <w:sz w:val="20"/>
      <w:szCs w:val="24"/>
      <w:u w:val="single"/>
      <w:lang w:val="en-US" w:eastAsia="en-US" w:bidi="ar-SA"/>
    </w:rPr>
  </w:style>
  <w:style w:type="paragraph" w:customStyle="1" w:styleId="textbold">
    <w:name w:val="text bold"/>
    <w:basedOn w:val="Normal"/>
    <w:link w:val="Emphasis"/>
    <w:uiPriority w:val="7"/>
    <w:qFormat/>
    <w:rsid w:val="00E036EA"/>
    <w:pPr>
      <w:ind w:left="720"/>
      <w:jc w:val="both"/>
    </w:pPr>
    <w:rPr>
      <w:b/>
      <w:iCs/>
      <w:u w:val="single"/>
    </w:rPr>
  </w:style>
  <w:style w:type="character" w:customStyle="1" w:styleId="pron">
    <w:name w:val="pron"/>
    <w:basedOn w:val="DefaultParagraphFont"/>
    <w:rsid w:val="00E036EA"/>
  </w:style>
  <w:style w:type="character" w:customStyle="1" w:styleId="showipapr">
    <w:name w:val="show_ipapr"/>
    <w:basedOn w:val="DefaultParagraphFont"/>
    <w:rsid w:val="00E036EA"/>
  </w:style>
  <w:style w:type="character" w:customStyle="1" w:styleId="prondelim">
    <w:name w:val="prondelim"/>
    <w:basedOn w:val="DefaultParagraphFont"/>
    <w:rsid w:val="00E036EA"/>
  </w:style>
  <w:style w:type="character" w:customStyle="1" w:styleId="prontoggle">
    <w:name w:val="pron_toggle"/>
    <w:basedOn w:val="DefaultParagraphFont"/>
    <w:rsid w:val="00E036EA"/>
  </w:style>
  <w:style w:type="character" w:customStyle="1" w:styleId="showspellpr">
    <w:name w:val="show_spellpr"/>
    <w:basedOn w:val="DefaultParagraphFont"/>
    <w:rsid w:val="00E036EA"/>
  </w:style>
  <w:style w:type="character" w:customStyle="1" w:styleId="dnindex">
    <w:name w:val="dnindex"/>
    <w:basedOn w:val="DefaultParagraphFont"/>
    <w:rsid w:val="00E036EA"/>
  </w:style>
  <w:style w:type="character" w:customStyle="1" w:styleId="labset">
    <w:name w:val="labset"/>
    <w:basedOn w:val="DefaultParagraphFont"/>
    <w:rsid w:val="00E036EA"/>
  </w:style>
  <w:style w:type="character" w:customStyle="1" w:styleId="pmterms2">
    <w:name w:val="pmterms2"/>
    <w:basedOn w:val="DefaultParagraphFont"/>
    <w:rsid w:val="00E036EA"/>
  </w:style>
  <w:style w:type="paragraph" w:customStyle="1" w:styleId="Emphasis1">
    <w:name w:val="Emphasis1"/>
    <w:basedOn w:val="Normal"/>
    <w:autoRedefine/>
    <w:uiPriority w:val="7"/>
    <w:qFormat/>
    <w:rsid w:val="00E036EA"/>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character" w:customStyle="1" w:styleId="StyleBold">
    <w:name w:val="Style Bold"/>
    <w:basedOn w:val="DefaultParagraphFont"/>
    <w:uiPriority w:val="9"/>
    <w:semiHidden/>
    <w:rsid w:val="00E036EA"/>
    <w:rPr>
      <w:b/>
      <w:bCs/>
    </w:rPr>
  </w:style>
  <w:style w:type="character" w:customStyle="1" w:styleId="UnresolvedMention">
    <w:name w:val="Unresolved Mention"/>
    <w:basedOn w:val="DefaultParagraphFont"/>
    <w:uiPriority w:val="99"/>
    <w:semiHidden/>
    <w:unhideWhenUsed/>
    <w:rsid w:val="00E036EA"/>
    <w:rPr>
      <w:color w:val="808080"/>
      <w:shd w:val="clear" w:color="auto" w:fill="E6E6E6"/>
    </w:rPr>
  </w:style>
  <w:style w:type="character" w:styleId="PlaceholderText">
    <w:name w:val="Placeholder Text"/>
    <w:basedOn w:val="DefaultParagraphFont"/>
    <w:uiPriority w:val="99"/>
    <w:unhideWhenUsed/>
    <w:rsid w:val="00E036EA"/>
    <w:rPr>
      <w:color w:val="808080"/>
    </w:rPr>
  </w:style>
  <w:style w:type="paragraph" w:customStyle="1" w:styleId="Style4">
    <w:name w:val="Style4"/>
    <w:basedOn w:val="Normal"/>
    <w:qFormat/>
    <w:rsid w:val="00E036EA"/>
    <w:pPr>
      <w:numPr>
        <w:numId w:val="19"/>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036EA"/>
  </w:style>
  <w:style w:type="character" w:customStyle="1" w:styleId="StyleStyle49ptChar">
    <w:name w:val="Style Style4 + 9 pt Char"/>
    <w:basedOn w:val="DefaultParagraphFont"/>
    <w:link w:val="StyleStyle49pt"/>
    <w:rsid w:val="00E036EA"/>
    <w:rPr>
      <w:rFonts w:ascii="Times New Roman" w:eastAsia="Times New Roman" w:hAnsi="Times New Roman" w:cs="Times New Roman"/>
      <w:sz w:val="20"/>
      <w:u w:val="single"/>
    </w:rPr>
  </w:style>
  <w:style w:type="character" w:customStyle="1" w:styleId="StyleTimesNewRoman9pt">
    <w:name w:val="Style Times New Roman 9 pt"/>
    <w:rsid w:val="00E036EA"/>
    <w:rPr>
      <w:sz w:val="20"/>
    </w:rPr>
  </w:style>
  <w:style w:type="character" w:customStyle="1" w:styleId="Style9ptItalicUnderline">
    <w:name w:val="Style 9 pt Italic Underline"/>
    <w:rsid w:val="00E036EA"/>
    <w:rPr>
      <w:i/>
      <w:iCs/>
      <w:sz w:val="20"/>
      <w:u w:val="single"/>
    </w:rPr>
  </w:style>
  <w:style w:type="character" w:customStyle="1" w:styleId="Style7ptBold">
    <w:name w:val="Style 7 pt Bold"/>
    <w:basedOn w:val="DefaultParagraphFont"/>
    <w:rsid w:val="00E036EA"/>
    <w:rPr>
      <w:b w:val="0"/>
      <w:bCs/>
      <w:sz w:val="14"/>
    </w:rPr>
  </w:style>
  <w:style w:type="character" w:customStyle="1" w:styleId="UnderlineBold">
    <w:name w:val="Underline + Bold"/>
    <w:uiPriority w:val="1"/>
    <w:qFormat/>
    <w:rsid w:val="00E036EA"/>
    <w:rPr>
      <w:b w:val="0"/>
      <w:sz w:val="20"/>
      <w:u w:val="single"/>
    </w:rPr>
  </w:style>
  <w:style w:type="character" w:customStyle="1" w:styleId="verdana">
    <w:name w:val="verdana"/>
    <w:rsid w:val="00E036EA"/>
  </w:style>
  <w:style w:type="character" w:customStyle="1" w:styleId="agocite">
    <w:name w:val="agocite"/>
    <w:basedOn w:val="DefaultParagraphFont"/>
    <w:rsid w:val="00E036EA"/>
  </w:style>
  <w:style w:type="paragraph" w:customStyle="1" w:styleId="CitationCharChar">
    <w:name w:val="Citation Char Char"/>
    <w:basedOn w:val="Normal"/>
    <w:uiPriority w:val="6"/>
    <w:rsid w:val="00E036EA"/>
    <w:pPr>
      <w:ind w:left="1440" w:right="1440"/>
    </w:pPr>
    <w:rPr>
      <w:rFonts w:asciiTheme="minorHAnsi" w:eastAsiaTheme="minorHAnsi" w:hAnsiTheme="minorHAnsi"/>
      <w:szCs w:val="22"/>
      <w:u w:val="single"/>
    </w:rPr>
  </w:style>
  <w:style w:type="paragraph" w:customStyle="1" w:styleId="CardIndented">
    <w:name w:val="Card (Indented)"/>
    <w:basedOn w:val="Normal"/>
    <w:link w:val="CardIndentedChar"/>
    <w:qFormat/>
    <w:rsid w:val="00E036EA"/>
    <w:pPr>
      <w:ind w:left="288"/>
    </w:pPr>
    <w:rPr>
      <w:rFonts w:eastAsiaTheme="minorHAnsi"/>
      <w:szCs w:val="22"/>
    </w:rPr>
  </w:style>
  <w:style w:type="character" w:customStyle="1" w:styleId="CardIndentedChar">
    <w:name w:val="Card (Indented) Char"/>
    <w:basedOn w:val="DefaultParagraphFont"/>
    <w:link w:val="CardIndented"/>
    <w:rsid w:val="00E036EA"/>
    <w:rPr>
      <w:rFonts w:ascii="Calibri" w:eastAsiaTheme="minorHAnsi" w:hAnsi="Calibri"/>
      <w:sz w:val="22"/>
      <w:szCs w:val="22"/>
    </w:rPr>
  </w:style>
  <w:style w:type="paragraph" w:styleId="NormalWeb">
    <w:name w:val="Normal (Web)"/>
    <w:basedOn w:val="Normal"/>
    <w:uiPriority w:val="99"/>
    <w:unhideWhenUsed/>
    <w:rsid w:val="00BF4A03"/>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interactive/projects/cp/climate/2015-paris-climate-talks/a-leaner-climate-proposal-emerges-complete-with-big-questions" TargetMode="External"/><Relationship Id="rId14" Type="http://schemas.openxmlformats.org/officeDocument/2006/relationships/hyperlink" Target="http://www.sarpn.org.za/documents/d0001784/5-US-agric_Sept2005_Chap2.pdf" TargetMode="External"/><Relationship Id="rId15" Type="http://schemas.openxmlformats.org/officeDocument/2006/relationships/hyperlink" Target="http://dictionary.reference.com/help/ahd4/pronkey.html" TargetMode="External"/><Relationship Id="rId16" Type="http://schemas.openxmlformats.org/officeDocument/2006/relationships/hyperlink" Target="http://dictionary.reference.com/search?q=if" TargetMode="External"/><Relationship Id="rId17" Type="http://schemas.openxmlformats.org/officeDocument/2006/relationships/hyperlink" Target="http://dictionary.reference.com/search?q=rather" TargetMode="External"/><Relationship Id="rId18" Type="http://schemas.openxmlformats.org/officeDocument/2006/relationships/hyperlink" Target="http://dictionary.reference.com/search?q=shall" TargetMode="External"/><Relationship Id="rId19" Type="http://schemas.openxmlformats.org/officeDocument/2006/relationships/hyperlink" Target="https://en.oxforddictionaries.com/definition/us/increase" TargetMode="External"/><Relationship Id="rId50" Type="http://schemas.openxmlformats.org/officeDocument/2006/relationships/hyperlink" Target="http://encarta.msn.com/encnet/features/dictionary/Pronounce.aspx?search=in" TargetMode="External"/><Relationship Id="rId51" Type="http://schemas.openxmlformats.org/officeDocument/2006/relationships/hyperlink" Target="http://ky.findacase.com/research/wfrmDocViewer.aspx/xq/fac.19521113_0040095.KY.htm/qx" TargetMode="External"/><Relationship Id="rId52" Type="http://schemas.openxmlformats.org/officeDocument/2006/relationships/hyperlink" Target="http://www.m-w.com/cgi-bin/dictionary?book=Dictionary&amp;va=in" TargetMode="External"/><Relationship Id="rId53" Type="http://schemas.openxmlformats.org/officeDocument/2006/relationships/hyperlink" Target="https://definedterm.com/a/definition/7844" TargetMode="External"/><Relationship Id="rId54" Type="http://schemas.openxmlformats.org/officeDocument/2006/relationships/fontTable" Target="fontTable.xml"/><Relationship Id="rId55" Type="http://schemas.openxmlformats.org/officeDocument/2006/relationships/theme" Target="theme/theme1.xml"/><Relationship Id="rId40" Type="http://schemas.openxmlformats.org/officeDocument/2006/relationships/hyperlink" Target="https://www.unicef.org/education/files/QualityEducation.PDF" TargetMode="External"/><Relationship Id="rId41" Type="http://schemas.openxmlformats.org/officeDocument/2006/relationships/hyperlink" Target="https://www.unicef.org/education/files/QualityEducation.PDF" TargetMode="External"/><Relationship Id="rId42" Type="http://schemas.openxmlformats.org/officeDocument/2006/relationships/hyperlink" Target="http://www.highereducation.org/reports/challenges/challenges4.shtml)" TargetMode="External"/><Relationship Id="rId43" Type="http://schemas.openxmlformats.org/officeDocument/2006/relationships/hyperlink" Target="https://fas.org/sgp/crs/misc/R43126.pdf)" TargetMode="External"/><Relationship Id="rId44" Type="http://schemas.openxmlformats.org/officeDocument/2006/relationships/hyperlink" Target="https://obamawhitehouse.archives.gov/blog/2013/03/28/school-resource-officers)" TargetMode="External"/><Relationship Id="rId45" Type="http://schemas.openxmlformats.org/officeDocument/2006/relationships/hyperlink" Target="https://web.stanford.edu/~dlabaree/publication2013/Let's_Measure.pdf" TargetMode="External"/><Relationship Id="rId46" Type="http://schemas.openxmlformats.org/officeDocument/2006/relationships/hyperlink" Target="http://sutherlandinstitute.org/education-spending-and-the-danger-of-narrow-policy-thinking/" TargetMode="External"/><Relationship Id="rId47" Type="http://schemas.openxmlformats.org/officeDocument/2006/relationships/hyperlink" Target="http://www.alaskool.org/native_ed/articles/ongtooguk/BristolBayEdSummitNov04.html" TargetMode="External"/><Relationship Id="rId48" Type="http://schemas.openxmlformats.org/officeDocument/2006/relationships/hyperlink" Target="http://languagelog.ldc.upenn.edu/nll/?p=35" TargetMode="External"/><Relationship Id="rId49" Type="http://schemas.openxmlformats.org/officeDocument/2006/relationships/hyperlink" Target="http://encarta.msn.com/encnet/features/dictionary/DictionaryResults.aspx?refid=1861620513"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image" Target="media/image1.png"/><Relationship Id="rId31" Type="http://schemas.openxmlformats.org/officeDocument/2006/relationships/image" Target="media/image2.png"/><Relationship Id="rId32" Type="http://schemas.openxmlformats.org/officeDocument/2006/relationships/image" Target="media/image3.png"/><Relationship Id="rId33" Type="http://schemas.openxmlformats.org/officeDocument/2006/relationships/hyperlink" Target="http://education.yahoo.com/reference/dictionary/pronunciation_key" TargetMode="External"/><Relationship Id="rId34" Type="http://schemas.openxmlformats.org/officeDocument/2006/relationships/hyperlink" Target="https://isss.umn.edu/publications/USEducation/4.pdf" TargetMode="External"/><Relationship Id="rId35" Type="http://schemas.openxmlformats.org/officeDocument/2006/relationships/hyperlink" Target="http://www.edcentral.org/edcyclopedia/adult-secondary-education/" TargetMode="External"/><Relationship Id="rId36" Type="http://schemas.openxmlformats.org/officeDocument/2006/relationships/hyperlink" Target="https://www.jstor.org/stable/1475873?seq=1" TargetMode="External"/><Relationship Id="rId37" Type="http://schemas.openxmlformats.org/officeDocument/2006/relationships/hyperlink" Target="http://webcache.googleusercontent.com/search?q=cache:http://www.ardue.org.uk/world/educ.html" TargetMode="External"/><Relationship Id="rId38" Type="http://schemas.openxmlformats.org/officeDocument/2006/relationships/hyperlink" Target="http://education.jhu.edu/PD/newhorizons/lifelonglearning/higher-education/internet/index.html" TargetMode="External"/><Relationship Id="rId39" Type="http://schemas.openxmlformats.org/officeDocument/2006/relationships/hyperlink" Target="http://www.edcentral.org/edcyclopedia/school-finance/" TargetMode="External"/><Relationship Id="rId20" Type="http://schemas.openxmlformats.org/officeDocument/2006/relationships/hyperlink" Target="http://www.wiche.edu/info/gwypf/dal_fedPolicy.pdf)" TargetMode="External"/><Relationship Id="rId21" Type="http://schemas.openxmlformats.org/officeDocument/2006/relationships/hyperlink" Target="http://www.ed.gov/about/offices/list/ous/international/usnei/edlite-index.html" TargetMode="External"/><Relationship Id="rId22" Type="http://schemas.openxmlformats.org/officeDocument/2006/relationships/hyperlink" Target="https://www.mercatus.org/system/files/RegulatoryPrimer_DudleyBrito_0.pdf" TargetMode="External"/><Relationship Id="rId23" Type="http://schemas.openxmlformats.org/officeDocument/2006/relationships/hyperlink" Target="https://www.merriam-webster.com/dictionary/regulation" TargetMode="External"/><Relationship Id="rId24" Type="http://schemas.openxmlformats.org/officeDocument/2006/relationships/hyperlink" Target="http://www.washingtonpost.com/wp-dyn/content/article/2009/06/08/AR2009060803499.html" TargetMode="External"/><Relationship Id="rId25" Type="http://schemas.openxmlformats.org/officeDocument/2006/relationships/hyperlink" Target="https://casetext.com/case/people-v-miller-1432" TargetMode="External"/><Relationship Id="rId26" Type="http://schemas.openxmlformats.org/officeDocument/2006/relationships/hyperlink" Target="https://casetext.com/case/people-v-miller-1432" TargetMode="External"/><Relationship Id="rId27" Type="http://schemas.openxmlformats.org/officeDocument/2006/relationships/hyperlink" Target="https://casetext.com/statute/11-usc-523-exceptions-to-discharge" TargetMode="External"/><Relationship Id="rId28" Type="http://schemas.openxmlformats.org/officeDocument/2006/relationships/hyperlink" Target="https://edsource.org/2017/california-would-lose-400-million-in-federal-k-12-education-funding-under-trump-budget/582370" TargetMode="External"/><Relationship Id="rId29" Type="http://schemas.openxmlformats.org/officeDocument/2006/relationships/hyperlink" Target="https://edsource.org/2017/trump-budget-would-result-in-loss-of-hundreds-of-millions-in-education-dollars-to-california/578803" TargetMode="External"/><Relationship Id="rId10" Type="http://schemas.openxmlformats.org/officeDocument/2006/relationships/endnotes" Target="endnotes.xml"/><Relationship Id="rId11" Type="http://schemas.openxmlformats.org/officeDocument/2006/relationships/hyperlink" Target="http://ccc.commnet.edu/grammar/marks/colon.htm" TargetMode="External"/><Relationship Id="rId12" Type="http://schemas.openxmlformats.org/officeDocument/2006/relationships/hyperlink" Target="http://encarta.msn.com/encnet/features/dictionary/DictionaryResults.aspx?refid=18615986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69</Pages>
  <Words>27165</Words>
  <Characters>154847</Characters>
  <Application>Microsoft Macintosh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181649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20</cp:revision>
  <dcterms:created xsi:type="dcterms:W3CDTF">2017-07-19T20:32:00Z</dcterms:created>
  <dcterms:modified xsi:type="dcterms:W3CDTF">2017-07-23T05:05:00Z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