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FADA40" w14:textId="77777777" w:rsidR="00591312" w:rsidRDefault="00591312" w:rsidP="00591312"/>
    <w:p w14:paraId="3B8331E6" w14:textId="77777777" w:rsidR="00751D2A" w:rsidRDefault="00751D2A" w:rsidP="00591312">
      <w:r w:rsidRPr="00591312">
        <w:t>Resolved:   The United States federal government should substantially increase its funding and/or regulation of elementary and/or secondary education in the United States.</w:t>
      </w:r>
    </w:p>
    <w:p w14:paraId="4F93B406" w14:textId="77777777" w:rsidR="00591312" w:rsidRPr="00591312" w:rsidRDefault="00591312" w:rsidP="00591312"/>
    <w:p w14:paraId="6E1B4AC8" w14:textId="6628F303" w:rsidR="00751D2A" w:rsidRDefault="00751D2A" w:rsidP="00751D2A">
      <w:pPr>
        <w:pStyle w:val="Heading1"/>
      </w:pPr>
      <w:bookmarkStart w:id="0" w:name="_GoBack"/>
      <w:bookmarkEnd w:id="0"/>
      <w:r>
        <w:lastRenderedPageBreak/>
        <w:t>* ELEMENTARY EDUCATION</w:t>
      </w:r>
    </w:p>
    <w:p w14:paraId="3612577B" w14:textId="77777777" w:rsidR="00EF6589" w:rsidRDefault="00EF6589" w:rsidP="00EF6589">
      <w:pPr>
        <w:pStyle w:val="Heading2"/>
      </w:pPr>
      <w:r>
        <w:t xml:space="preserve">T – Kindergarten </w:t>
      </w:r>
    </w:p>
    <w:p w14:paraId="78B2DCB3" w14:textId="77777777" w:rsidR="00EF6589" w:rsidRPr="005015BA" w:rsidRDefault="00EF6589" w:rsidP="00EF6589">
      <w:pPr>
        <w:pStyle w:val="Heading4"/>
      </w:pPr>
      <w:r w:rsidRPr="005015BA">
        <w:t>E</w:t>
      </w:r>
      <w:r w:rsidRPr="005015BA">
        <w:rPr>
          <w:u w:val="single"/>
        </w:rPr>
        <w:t>xcludes</w:t>
      </w:r>
      <w:r w:rsidRPr="005015BA">
        <w:t xml:space="preserve"> early childhood education</w:t>
      </w:r>
    </w:p>
    <w:p w14:paraId="00C9C920" w14:textId="77777777" w:rsidR="00EF6589" w:rsidRPr="005015BA" w:rsidRDefault="00EF6589" w:rsidP="00EF6589">
      <w:proofErr w:type="spellStart"/>
      <w:r w:rsidRPr="005015BA">
        <w:rPr>
          <w:rStyle w:val="StyleStyleBold12pt"/>
        </w:rPr>
        <w:t>Flavin</w:t>
      </w:r>
      <w:proofErr w:type="spellEnd"/>
      <w:r w:rsidRPr="005015BA">
        <w:rPr>
          <w:rStyle w:val="StyleStyleBold12pt"/>
        </w:rPr>
        <w:t xml:space="preserve"> 16 –</w:t>
      </w:r>
      <w:r w:rsidRPr="005015BA">
        <w:t xml:space="preserve"> Brianna </w:t>
      </w:r>
      <w:proofErr w:type="spellStart"/>
      <w:r w:rsidRPr="005015BA">
        <w:t>Flavin</w:t>
      </w:r>
      <w:proofErr w:type="spellEnd"/>
      <w:r w:rsidRPr="005015BA">
        <w:t xml:space="preserve">, MFA, Freelance Writer for </w:t>
      </w:r>
      <w:proofErr w:type="spellStart"/>
      <w:r w:rsidRPr="005015BA">
        <w:t>Collegis</w:t>
      </w:r>
      <w:proofErr w:type="spellEnd"/>
      <w:r w:rsidRPr="005015BA">
        <w:t xml:space="preserve"> Education, “Early Childhood Education vs. Elementary Education: Which Environment is Right for You?</w:t>
      </w:r>
      <w:proofErr w:type="gramStart"/>
      <w:r w:rsidRPr="005015BA">
        <w:t>”,</w:t>
      </w:r>
      <w:proofErr w:type="gramEnd"/>
      <w:r w:rsidRPr="005015BA">
        <w:t xml:space="preserve"> Rasmussen 5-23, http://www.rasmussen.edu/degrees/education/blog/early-childhood-education-vs-elementary-education/</w:t>
      </w:r>
    </w:p>
    <w:p w14:paraId="58357B1C" w14:textId="77777777" w:rsidR="00EF6589" w:rsidRPr="005015BA" w:rsidRDefault="00EF6589" w:rsidP="00EF6589">
      <w:r w:rsidRPr="005015BA">
        <w:rPr>
          <w:rStyle w:val="StyleBoldUnderline"/>
        </w:rPr>
        <w:t>Early childhood education</w:t>
      </w:r>
      <w:r w:rsidRPr="005015BA">
        <w:t xml:space="preserve"> (ECE) </w:t>
      </w:r>
      <w:r w:rsidRPr="005015BA">
        <w:rPr>
          <w:rStyle w:val="StyleBoldUnderline"/>
        </w:rPr>
        <w:t xml:space="preserve">focuses on the academic, social and cognitive skills that develop in children </w:t>
      </w:r>
      <w:r w:rsidRPr="005015BA">
        <w:rPr>
          <w:rStyle w:val="Emphasis"/>
        </w:rPr>
        <w:t>from birth through preschool</w:t>
      </w:r>
      <w:r w:rsidRPr="005015BA">
        <w:rPr>
          <w:rStyle w:val="StyleBoldUnderline"/>
        </w:rPr>
        <w:t xml:space="preserve">. Elementary education refers to the primary education that comes after preschool but </w:t>
      </w:r>
      <w:r w:rsidRPr="005015BA">
        <w:rPr>
          <w:rStyle w:val="Emphasis"/>
        </w:rPr>
        <w:t>before middle school</w:t>
      </w:r>
      <w:r w:rsidRPr="005015BA">
        <w:rPr>
          <w:rStyle w:val="StyleBoldUnderline"/>
        </w:rPr>
        <w:t xml:space="preserve"> (typically kindergarten through fifth or sixth grade.)</w:t>
      </w:r>
    </w:p>
    <w:p w14:paraId="16C0BAA4" w14:textId="77777777" w:rsidR="00EF6589" w:rsidRPr="005015BA" w:rsidRDefault="00EF6589" w:rsidP="00EF6589">
      <w:r w:rsidRPr="005015BA">
        <w:rPr>
          <w:rStyle w:val="StyleBoldUnderline"/>
        </w:rPr>
        <w:t xml:space="preserve">There are </w:t>
      </w:r>
      <w:r w:rsidRPr="005015BA">
        <w:rPr>
          <w:rStyle w:val="Emphasis"/>
        </w:rPr>
        <w:t>definite distinctions</w:t>
      </w:r>
      <w:r w:rsidRPr="005015BA">
        <w:rPr>
          <w:rStyle w:val="StyleBoldUnderline"/>
        </w:rPr>
        <w:t xml:space="preserve"> between the two sectors that are </w:t>
      </w:r>
      <w:r w:rsidRPr="005015BA">
        <w:rPr>
          <w:rStyle w:val="Emphasis"/>
        </w:rPr>
        <w:t>important to understand</w:t>
      </w:r>
      <w:r w:rsidRPr="005015BA">
        <w:rPr>
          <w:rStyle w:val="StyleBoldUnderline"/>
        </w:rPr>
        <w:t>. We’re here to help you make an informed decision about early childhood education versus elementary education</w:t>
      </w:r>
      <w:r w:rsidRPr="005015BA">
        <w:t>. We combined government information, real-time job market data and expert insight to provide you a side-by-side comparison below.</w:t>
      </w:r>
    </w:p>
    <w:p w14:paraId="7AC4DFDE" w14:textId="77777777" w:rsidR="00EF6589" w:rsidRPr="005A4A56" w:rsidRDefault="00EF6589" w:rsidP="00EF6589"/>
    <w:p w14:paraId="6DCD53FD" w14:textId="3095E113" w:rsidR="00EF6589" w:rsidRDefault="00EF6589" w:rsidP="00EF6589">
      <w:pPr>
        <w:pStyle w:val="Heading3"/>
      </w:pPr>
      <w:r>
        <w:t xml:space="preserve">Elementary = Kindergarten </w:t>
      </w:r>
    </w:p>
    <w:p w14:paraId="74D49A1D" w14:textId="77777777" w:rsidR="009F0682" w:rsidRPr="00066736" w:rsidRDefault="009F0682" w:rsidP="009F0682">
      <w:pPr>
        <w:pStyle w:val="Heading4"/>
        <w:rPr>
          <w:sz w:val="24"/>
        </w:rPr>
      </w:pPr>
      <w:r w:rsidRPr="00066736">
        <w:rPr>
          <w:sz w:val="24"/>
        </w:rPr>
        <w:t xml:space="preserve">‘Elementary education’ is distinct from ‘early childhood education’ – age group and curriculum </w:t>
      </w:r>
    </w:p>
    <w:p w14:paraId="1B293FA7" w14:textId="77777777" w:rsidR="009F0682" w:rsidRPr="00066736" w:rsidRDefault="009F0682" w:rsidP="009F0682">
      <w:pPr>
        <w:rPr>
          <w:sz w:val="14"/>
          <w:szCs w:val="16"/>
        </w:rPr>
      </w:pPr>
      <w:r w:rsidRPr="00066736">
        <w:rPr>
          <w:sz w:val="14"/>
          <w:szCs w:val="16"/>
        </w:rPr>
        <w:t xml:space="preserve">John </w:t>
      </w:r>
      <w:r w:rsidRPr="00066736">
        <w:rPr>
          <w:rStyle w:val="StyleStyleBold12pt"/>
        </w:rPr>
        <w:t>Stroud</w:t>
      </w:r>
      <w:r w:rsidRPr="00066736">
        <w:rPr>
          <w:sz w:val="14"/>
          <w:szCs w:val="16"/>
        </w:rPr>
        <w:t xml:space="preserve"> (Justice on the Supreme Court of Arkansas) </w:t>
      </w:r>
      <w:r w:rsidRPr="00066736">
        <w:rPr>
          <w:rStyle w:val="StyleStyleBold12pt"/>
        </w:rPr>
        <w:t>1980</w:t>
      </w:r>
      <w:r w:rsidRPr="00066736">
        <w:rPr>
          <w:sz w:val="14"/>
          <w:szCs w:val="16"/>
        </w:rPr>
        <w:t xml:space="preserve"> “CITY OF LITTLE ROCK v. INFANT-TODDLER MONTESSORI SCHOOL, INC. and </w:t>
      </w:r>
      <w:proofErr w:type="spellStart"/>
      <w:r w:rsidRPr="00066736">
        <w:rPr>
          <w:sz w:val="14"/>
          <w:szCs w:val="16"/>
        </w:rPr>
        <w:t>Jyothi</w:t>
      </w:r>
      <w:proofErr w:type="spellEnd"/>
      <w:r w:rsidRPr="00066736">
        <w:rPr>
          <w:sz w:val="14"/>
          <w:szCs w:val="16"/>
        </w:rPr>
        <w:t xml:space="preserve"> </w:t>
      </w:r>
      <w:proofErr w:type="spellStart"/>
      <w:r w:rsidRPr="00066736">
        <w:rPr>
          <w:sz w:val="14"/>
          <w:szCs w:val="16"/>
        </w:rPr>
        <w:t>McMINN</w:t>
      </w:r>
      <w:proofErr w:type="spellEnd"/>
      <w:r w:rsidRPr="00066736">
        <w:rPr>
          <w:sz w:val="14"/>
          <w:szCs w:val="16"/>
        </w:rPr>
        <w:t>” No. 80-175 Supreme Court of Arkansas 270 Ark. 697; 606 S.W.2d 743; 1980 Ark. LEXIS 1616</w:t>
      </w:r>
    </w:p>
    <w:p w14:paraId="187B998D" w14:textId="77777777" w:rsidR="009F0682" w:rsidRPr="00066736" w:rsidRDefault="009F0682" w:rsidP="009F0682">
      <w:pPr>
        <w:rPr>
          <w:rStyle w:val="StyleBoldUnderline"/>
          <w:sz w:val="20"/>
        </w:rPr>
      </w:pPr>
      <w:r w:rsidRPr="00066736">
        <w:rPr>
          <w:sz w:val="10"/>
          <w:szCs w:val="16"/>
        </w:rPr>
        <w:t>Each side [***5</w:t>
      </w:r>
      <w:proofErr w:type="gramStart"/>
      <w:r w:rsidRPr="00066736">
        <w:rPr>
          <w:sz w:val="10"/>
          <w:szCs w:val="16"/>
        </w:rPr>
        <w:t>]  put</w:t>
      </w:r>
      <w:proofErr w:type="gramEnd"/>
      <w:r w:rsidRPr="00066736">
        <w:rPr>
          <w:sz w:val="10"/>
          <w:szCs w:val="16"/>
        </w:rPr>
        <w:t xml:space="preserve"> on witnesses who testified as to how "public elementary school" should be defined, both under the ordinance and in common understanding and usage. The evidence seems to indicate that the only public educational institution in Little Rock with a curriculum akin to that of the appellee school is the early childhood education program of Rockefeller Elementary School. The chancellor specifically found: The curriculum of the Infant-Toddler Montessori School, Inc. is equivalent to the curriculum of what was once called the Kramer Project, and which is now part [*700] of Rockefeller School, which is a school of the Little Rock Public School System, and the curriculum of the Infant-Toddler Montessori School, Inc. is equivalent to the curriculum promulgated for kindergartens by the Little Rock Public School System, which kindergartens are elementary schools. However</w:t>
      </w:r>
      <w:r w:rsidRPr="00066736">
        <w:rPr>
          <w:rStyle w:val="StyleBoldUnderline"/>
          <w:sz w:val="20"/>
        </w:rPr>
        <w:t>, the early childhood program was, and is, separate and apart from the kindergarten and grades one through six.</w:t>
      </w:r>
      <w:r w:rsidRPr="00066736">
        <w:rPr>
          <w:sz w:val="10"/>
          <w:szCs w:val="16"/>
        </w:rPr>
        <w:t xml:space="preserve"> In fact, a portion of the </w:t>
      </w:r>
      <w:r w:rsidRPr="00066736">
        <w:rPr>
          <w:rStyle w:val="StyleBoldUnderline"/>
          <w:sz w:val="20"/>
        </w:rPr>
        <w:t>testimony of</w:t>
      </w:r>
      <w:r w:rsidRPr="00066736">
        <w:rPr>
          <w:sz w:val="10"/>
          <w:szCs w:val="16"/>
        </w:rPr>
        <w:t xml:space="preserve"> Dr. Betty Caldwell, </w:t>
      </w:r>
      <w:r w:rsidRPr="00066736">
        <w:rPr>
          <w:rStyle w:val="StyleBoldUnderline"/>
          <w:sz w:val="20"/>
        </w:rPr>
        <w:t>an expert witness</w:t>
      </w:r>
      <w:r w:rsidRPr="00066736">
        <w:rPr>
          <w:sz w:val="10"/>
          <w:szCs w:val="16"/>
        </w:rPr>
        <w:t xml:space="preserve"> for appellee, </w:t>
      </w:r>
      <w:r w:rsidRPr="00066736">
        <w:rPr>
          <w:rStyle w:val="StyleBoldUnderline"/>
          <w:sz w:val="20"/>
        </w:rPr>
        <w:t xml:space="preserve">indicates that there is a distinction between early childhood education and elementary education: </w:t>
      </w:r>
      <w:r w:rsidRPr="00066736">
        <w:rPr>
          <w:sz w:val="10"/>
          <w:szCs w:val="16"/>
        </w:rPr>
        <w:t xml:space="preserve">Q. [***6] Could you tell the Court very briefly what the Kramer project is and was? A. Was, because it's been moved out of the Kramer School now. Well, it was a project that was designed to bring early education from infancy onward into a public school situation in order to improve the articulation or the continuity between early education and what is traditionally called elementary education. And this was worked out in Kramer School so that where </w:t>
      </w:r>
      <w:r w:rsidRPr="00066736">
        <w:rPr>
          <w:rStyle w:val="StyleBoldUnderline"/>
          <w:sz w:val="20"/>
        </w:rPr>
        <w:t>we had early childhood program that went from approximately six months of age through age five and then an elementary program that went from grades one up through either the fifth or sixth grade.</w:t>
      </w:r>
      <w:r w:rsidRPr="00066736">
        <w:rPr>
          <w:sz w:val="10"/>
          <w:szCs w:val="16"/>
        </w:rPr>
        <w:t xml:space="preserve"> (Emphasis added.) </w:t>
      </w:r>
      <w:r w:rsidRPr="00066736">
        <w:rPr>
          <w:rStyle w:val="StyleBoldUnderline"/>
          <w:sz w:val="20"/>
        </w:rPr>
        <w:t>It is clear that those involved with the Kramer Project recognized a distinction between early childhood education and what is generally referred to as elementary education</w:t>
      </w:r>
      <w:r w:rsidRPr="00066736">
        <w:rPr>
          <w:sz w:val="10"/>
          <w:szCs w:val="16"/>
        </w:rPr>
        <w:t xml:space="preserve">. [**745] </w:t>
      </w:r>
      <w:r w:rsidRPr="00066736">
        <w:rPr>
          <w:rStyle w:val="StyleBoldUnderline"/>
          <w:sz w:val="20"/>
        </w:rPr>
        <w:t xml:space="preserve">Both appellees and the trial court heavily relied upon the fact that the Kramer program was a curriculum equivalent to the appellee school and was implemented at a public elementary school; but, as has been pointed out, the Kramer early childhood education program was, and </w:t>
      </w:r>
      <w:proofErr w:type="gramStart"/>
      <w:r w:rsidRPr="00066736">
        <w:rPr>
          <w:rStyle w:val="StyleBoldUnderline"/>
          <w:sz w:val="20"/>
        </w:rPr>
        <w:t>is,</w:t>
      </w:r>
      <w:proofErr w:type="gramEnd"/>
      <w:r w:rsidRPr="00066736">
        <w:rPr>
          <w:rStyle w:val="StyleBoldUnderline"/>
          <w:sz w:val="20"/>
        </w:rPr>
        <w:t xml:space="preserve"> separate from the elementary program at the school. Webster's</w:t>
      </w:r>
      <w:r w:rsidRPr="00066736">
        <w:rPr>
          <w:sz w:val="10"/>
          <w:szCs w:val="16"/>
        </w:rPr>
        <w:t xml:space="preserve"> [***7] </w:t>
      </w:r>
      <w:r w:rsidRPr="00066736">
        <w:rPr>
          <w:rStyle w:val="StyleBoldUnderline"/>
          <w:sz w:val="20"/>
        </w:rPr>
        <w:t>defines "elementary school," as follows</w:t>
      </w:r>
      <w:r w:rsidRPr="00066736">
        <w:rPr>
          <w:sz w:val="10"/>
          <w:szCs w:val="16"/>
        </w:rPr>
        <w:t>: n</w:t>
      </w:r>
      <w:r w:rsidRPr="00066736">
        <w:rPr>
          <w:rStyle w:val="StyleBoldUnderline"/>
          <w:sz w:val="20"/>
        </w:rPr>
        <w:t>. A school in which elementary subjects</w:t>
      </w:r>
      <w:r w:rsidRPr="00066736">
        <w:rPr>
          <w:sz w:val="10"/>
          <w:szCs w:val="16"/>
        </w:rPr>
        <w:t xml:space="preserve"> (as reading, [*701] writing, spelling, and arithmetic) </w:t>
      </w:r>
      <w:r w:rsidRPr="00066736">
        <w:rPr>
          <w:rStyle w:val="StyleBoldUnderline"/>
          <w:sz w:val="20"/>
        </w:rPr>
        <w:t xml:space="preserve">are taught to children from about six to about twelve years of age which in the U.S. covers the first six or eight </w:t>
      </w:r>
      <w:proofErr w:type="gramStart"/>
      <w:r w:rsidRPr="00066736">
        <w:rPr>
          <w:rStyle w:val="StyleBoldUnderline"/>
          <w:sz w:val="20"/>
        </w:rPr>
        <w:t>grades</w:t>
      </w:r>
      <w:r w:rsidRPr="00066736">
        <w:rPr>
          <w:sz w:val="10"/>
          <w:szCs w:val="16"/>
        </w:rPr>
        <w:t>.</w:t>
      </w:r>
      <w:proofErr w:type="gramEnd"/>
      <w:r w:rsidRPr="00066736">
        <w:rPr>
          <w:sz w:val="10"/>
          <w:szCs w:val="16"/>
        </w:rPr>
        <w:t xml:space="preserve"> . . . </w:t>
      </w:r>
      <w:proofErr w:type="gramStart"/>
      <w:r w:rsidRPr="00066736">
        <w:rPr>
          <w:sz w:val="10"/>
          <w:szCs w:val="16"/>
        </w:rPr>
        <w:t>Webster's Third New International Dictionary (1961) p. 735.</w:t>
      </w:r>
      <w:proofErr w:type="gramEnd"/>
      <w:r w:rsidRPr="00066736">
        <w:rPr>
          <w:sz w:val="10"/>
          <w:szCs w:val="16"/>
        </w:rPr>
        <w:t xml:space="preserve"> While this definition is not by itself dispositive of the question now before us, it does recite what is probably the most widely accepted definition of the term; and we think the City of Little Rock intended by the adoption of the ordinance that "public elementary school" should have its most commonly accepted meaning. </w:t>
      </w:r>
      <w:r w:rsidRPr="00066736">
        <w:rPr>
          <w:rStyle w:val="StyleBoldUnderline"/>
          <w:sz w:val="20"/>
        </w:rPr>
        <w:t>The ages and accompanying capabilities of children as young as one year old are also evidence that the curriculum does not rise to the level of public elementary education. The record indicates that these students receive only the slightest and most basic training in reading and writing, surely the cornerstone of any elementary education program.</w:t>
      </w:r>
    </w:p>
    <w:p w14:paraId="791BF2FD" w14:textId="77777777" w:rsidR="00EF6589" w:rsidRDefault="00EF6589" w:rsidP="00EF6589"/>
    <w:p w14:paraId="4045CB45" w14:textId="77777777" w:rsidR="00EF6589" w:rsidRDefault="00EF6589" w:rsidP="00EF6589">
      <w:pPr>
        <w:pStyle w:val="Heading4"/>
      </w:pPr>
      <w:r>
        <w:t>“Elementary” education is K-8</w:t>
      </w:r>
    </w:p>
    <w:p w14:paraId="5093FD8B" w14:textId="77777777" w:rsidR="00EF6589" w:rsidRDefault="00EF6589" w:rsidP="00EF6589">
      <w:r w:rsidRPr="001B4B7F">
        <w:rPr>
          <w:rStyle w:val="StyleStyleBold12pt"/>
        </w:rPr>
        <w:t>Education Degree 17 –</w:t>
      </w:r>
      <w:r>
        <w:t xml:space="preserve"> “Elementary Education Programs”, http://www.educationdegree.com/programs/elementary-education/</w:t>
      </w:r>
    </w:p>
    <w:p w14:paraId="5872916A" w14:textId="77777777" w:rsidR="00EF6589" w:rsidRDefault="00EF6589" w:rsidP="00EF6589">
      <w:r>
        <w:t>Elementary Education Degrees Online</w:t>
      </w:r>
    </w:p>
    <w:p w14:paraId="3E417A22" w14:textId="77777777" w:rsidR="00EF6589" w:rsidRDefault="00EF6589" w:rsidP="00EF6589">
      <w:r>
        <w:t>Are you a generalist or a specialist?</w:t>
      </w:r>
    </w:p>
    <w:p w14:paraId="70F73008" w14:textId="77777777" w:rsidR="00EF6589" w:rsidRDefault="00EF6589" w:rsidP="00EF6589">
      <w:r w:rsidRPr="001B4B7F">
        <w:rPr>
          <w:rStyle w:val="StyleBoldUnderline"/>
        </w:rPr>
        <w:t>The term "elementary education" broadly refers to the teaching of students in grades K-8</w:t>
      </w:r>
      <w:r>
        <w:t>. But, within the field, there is opportunity for a wide variety of specialization in areas such as reading, special education, English as a second language and more.</w:t>
      </w:r>
    </w:p>
    <w:p w14:paraId="4A711B31" w14:textId="77777777" w:rsidR="009F0682" w:rsidRDefault="009F0682" w:rsidP="00EF6589"/>
    <w:p w14:paraId="0BE86973" w14:textId="77777777" w:rsidR="009F0682" w:rsidRPr="00066736" w:rsidRDefault="009F0682" w:rsidP="009F0682">
      <w:pPr>
        <w:pStyle w:val="Heading4"/>
        <w:rPr>
          <w:sz w:val="24"/>
        </w:rPr>
      </w:pPr>
      <w:r w:rsidRPr="00066736">
        <w:rPr>
          <w:sz w:val="24"/>
        </w:rPr>
        <w:t>Most states don’t consider child care facilities and preschools - only Maryland does so explicitly – the rest only allow subsets of childcare facilities</w:t>
      </w:r>
    </w:p>
    <w:p w14:paraId="6E221034" w14:textId="77777777" w:rsidR="009F0682" w:rsidRPr="00066736" w:rsidRDefault="009F0682" w:rsidP="009F0682">
      <w:pPr>
        <w:rPr>
          <w:sz w:val="14"/>
          <w:szCs w:val="16"/>
        </w:rPr>
      </w:pPr>
      <w:r w:rsidRPr="00066736">
        <w:rPr>
          <w:rStyle w:val="StyleStyleBold12pt"/>
        </w:rPr>
        <w:t>CEHN</w:t>
      </w:r>
      <w:r w:rsidRPr="00066736">
        <w:rPr>
          <w:sz w:val="14"/>
          <w:szCs w:val="16"/>
        </w:rPr>
        <w:t xml:space="preserve"> (Children’s Environmental Health Network, and the Environmental Law Institute) January </w:t>
      </w:r>
      <w:r w:rsidRPr="00066736">
        <w:rPr>
          <w:rStyle w:val="StyleStyleBold12pt"/>
        </w:rPr>
        <w:t>2015</w:t>
      </w:r>
      <w:r w:rsidRPr="00066736">
        <w:rPr>
          <w:sz w:val="14"/>
          <w:szCs w:val="16"/>
        </w:rPr>
        <w:t xml:space="preserve"> “Reducing Environmental Exposures in Child Care Facilities A Review of State Policy” http://www.cehn.org/wp-content/uploads/2015/12/reducing-environmental-exposures-child-care_2.pdf</w:t>
      </w:r>
    </w:p>
    <w:p w14:paraId="2BD49A45" w14:textId="77777777" w:rsidR="009F0682" w:rsidRPr="00066736" w:rsidRDefault="009F0682" w:rsidP="009F0682">
      <w:pPr>
        <w:rPr>
          <w:sz w:val="10"/>
          <w:szCs w:val="16"/>
        </w:rPr>
      </w:pPr>
      <w:r w:rsidRPr="00066736">
        <w:rPr>
          <w:rStyle w:val="StyleBoldUnderline"/>
          <w:sz w:val="20"/>
        </w:rPr>
        <w:t>In general, child care facilities and preschools are not considered “schools”</w:t>
      </w:r>
      <w:r w:rsidRPr="00066736">
        <w:rPr>
          <w:sz w:val="10"/>
          <w:szCs w:val="16"/>
        </w:rPr>
        <w:t xml:space="preserve"> and are therefore not subject to AHERA; however, </w:t>
      </w:r>
      <w:r w:rsidRPr="00066736">
        <w:rPr>
          <w:rStyle w:val="StyleBoldUnderline"/>
          <w:sz w:val="20"/>
        </w:rPr>
        <w:t>AHERA defines schools to include “elementary and secondary” schools, but leaves the scope of coverage within a given state to the state’s own definition of “elementary education.</w:t>
      </w:r>
      <w:r w:rsidRPr="00066736">
        <w:rPr>
          <w:sz w:val="10"/>
          <w:szCs w:val="16"/>
        </w:rPr>
        <w:t xml:space="preserve">”154 </w:t>
      </w:r>
      <w:r w:rsidRPr="00066736">
        <w:rPr>
          <w:rStyle w:val="StyleBoldUnderline"/>
          <w:sz w:val="20"/>
        </w:rPr>
        <w:t>While most states define elementary education as prekindergarten, kindergarten, or first grade and higher, some state definitions are broad enough to include certain licensed child care facilities. In Maryland, for example, state law explicitly defines elementary education to include preschool; as a result, any child care facility offering a preschool curriculum or structured learning program in Maryland must comply with AHERA requirements</w:t>
      </w:r>
      <w:r w:rsidRPr="00066736">
        <w:rPr>
          <w:sz w:val="10"/>
          <w:szCs w:val="16"/>
        </w:rPr>
        <w:t xml:space="preserve">.155 </w:t>
      </w:r>
      <w:r w:rsidRPr="00066736">
        <w:rPr>
          <w:rStyle w:val="StyleBoldUnderline"/>
          <w:sz w:val="20"/>
        </w:rPr>
        <w:t>A small number of states may also have laws or regulations defining “elementary education” in a way that brings certain subsets of child care facilities</w:t>
      </w:r>
      <w:r w:rsidRPr="00066736">
        <w:rPr>
          <w:sz w:val="10"/>
          <w:szCs w:val="16"/>
        </w:rPr>
        <w:t xml:space="preserve"> (e.g., facilities operating in state-owned buildings or facilities that receive state or federal funding) </w:t>
      </w:r>
      <w:r w:rsidRPr="00066736">
        <w:rPr>
          <w:rStyle w:val="StyleBoldUnderline"/>
          <w:sz w:val="20"/>
        </w:rPr>
        <w:t>within the scope of AHERA</w:t>
      </w:r>
      <w:r w:rsidRPr="00066736">
        <w:rPr>
          <w:sz w:val="10"/>
          <w:szCs w:val="16"/>
        </w:rPr>
        <w:t>. A complete review of these provisions is outside the scope of this report</w:t>
      </w:r>
      <w:proofErr w:type="gramStart"/>
      <w:r w:rsidRPr="00066736">
        <w:rPr>
          <w:sz w:val="10"/>
          <w:szCs w:val="16"/>
        </w:rPr>
        <w:t>;</w:t>
      </w:r>
      <w:proofErr w:type="gramEnd"/>
      <w:r w:rsidRPr="00066736">
        <w:rPr>
          <w:sz w:val="10"/>
          <w:szCs w:val="16"/>
        </w:rPr>
        <w:t xml:space="preserve"> consult state laws and regulations to determine the potential applicability of AHERA to child care facilities in a particular state.</w:t>
      </w:r>
    </w:p>
    <w:p w14:paraId="702D10BF" w14:textId="77777777" w:rsidR="009F0682" w:rsidRDefault="009F0682" w:rsidP="00EF6589"/>
    <w:p w14:paraId="2BCEC2C2" w14:textId="77777777" w:rsidR="00EF6589" w:rsidRPr="00EF6589" w:rsidRDefault="00EF6589" w:rsidP="00EF6589"/>
    <w:p w14:paraId="7A1CBFD3" w14:textId="6BAAE3AA" w:rsidR="003D01B1" w:rsidRDefault="00591312" w:rsidP="00591312">
      <w:pPr>
        <w:pStyle w:val="Heading2"/>
      </w:pPr>
      <w:r>
        <w:t>T – 6</w:t>
      </w:r>
      <w:r w:rsidRPr="00591312">
        <w:rPr>
          <w:vertAlign w:val="superscript"/>
        </w:rPr>
        <w:t>th</w:t>
      </w:r>
      <w:r>
        <w:t xml:space="preserve"> Grade  </w:t>
      </w:r>
    </w:p>
    <w:p w14:paraId="13D0F700" w14:textId="77777777" w:rsidR="00591312" w:rsidRPr="00707DBD" w:rsidRDefault="00591312" w:rsidP="00591312">
      <w:pPr>
        <w:pStyle w:val="Heading4"/>
        <w:rPr>
          <w:rFonts w:cs="Times New Roman"/>
        </w:rPr>
      </w:pPr>
      <w:r w:rsidRPr="00707DBD">
        <w:rPr>
          <w:rFonts w:cs="Times New Roman"/>
        </w:rPr>
        <w:t>Primary education is elementary school while secondary education is high school</w:t>
      </w:r>
    </w:p>
    <w:p w14:paraId="52A07CA3" w14:textId="77777777" w:rsidR="00591312" w:rsidRPr="00707DBD" w:rsidRDefault="00591312" w:rsidP="00591312">
      <w:pPr>
        <w:rPr>
          <w:rStyle w:val="StyleStyleBold12pt"/>
          <w:b w:val="0"/>
          <w:bCs/>
        </w:rPr>
      </w:pPr>
      <w:r w:rsidRPr="00707DBD">
        <w:rPr>
          <w:rStyle w:val="StyleStyleBold12pt"/>
        </w:rPr>
        <w:t xml:space="preserve">Coleman, 10 </w:t>
      </w:r>
      <w:r w:rsidRPr="00707DBD">
        <w:t xml:space="preserve">– founding partner of the law firm Coleman, Chambers, Rogers, &amp; Williams, LLP and is a well-respected lawyer throughout the state of </w:t>
      </w:r>
      <w:proofErr w:type="gramStart"/>
      <w:r w:rsidRPr="00707DBD">
        <w:t>Georgia(</w:t>
      </w:r>
      <w:proofErr w:type="gramEnd"/>
      <w:r w:rsidRPr="00707DBD">
        <w:t>Bob, “What is the Meaning of ‘Secondary Education?’”, OPEN PRACTICE, 4 August 2010, http://www.colemanchambers.com/Articles/What-is-the-Meaning-of-Secondary-Education.shtml,//SL)</w:t>
      </w:r>
    </w:p>
    <w:p w14:paraId="71DA578C" w14:textId="77777777" w:rsidR="00591312" w:rsidRPr="00707DBD" w:rsidRDefault="00591312" w:rsidP="00591312">
      <w:pPr>
        <w:rPr>
          <w:u w:val="single"/>
        </w:rPr>
      </w:pPr>
      <w:r w:rsidRPr="00707DBD">
        <w:rPr>
          <w:rStyle w:val="StyleBoldUnderline"/>
        </w:rPr>
        <w:t>While the Georgia statutes</w:t>
      </w:r>
      <w:r w:rsidRPr="00707DBD">
        <w:t xml:space="preserve"> on child support </w:t>
      </w:r>
      <w:r w:rsidRPr="00707DBD">
        <w:rPr>
          <w:rStyle w:val="StyleBoldUnderline"/>
        </w:rPr>
        <w:t>do not explicitly define what "secondary education" means, the courts have interpreted it as a high school education. Generally:</w:t>
      </w:r>
    </w:p>
    <w:p w14:paraId="605D89FF" w14:textId="77777777" w:rsidR="00591312" w:rsidRPr="00707DBD" w:rsidRDefault="00591312" w:rsidP="00591312">
      <w:pPr>
        <w:rPr>
          <w:b/>
          <w:iCs/>
          <w:u w:val="single"/>
        </w:rPr>
      </w:pPr>
      <w:r w:rsidRPr="00707DBD">
        <w:t xml:space="preserve">•- </w:t>
      </w:r>
      <w:r w:rsidRPr="00707DBD">
        <w:rPr>
          <w:rStyle w:val="Emphasis"/>
        </w:rPr>
        <w:t>Primary Education = Elementary School</w:t>
      </w:r>
    </w:p>
    <w:p w14:paraId="7F83EA74" w14:textId="77777777" w:rsidR="00591312" w:rsidRPr="00707DBD" w:rsidRDefault="00591312" w:rsidP="00591312">
      <w:pPr>
        <w:rPr>
          <w:b/>
          <w:iCs/>
          <w:u w:val="single"/>
        </w:rPr>
      </w:pPr>
      <w:r w:rsidRPr="00707DBD">
        <w:t xml:space="preserve">•- </w:t>
      </w:r>
      <w:r w:rsidRPr="00707DBD">
        <w:rPr>
          <w:rStyle w:val="Emphasis"/>
        </w:rPr>
        <w:t>Intermediate Education = Middle School</w:t>
      </w:r>
    </w:p>
    <w:p w14:paraId="02C656C9" w14:textId="77777777" w:rsidR="00591312" w:rsidRPr="00707DBD" w:rsidRDefault="00591312" w:rsidP="00591312">
      <w:pPr>
        <w:rPr>
          <w:rStyle w:val="Emphasis"/>
        </w:rPr>
      </w:pPr>
      <w:r w:rsidRPr="00707DBD">
        <w:t xml:space="preserve">•- </w:t>
      </w:r>
      <w:r w:rsidRPr="00707DBD">
        <w:rPr>
          <w:rStyle w:val="Emphasis"/>
        </w:rPr>
        <w:t>Secondary Education = High School</w:t>
      </w:r>
    </w:p>
    <w:p w14:paraId="0D03A6AE" w14:textId="77777777" w:rsidR="003D01B1" w:rsidRPr="003D01B1" w:rsidRDefault="003D01B1" w:rsidP="003D01B1"/>
    <w:p w14:paraId="771B09AE" w14:textId="77777777" w:rsidR="009F0682" w:rsidRDefault="009F0682" w:rsidP="009F0682">
      <w:pPr>
        <w:pStyle w:val="Heading3"/>
      </w:pPr>
      <w:r>
        <w:t>2nc – Topic Education</w:t>
      </w:r>
    </w:p>
    <w:p w14:paraId="634F4B99" w14:textId="77777777" w:rsidR="009F0682" w:rsidRDefault="009F0682" w:rsidP="009F0682"/>
    <w:p w14:paraId="7414224B" w14:textId="77777777" w:rsidR="009F0682" w:rsidRDefault="009F0682" w:rsidP="009F0682">
      <w:pPr>
        <w:pStyle w:val="Heading4"/>
      </w:pPr>
      <w:r>
        <w:t xml:space="preserve">Maintaining a </w:t>
      </w:r>
      <w:r w:rsidRPr="00063A9B">
        <w:rPr>
          <w:u w:val="single"/>
        </w:rPr>
        <w:t>strict distinction</w:t>
      </w:r>
      <w:r>
        <w:t xml:space="preserve"> is key to precision and topic education</w:t>
      </w:r>
    </w:p>
    <w:p w14:paraId="43747ECC" w14:textId="77777777" w:rsidR="009F0682" w:rsidRDefault="009F0682" w:rsidP="009F0682">
      <w:r w:rsidRPr="00836478">
        <w:rPr>
          <w:rStyle w:val="StyleStyleBold12pt"/>
        </w:rPr>
        <w:t>MEG 17 –</w:t>
      </w:r>
      <w:r>
        <w:t xml:space="preserve"> Master of Education Degree Guide, “What Grades Can You Teach With an Early Childhood Education Degree?</w:t>
      </w:r>
      <w:proofErr w:type="gramStart"/>
      <w:r>
        <w:t>”,</w:t>
      </w:r>
      <w:proofErr w:type="gramEnd"/>
      <w:r>
        <w:t xml:space="preserve"> http://www.master-of-education.org/faq/what-grades-can-you-teach-with-an-early-childhood-education-degree/</w:t>
      </w:r>
    </w:p>
    <w:p w14:paraId="67313325" w14:textId="77777777" w:rsidR="009F0682" w:rsidRDefault="009F0682" w:rsidP="009F0682">
      <w:r>
        <w:t>What is the Primary Focus of an Early Childhood Education Program?</w:t>
      </w:r>
    </w:p>
    <w:p w14:paraId="658406E1" w14:textId="77777777" w:rsidR="009F0682" w:rsidRPr="00836478" w:rsidRDefault="009F0682" w:rsidP="009F0682">
      <w:pPr>
        <w:rPr>
          <w:rStyle w:val="StyleBoldUnderline"/>
        </w:rPr>
      </w:pPr>
      <w:r w:rsidRPr="00836478">
        <w:rPr>
          <w:rStyle w:val="StyleBoldUnderline"/>
        </w:rPr>
        <w:t xml:space="preserve">It is </w:t>
      </w:r>
      <w:r w:rsidRPr="00836478">
        <w:rPr>
          <w:rStyle w:val="Emphasis"/>
        </w:rPr>
        <w:t>very important to understand the distinctions</w:t>
      </w:r>
      <w:r w:rsidRPr="00836478">
        <w:rPr>
          <w:rStyle w:val="StyleBoldUnderline"/>
        </w:rPr>
        <w:t xml:space="preserve"> between the focus of an Early Childhood Education program and an Elementary Education program. While each program has some subject area overlap, the focus of each program </w:t>
      </w:r>
      <w:r w:rsidRPr="00836478">
        <w:rPr>
          <w:rStyle w:val="Emphasis"/>
        </w:rPr>
        <w:t>is very different</w:t>
      </w:r>
      <w:r w:rsidRPr="00836478">
        <w:rPr>
          <w:rStyle w:val="StyleBoldUnderline"/>
        </w:rPr>
        <w:t>. When you study for an Elementary Education degree, the primary focus will be on primary education that is needed after preschool and before middle school.</w:t>
      </w:r>
    </w:p>
    <w:p w14:paraId="1508C9EC" w14:textId="77777777" w:rsidR="009F0682" w:rsidRDefault="009F0682" w:rsidP="009F0682">
      <w:r>
        <w:t>What is Student Teaching?</w:t>
      </w:r>
    </w:p>
    <w:p w14:paraId="0D371098" w14:textId="77777777" w:rsidR="009F0682" w:rsidRDefault="009F0682" w:rsidP="009F0682">
      <w:r w:rsidRPr="00836478">
        <w:rPr>
          <w:rStyle w:val="StyleBoldUnderline"/>
        </w:rPr>
        <w:t>The primary focus of an Early Childhood Education program is on developing the academic, cognitive, and social skills that infants, toddlers, and young children in preschool need</w:t>
      </w:r>
      <w:r>
        <w:t>. Once you complete your ECE degree program, you will have the training and skills that you need to work in a preschool setting.</w:t>
      </w:r>
    </w:p>
    <w:p w14:paraId="148450FE" w14:textId="77777777" w:rsidR="009F0682" w:rsidRDefault="009F0682" w:rsidP="009F0682">
      <w:r>
        <w:t>What Are the Core Courses That You Will Take When You Study For a Your ECE Degree?</w:t>
      </w:r>
    </w:p>
    <w:p w14:paraId="3323D579" w14:textId="77777777" w:rsidR="009F0682" w:rsidRDefault="009F0682" w:rsidP="009F0682">
      <w:r>
        <w:t>It is crucial to be a patient person at heart when you work with children in preschools, Montessori schools and kindergartens. Unfortunately, patience is not the only skill that you need. To really succeed at teaching students who are in preschool, you need to complete a formal education program that touches on concepts in each of the subjects you need to know. Here are some of the core courses that you will complete in an ECE degree program:</w:t>
      </w:r>
    </w:p>
    <w:p w14:paraId="00C15B74" w14:textId="77777777" w:rsidR="009F0682" w:rsidRDefault="009F0682" w:rsidP="009F0682">
      <w:r>
        <w:t>* Language and literacy development</w:t>
      </w:r>
    </w:p>
    <w:p w14:paraId="14DE121D" w14:textId="77777777" w:rsidR="009F0682" w:rsidRDefault="009F0682" w:rsidP="009F0682">
      <w:r>
        <w:t>* Cognitive development</w:t>
      </w:r>
    </w:p>
    <w:p w14:paraId="26699304" w14:textId="77777777" w:rsidR="009F0682" w:rsidRDefault="009F0682" w:rsidP="009F0682">
      <w:r>
        <w:t>* Creative expression</w:t>
      </w:r>
    </w:p>
    <w:p w14:paraId="3B39D370" w14:textId="77777777" w:rsidR="009F0682" w:rsidRDefault="009F0682" w:rsidP="009F0682">
      <w:r>
        <w:t>* Social and emotional development</w:t>
      </w:r>
    </w:p>
    <w:p w14:paraId="34713CC1" w14:textId="77777777" w:rsidR="009F0682" w:rsidRDefault="009F0682" w:rsidP="009F0682">
      <w:r>
        <w:t>* Executive function</w:t>
      </w:r>
    </w:p>
    <w:p w14:paraId="773477CD" w14:textId="77777777" w:rsidR="009F0682" w:rsidRDefault="009F0682" w:rsidP="009F0682">
      <w:r>
        <w:t>* Physical development and wellness</w:t>
      </w:r>
    </w:p>
    <w:p w14:paraId="32E4DC73" w14:textId="77777777" w:rsidR="009F0682" w:rsidRDefault="009F0682" w:rsidP="009F0682">
      <w:r>
        <w:t>* Motor development</w:t>
      </w:r>
    </w:p>
    <w:p w14:paraId="10E9EDB0" w14:textId="77777777" w:rsidR="009F0682" w:rsidRDefault="009F0682" w:rsidP="009F0682">
      <w:r>
        <w:t>* Approaches to learning</w:t>
      </w:r>
    </w:p>
    <w:p w14:paraId="79503E78" w14:textId="77777777" w:rsidR="009F0682" w:rsidRPr="00836478" w:rsidRDefault="009F0682" w:rsidP="009F0682">
      <w:r>
        <w:t>* Basic subject matter areas like social studies, math, science, and the arts</w:t>
      </w:r>
    </w:p>
    <w:p w14:paraId="16797104" w14:textId="77777777" w:rsidR="009F0682" w:rsidRPr="00540181" w:rsidRDefault="009F0682" w:rsidP="009F0682"/>
    <w:p w14:paraId="4BF15DD3" w14:textId="77777777" w:rsidR="009F0682" w:rsidRDefault="009F0682" w:rsidP="009F0682">
      <w:pPr>
        <w:pStyle w:val="Heading3"/>
      </w:pPr>
      <w:r>
        <w:t>2nc – US Specific Key</w:t>
      </w:r>
    </w:p>
    <w:p w14:paraId="05A94A69" w14:textId="77777777" w:rsidR="009F0682" w:rsidRDefault="009F0682" w:rsidP="009F0682"/>
    <w:p w14:paraId="4A98610E" w14:textId="77777777" w:rsidR="009F0682" w:rsidRDefault="009F0682" w:rsidP="009F0682">
      <w:pPr>
        <w:pStyle w:val="Heading4"/>
      </w:pPr>
      <w:r>
        <w:t xml:space="preserve">Prefer </w:t>
      </w:r>
      <w:r>
        <w:rPr>
          <w:u w:val="single"/>
        </w:rPr>
        <w:t>U.S.-specific</w:t>
      </w:r>
      <w:r>
        <w:t xml:space="preserve"> definitions---the term varies by country</w:t>
      </w:r>
    </w:p>
    <w:p w14:paraId="52D037CB" w14:textId="77777777" w:rsidR="009F0682" w:rsidRPr="00493F0D" w:rsidRDefault="009F0682" w:rsidP="009F0682">
      <w:proofErr w:type="spellStart"/>
      <w:r w:rsidRPr="00493F0D">
        <w:rPr>
          <w:rStyle w:val="StyleStyleBold12pt"/>
        </w:rPr>
        <w:t>Salceda</w:t>
      </w:r>
      <w:proofErr w:type="spellEnd"/>
      <w:r w:rsidRPr="00493F0D">
        <w:rPr>
          <w:rStyle w:val="StyleStyleBold12pt"/>
        </w:rPr>
        <w:t xml:space="preserve"> 14 –</w:t>
      </w:r>
      <w:r>
        <w:t xml:space="preserve"> Juan C. Ripoll </w:t>
      </w:r>
      <w:proofErr w:type="spellStart"/>
      <w:r>
        <w:t>Salceda</w:t>
      </w:r>
      <w:proofErr w:type="spellEnd"/>
      <w:r>
        <w:t xml:space="preserve">, Universidad de Navarra, </w:t>
      </w:r>
      <w:proofErr w:type="spellStart"/>
      <w:r>
        <w:t>Departamento</w:t>
      </w:r>
      <w:proofErr w:type="spellEnd"/>
      <w:r>
        <w:t xml:space="preserve"> de </w:t>
      </w:r>
      <w:proofErr w:type="spellStart"/>
      <w:r>
        <w:t>Educación</w:t>
      </w:r>
      <w:proofErr w:type="spellEnd"/>
      <w:r>
        <w:t xml:space="preserve">, Pamplona, Spain, “The Simple View of Reading in Elementary School: A Systematic Review”, </w:t>
      </w:r>
      <w:proofErr w:type="spellStart"/>
      <w:r>
        <w:t>Revista</w:t>
      </w:r>
      <w:proofErr w:type="spellEnd"/>
      <w:r>
        <w:t xml:space="preserve"> de </w:t>
      </w:r>
      <w:proofErr w:type="spellStart"/>
      <w:r>
        <w:t>Logopedia</w:t>
      </w:r>
      <w:proofErr w:type="spellEnd"/>
      <w:r>
        <w:t xml:space="preserve">, </w:t>
      </w:r>
      <w:proofErr w:type="spellStart"/>
      <w:r>
        <w:t>Foniatría</w:t>
      </w:r>
      <w:proofErr w:type="spellEnd"/>
      <w:r>
        <w:t xml:space="preserve"> y </w:t>
      </w:r>
      <w:proofErr w:type="spellStart"/>
      <w:r>
        <w:t>Audiología</w:t>
      </w:r>
      <w:proofErr w:type="spellEnd"/>
      <w:r>
        <w:t xml:space="preserve">, Vol. 34. </w:t>
      </w:r>
      <w:proofErr w:type="spellStart"/>
      <w:r>
        <w:t>Núm</w:t>
      </w:r>
      <w:proofErr w:type="spellEnd"/>
      <w:r>
        <w:t xml:space="preserve">. 1. </w:t>
      </w:r>
      <w:proofErr w:type="spellStart"/>
      <w:r>
        <w:t>Enero</w:t>
      </w:r>
      <w:proofErr w:type="spellEnd"/>
      <w:r>
        <w:t xml:space="preserve"> - </w:t>
      </w:r>
      <w:proofErr w:type="spellStart"/>
      <w:r>
        <w:t>Marzo</w:t>
      </w:r>
      <w:proofErr w:type="spellEnd"/>
      <w:r>
        <w:t xml:space="preserve"> 2014, http://www.elsevier.es/es-revista-revista-logopedia-foniatria-audiologia-309-articulo-the-simple-view-reading-in-S0214460313000557</w:t>
      </w:r>
    </w:p>
    <w:p w14:paraId="18F93B31" w14:textId="77777777" w:rsidR="009F0682" w:rsidRDefault="009F0682" w:rsidP="009F0682">
      <w:r>
        <w:t>Method</w:t>
      </w:r>
    </w:p>
    <w:p w14:paraId="2C60957A" w14:textId="77777777" w:rsidR="009F0682" w:rsidRDefault="009F0682" w:rsidP="009F0682">
      <w:r>
        <w:t xml:space="preserve">This systematic review will examine elementary school pupils whose mother tongue is English. </w:t>
      </w:r>
      <w:r w:rsidRPr="00493F0D">
        <w:rPr>
          <w:rStyle w:val="StyleBoldUnderline"/>
        </w:rPr>
        <w:t xml:space="preserve">The term “elementary education” is </w:t>
      </w:r>
      <w:r w:rsidRPr="00493F0D">
        <w:rPr>
          <w:rStyle w:val="Emphasis"/>
        </w:rPr>
        <w:t>not equal in all countries</w:t>
      </w:r>
      <w:r w:rsidRPr="00493F0D">
        <w:rPr>
          <w:rStyle w:val="StyleBoldUnderline"/>
        </w:rPr>
        <w:t>, so for the purposes of this systematic review we defined elementary education as a stage in which the first grade begins when the students are 6 years old and the last grade ends when they are 11 years old</w:t>
      </w:r>
      <w:r>
        <w:t>. Although the process of learning to read began in the preschool years, we chose the elementary education stage for this meta-analysis to avoid the effect of low competence in decoding for younger readers, which would otherwise make it difficult to assess actual reading comprehension ability. We limited the study to English-speaking students for two reasons. First, decoding in English seems to place higher importance on reading comprehension than decoding in languages with shallower orthographies (</w:t>
      </w:r>
      <w:proofErr w:type="spellStart"/>
      <w:r>
        <w:t>Florit</w:t>
      </w:r>
      <w:proofErr w:type="spellEnd"/>
      <w:r>
        <w:t xml:space="preserve"> &amp; Cain, 2011; Share, 2008). Second, most research on the SVR model has been conducted in English. Subsequent research might benefit from the results on English-speaking children in cross-linguistic investigations. It is assumed that educational research frequently assesses whole classes, and so studies were ruled out if the description of the sample allowed us to establish or suspect that the proportion of children with a mother tongue other than English exceeded 5% of the sample.</w:t>
      </w:r>
    </w:p>
    <w:p w14:paraId="0DFB506B" w14:textId="77777777" w:rsidR="005A4A56" w:rsidRPr="005015BA" w:rsidRDefault="005A4A56" w:rsidP="005A4A56">
      <w:pPr>
        <w:rPr>
          <w:lang w:eastAsia="zh-CN"/>
        </w:rPr>
      </w:pPr>
    </w:p>
    <w:p w14:paraId="4C6D5B26" w14:textId="77777777" w:rsidR="00A8644A" w:rsidRDefault="00A8644A" w:rsidP="00A8644A">
      <w:pPr>
        <w:pStyle w:val="Heading4"/>
        <w:rPr>
          <w:lang w:eastAsia="zh-CN"/>
        </w:rPr>
      </w:pPr>
    </w:p>
    <w:p w14:paraId="5311BE7B" w14:textId="4BFF949A" w:rsidR="00A8644A" w:rsidRPr="00A8644A" w:rsidRDefault="00591312" w:rsidP="00A8644A">
      <w:pPr>
        <w:pStyle w:val="Heading1"/>
        <w:rPr>
          <w:lang w:eastAsia="zh-CN"/>
        </w:rPr>
      </w:pPr>
      <w:r>
        <w:rPr>
          <w:lang w:eastAsia="zh-CN"/>
        </w:rPr>
        <w:t xml:space="preserve">* </w:t>
      </w:r>
      <w:r w:rsidR="00A8644A">
        <w:rPr>
          <w:lang w:eastAsia="zh-CN"/>
        </w:rPr>
        <w:t>SECONDARY EDUCATION</w:t>
      </w:r>
    </w:p>
    <w:p w14:paraId="7A6A639C" w14:textId="036AF119" w:rsidR="00751D2A" w:rsidRDefault="00EF6589" w:rsidP="00EF6589">
      <w:pPr>
        <w:pStyle w:val="Heading2"/>
      </w:pPr>
      <w:r>
        <w:t>T – High School</w:t>
      </w:r>
    </w:p>
    <w:p w14:paraId="5E7C5E04" w14:textId="54671234" w:rsidR="00751D2A" w:rsidRDefault="00EF6589" w:rsidP="00A8644A">
      <w:pPr>
        <w:pStyle w:val="Heading3"/>
      </w:pPr>
      <w:r>
        <w:t>1nc – T High School</w:t>
      </w:r>
    </w:p>
    <w:p w14:paraId="642FB384" w14:textId="77777777" w:rsidR="00751D2A" w:rsidRDefault="00751D2A" w:rsidP="00751D2A">
      <w:pPr>
        <w:pStyle w:val="Heading4"/>
      </w:pPr>
      <w:r>
        <w:t xml:space="preserve">Education </w:t>
      </w:r>
      <w:r>
        <w:rPr>
          <w:u w:val="single"/>
        </w:rPr>
        <w:t>beyond</w:t>
      </w:r>
      <w:r>
        <w:t xml:space="preserve"> 12</w:t>
      </w:r>
      <w:r w:rsidRPr="00D13240">
        <w:rPr>
          <w:vertAlign w:val="superscript"/>
        </w:rPr>
        <w:t>th</w:t>
      </w:r>
      <w:r>
        <w:t xml:space="preserve"> Grade is </w:t>
      </w:r>
      <w:r>
        <w:rPr>
          <w:u w:val="single"/>
        </w:rPr>
        <w:t>postsecondary</w:t>
      </w:r>
      <w:r>
        <w:t>---that explodes limits</w:t>
      </w:r>
    </w:p>
    <w:p w14:paraId="1506B6A8" w14:textId="77777777" w:rsidR="00751D2A" w:rsidRPr="00D13240" w:rsidRDefault="00751D2A" w:rsidP="00751D2A">
      <w:r w:rsidRPr="00D13240">
        <w:rPr>
          <w:rStyle w:val="StyleStyleBold12pt"/>
        </w:rPr>
        <w:t>Lee 17 –</w:t>
      </w:r>
      <w:r>
        <w:t xml:space="preserve"> Christina Lee, Leaf Group, “Difference Between Secondary and Postsecondary Education”, Synonym, http://classroom.synonym.com/difference-between-secondary-postsecondary-education-1288.html</w:t>
      </w:r>
    </w:p>
    <w:p w14:paraId="3D9A0D7E" w14:textId="77777777" w:rsidR="00751D2A" w:rsidRDefault="00751D2A" w:rsidP="00751D2A">
      <w:r>
        <w:t xml:space="preserve">Together, </w:t>
      </w:r>
      <w:r w:rsidRPr="00D13240">
        <w:rPr>
          <w:rStyle w:val="Emphasis"/>
        </w:rPr>
        <w:t>secondary</w:t>
      </w:r>
      <w:r w:rsidRPr="00D13240">
        <w:rPr>
          <w:rStyle w:val="StyleBoldUnderline"/>
        </w:rPr>
        <w:t xml:space="preserve"> and </w:t>
      </w:r>
      <w:r w:rsidRPr="00D13240">
        <w:rPr>
          <w:rStyle w:val="Emphasis"/>
        </w:rPr>
        <w:t>postsecondary</w:t>
      </w:r>
      <w:r w:rsidRPr="00D13240">
        <w:rPr>
          <w:rStyle w:val="StyleBoldUnderline"/>
        </w:rPr>
        <w:t xml:space="preserve"> </w:t>
      </w:r>
      <w:proofErr w:type="gramStart"/>
      <w:r w:rsidRPr="00D13240">
        <w:rPr>
          <w:rStyle w:val="StyleBoldUnderline"/>
        </w:rPr>
        <w:t>education comprise</w:t>
      </w:r>
      <w:proofErr w:type="gramEnd"/>
      <w:r w:rsidRPr="00D13240">
        <w:rPr>
          <w:rStyle w:val="StyleBoldUnderline"/>
        </w:rPr>
        <w:t xml:space="preserve"> the education that a student receives after fifth grade. Before that point, students receive</w:t>
      </w:r>
      <w:r>
        <w:t xml:space="preserve"> primary or </w:t>
      </w:r>
      <w:r w:rsidRPr="00D13240">
        <w:rPr>
          <w:rStyle w:val="Emphasis"/>
        </w:rPr>
        <w:t>elementary</w:t>
      </w:r>
      <w:r w:rsidRPr="00D13240">
        <w:rPr>
          <w:rStyle w:val="StyleBoldUnderline"/>
        </w:rPr>
        <w:t xml:space="preserve"> education from kindergarten through fifth grade</w:t>
      </w:r>
      <w:r>
        <w:t>. Secondary education, along with postsecondary education for some, propels students into adulthood and aims to give them necessary career skills.</w:t>
      </w:r>
    </w:p>
    <w:p w14:paraId="5A047908" w14:textId="77777777" w:rsidR="00751D2A" w:rsidRDefault="00751D2A" w:rsidP="00751D2A">
      <w:r>
        <w:t>Secondary Education</w:t>
      </w:r>
    </w:p>
    <w:p w14:paraId="78A41513" w14:textId="77777777" w:rsidR="00751D2A" w:rsidRDefault="00751D2A" w:rsidP="00751D2A">
      <w:r w:rsidRPr="00D13240">
        <w:rPr>
          <w:rStyle w:val="StyleBoldUnderline"/>
        </w:rPr>
        <w:t xml:space="preserve">Secondary education refers to schooling that takes place during the middle and high school years, </w:t>
      </w:r>
      <w:r w:rsidRPr="00D13240">
        <w:rPr>
          <w:rStyle w:val="Emphasis"/>
        </w:rPr>
        <w:t>between sixth and twelfth grade</w:t>
      </w:r>
      <w:r>
        <w:t>. It is divided into courses in English, mathematics, social studies, science and foreign language. For some, secondary education includes electives such as music or drama. In the U.S., public secondary education is free and available to all. Secondary education is compulsory in the U.S. through the age of 16.</w:t>
      </w:r>
    </w:p>
    <w:p w14:paraId="49C96CB1" w14:textId="77777777" w:rsidR="00751D2A" w:rsidRDefault="00751D2A" w:rsidP="00751D2A">
      <w:r>
        <w:t>Postsecondary</w:t>
      </w:r>
    </w:p>
    <w:p w14:paraId="4F5BA6A1" w14:textId="77777777" w:rsidR="00751D2A" w:rsidRDefault="00751D2A" w:rsidP="00751D2A">
      <w:r w:rsidRPr="00D13240">
        <w:rPr>
          <w:rStyle w:val="Emphasis"/>
        </w:rPr>
        <w:t>Postsecondary</w:t>
      </w:r>
      <w:r w:rsidRPr="00D13240">
        <w:rPr>
          <w:rStyle w:val="StyleBoldUnderline"/>
        </w:rPr>
        <w:t xml:space="preserve">, or </w:t>
      </w:r>
      <w:r w:rsidRPr="00D13240">
        <w:rPr>
          <w:rStyle w:val="Emphasis"/>
        </w:rPr>
        <w:t>tertiary</w:t>
      </w:r>
      <w:r w:rsidRPr="00D13240">
        <w:rPr>
          <w:rStyle w:val="StyleBoldUnderline"/>
        </w:rPr>
        <w:t xml:space="preserve">, education includes any educational program that takes place </w:t>
      </w:r>
      <w:r w:rsidRPr="00D13240">
        <w:rPr>
          <w:rStyle w:val="Emphasis"/>
        </w:rPr>
        <w:t>after</w:t>
      </w:r>
      <w:r w:rsidRPr="00D13240">
        <w:rPr>
          <w:rStyle w:val="StyleBoldUnderline"/>
        </w:rPr>
        <w:t xml:space="preserve"> you complete your secondary education. This includes </w:t>
      </w:r>
      <w:r w:rsidRPr="00D13240">
        <w:rPr>
          <w:rStyle w:val="Emphasis"/>
        </w:rPr>
        <w:t>community college</w:t>
      </w:r>
      <w:r w:rsidRPr="00D13240">
        <w:rPr>
          <w:rStyle w:val="StyleBoldUnderline"/>
        </w:rPr>
        <w:t xml:space="preserve">, </w:t>
      </w:r>
      <w:r w:rsidRPr="00D13240">
        <w:rPr>
          <w:rStyle w:val="Emphasis"/>
        </w:rPr>
        <w:t>professional certification</w:t>
      </w:r>
      <w:r w:rsidRPr="00D13240">
        <w:rPr>
          <w:rStyle w:val="StyleBoldUnderline"/>
        </w:rPr>
        <w:t xml:space="preserve">, </w:t>
      </w:r>
      <w:r w:rsidRPr="00D13240">
        <w:rPr>
          <w:rStyle w:val="Emphasis"/>
        </w:rPr>
        <w:t>undergraduate education</w:t>
      </w:r>
      <w:r w:rsidRPr="00D13240">
        <w:rPr>
          <w:rStyle w:val="StyleBoldUnderline"/>
        </w:rPr>
        <w:t xml:space="preserve"> and </w:t>
      </w:r>
      <w:r w:rsidRPr="00D13240">
        <w:rPr>
          <w:rStyle w:val="Emphasis"/>
        </w:rPr>
        <w:t>graduate school.</w:t>
      </w:r>
      <w:r w:rsidRPr="00D13240">
        <w:rPr>
          <w:rStyle w:val="StyleBoldUnderline"/>
        </w:rPr>
        <w:t xml:space="preserve"> Postsecondary education is more advanced and specialized than secondary education. Postsecondary education is also </w:t>
      </w:r>
      <w:r w:rsidRPr="00D13240">
        <w:rPr>
          <w:rStyle w:val="Emphasis"/>
        </w:rPr>
        <w:t>broad</w:t>
      </w:r>
      <w:r w:rsidRPr="00D13240">
        <w:rPr>
          <w:rStyle w:val="StyleBoldUnderline"/>
        </w:rPr>
        <w:t xml:space="preserve">, allowing students to pursue the subjects that most interest them. Students can receive a </w:t>
      </w:r>
      <w:r w:rsidRPr="00D13240">
        <w:rPr>
          <w:rStyle w:val="Emphasis"/>
        </w:rPr>
        <w:t>wide range</w:t>
      </w:r>
      <w:r w:rsidRPr="00D13240">
        <w:rPr>
          <w:rStyle w:val="StyleBoldUnderline"/>
        </w:rPr>
        <w:t xml:space="preserve"> of degrees, from a broad liberal arts degree that deepens critical-thinking skills, to a more hands-on business degree</w:t>
      </w:r>
      <w:r>
        <w:t>.</w:t>
      </w:r>
    </w:p>
    <w:p w14:paraId="0A1450A6" w14:textId="77777777" w:rsidR="00751D2A" w:rsidRDefault="00751D2A" w:rsidP="00751D2A">
      <w:r>
        <w:t>Purposes of Secondary and Postsecondary Schooling</w:t>
      </w:r>
    </w:p>
    <w:p w14:paraId="4866A1D5" w14:textId="77777777" w:rsidR="00751D2A" w:rsidRPr="00245CD6" w:rsidRDefault="00751D2A" w:rsidP="00751D2A">
      <w:r>
        <w:t xml:space="preserve">The purpose of secondary education is to ready students to either pursue a postsecondary education or enter into a vocational career that does not require further formal study. Postsecondary education helps students develop skills and expertise they can apply in later professional careers. For example, a student who studies English may pursue a career as an editor. A medical student studies to become a doctor. A </w:t>
      </w:r>
      <w:proofErr w:type="gramStart"/>
      <w:r>
        <w:t>computer engineering</w:t>
      </w:r>
      <w:proofErr w:type="gramEnd"/>
      <w:r>
        <w:t xml:space="preserve"> student may become a computer scientist. The goals are twofold: to help students develop independent reasoning skills and to prepare them for the job market.</w:t>
      </w:r>
    </w:p>
    <w:p w14:paraId="245B44B1" w14:textId="3BB27D05" w:rsidR="00751D2A" w:rsidRDefault="00EF6589" w:rsidP="00EF6589">
      <w:pPr>
        <w:pStyle w:val="Heading3"/>
      </w:pPr>
      <w:r>
        <w:t>Secondary = High School</w:t>
      </w:r>
    </w:p>
    <w:p w14:paraId="05CE020A" w14:textId="77777777" w:rsidR="00EF6589" w:rsidRDefault="00EF6589" w:rsidP="00751D2A"/>
    <w:p w14:paraId="5C670BBF" w14:textId="77777777" w:rsidR="00751D2A" w:rsidRPr="00245CD6" w:rsidRDefault="00751D2A" w:rsidP="00751D2A">
      <w:pPr>
        <w:pStyle w:val="Heading4"/>
      </w:pPr>
      <w:r>
        <w:t xml:space="preserve">Education beyond high school is </w:t>
      </w:r>
      <w:r>
        <w:rPr>
          <w:u w:val="single"/>
        </w:rPr>
        <w:t>post-Secondary</w:t>
      </w:r>
    </w:p>
    <w:p w14:paraId="783A893B" w14:textId="77777777" w:rsidR="00751D2A" w:rsidRDefault="00751D2A" w:rsidP="00751D2A">
      <w:r w:rsidRPr="00245CD6">
        <w:rPr>
          <w:rStyle w:val="StyleStyleBold12pt"/>
        </w:rPr>
        <w:t>DHHS 9 –</w:t>
      </w:r>
      <w:r>
        <w:t xml:space="preserve"> Department of Health and Human Services, July, http://www.dhhs.nh.gov/fam_htm/html/post_secondary_education_(fam).htm</w:t>
      </w:r>
    </w:p>
    <w:p w14:paraId="78AF9D62" w14:textId="77777777" w:rsidR="00751D2A" w:rsidRDefault="00751D2A" w:rsidP="00751D2A">
      <w:r w:rsidRPr="00245CD6">
        <w:rPr>
          <w:rStyle w:val="Emphasis"/>
        </w:rPr>
        <w:t>Post Secondary Education</w:t>
      </w:r>
      <w:r w:rsidRPr="00245CD6">
        <w:rPr>
          <w:rStyle w:val="StyleBoldUnderline"/>
        </w:rPr>
        <w:t xml:space="preserve"> is defined as a program of study </w:t>
      </w:r>
      <w:r w:rsidRPr="00245CD6">
        <w:rPr>
          <w:rStyle w:val="Emphasis"/>
        </w:rPr>
        <w:t>beyond high school or its equivalent</w:t>
      </w:r>
      <w:r w:rsidRPr="00245CD6">
        <w:rPr>
          <w:rStyle w:val="StyleBoldUnderline"/>
        </w:rPr>
        <w:t xml:space="preserve"> leading to an associate’s degree or higher</w:t>
      </w:r>
      <w:r>
        <w:t>. The activity can only be counted as a core activity for a lifetime maximum of 12 months. An extension beyond the limits may be granted for a maximum of 3 months if deemed necessary in order to provide for successful transition to employment. Any extension beyond the 12 months is counted as a secondary activity.</w:t>
      </w:r>
    </w:p>
    <w:p w14:paraId="0435A9AC" w14:textId="77777777" w:rsidR="00751D2A" w:rsidRDefault="00751D2A" w:rsidP="00751D2A"/>
    <w:p w14:paraId="19BAE2B6" w14:textId="77777777" w:rsidR="00751D2A" w:rsidRDefault="00751D2A" w:rsidP="00751D2A">
      <w:pPr>
        <w:pStyle w:val="Heading4"/>
      </w:pPr>
      <w:r>
        <w:t>Education beyond the 12</w:t>
      </w:r>
      <w:r w:rsidRPr="000C4F2E">
        <w:rPr>
          <w:vertAlign w:val="superscript"/>
        </w:rPr>
        <w:t>th</w:t>
      </w:r>
      <w:r>
        <w:t xml:space="preserve"> grade is not “Secondary”</w:t>
      </w:r>
    </w:p>
    <w:p w14:paraId="31980E93" w14:textId="77777777" w:rsidR="00751D2A" w:rsidRDefault="00751D2A" w:rsidP="00751D2A">
      <w:r w:rsidRPr="000C4F2E">
        <w:rPr>
          <w:rStyle w:val="StyleStyleBold12pt"/>
        </w:rPr>
        <w:t>IFAP 97 –</w:t>
      </w:r>
      <w:r>
        <w:t xml:space="preserve"> Information for Financial Aid Professionals, 12-31, https://ifap.ed.gov/regcomps/doc0597_bodyoftext.htm</w:t>
      </w:r>
    </w:p>
    <w:p w14:paraId="3173E88E" w14:textId="77777777" w:rsidR="00751D2A" w:rsidRDefault="00751D2A" w:rsidP="00751D2A">
      <w:r>
        <w:t xml:space="preserve">(o) Secondary school: (1) </w:t>
      </w:r>
      <w:proofErr w:type="gramStart"/>
      <w:r>
        <w:t>A</w:t>
      </w:r>
      <w:proofErr w:type="gramEnd"/>
      <w:r>
        <w:t xml:space="preserve"> school that provides secondary education, as determined by--</w:t>
      </w:r>
    </w:p>
    <w:p w14:paraId="46AD708B" w14:textId="77777777" w:rsidR="00751D2A" w:rsidRDefault="00751D2A" w:rsidP="00751D2A">
      <w:r>
        <w:t>(</w:t>
      </w:r>
      <w:proofErr w:type="spellStart"/>
      <w:r>
        <w:t>i</w:t>
      </w:r>
      <w:proofErr w:type="spellEnd"/>
      <w:r>
        <w:t>) State law; or</w:t>
      </w:r>
    </w:p>
    <w:p w14:paraId="06C35FFD" w14:textId="77777777" w:rsidR="00751D2A" w:rsidRDefault="00751D2A" w:rsidP="00751D2A">
      <w:r>
        <w:t>(ii) The Secretary, if the school is not in a State.</w:t>
      </w:r>
    </w:p>
    <w:p w14:paraId="10461812" w14:textId="77777777" w:rsidR="00751D2A" w:rsidRDefault="00751D2A" w:rsidP="00751D2A">
      <w:r>
        <w:t xml:space="preserve">(2) </w:t>
      </w:r>
      <w:r w:rsidRPr="000C4F2E">
        <w:rPr>
          <w:rStyle w:val="StyleBoldUnderline"/>
        </w:rPr>
        <w:t xml:space="preserve">However, State laws </w:t>
      </w:r>
      <w:proofErr w:type="gramStart"/>
      <w:r w:rsidRPr="000C4F2E">
        <w:rPr>
          <w:rStyle w:val="StyleBoldUnderline"/>
        </w:rPr>
        <w:t xml:space="preserve">notwithstanding, </w:t>
      </w:r>
      <w:r w:rsidRPr="000C4F2E">
        <w:rPr>
          <w:rStyle w:val="Emphasis"/>
        </w:rPr>
        <w:t>secondary education does not include any education beyond grade 12</w:t>
      </w:r>
      <w:proofErr w:type="gramEnd"/>
      <w:r>
        <w:t>.</w:t>
      </w:r>
    </w:p>
    <w:p w14:paraId="4BBB6F85" w14:textId="77777777" w:rsidR="00EF6589" w:rsidRDefault="00EF6589" w:rsidP="00751D2A"/>
    <w:p w14:paraId="5674FBD4" w14:textId="77777777" w:rsidR="00EF6589" w:rsidRPr="005015BA" w:rsidRDefault="00EF6589" w:rsidP="00EF6589">
      <w:pPr>
        <w:pStyle w:val="Heading4"/>
      </w:pPr>
      <w:r w:rsidRPr="005015BA">
        <w:t>Secondary school is high school or academy that provides educational instruction for students ages 11 to 18</w:t>
      </w:r>
    </w:p>
    <w:p w14:paraId="60EDC636" w14:textId="77777777" w:rsidR="00EF6589" w:rsidRPr="005015BA" w:rsidRDefault="00EF6589" w:rsidP="00EF6589">
      <w:r w:rsidRPr="005015BA">
        <w:rPr>
          <w:rStyle w:val="StyleStyleBold12pt"/>
        </w:rPr>
        <w:t xml:space="preserve">Learn.org ND </w:t>
      </w:r>
      <w:r w:rsidRPr="005015BA">
        <w:t>(team of teachers, professional researchers, and writers, “What is the definition of secondary school?</w:t>
      </w:r>
      <w:proofErr w:type="gramStart"/>
      <w:r w:rsidRPr="005015BA">
        <w:t>”,</w:t>
      </w:r>
      <w:proofErr w:type="gramEnd"/>
      <w:r w:rsidRPr="005015BA">
        <w:t xml:space="preserve"> http://learn.org/articles/What_is_the_Definition_of_Secondary_School.html)</w:t>
      </w:r>
    </w:p>
    <w:p w14:paraId="1CD9E96D" w14:textId="77777777" w:rsidR="00EF6589" w:rsidRPr="005015BA" w:rsidRDefault="00EF6589" w:rsidP="00EF6589">
      <w:pPr>
        <w:rPr>
          <w:rStyle w:val="StyleBoldUnderline"/>
        </w:rPr>
      </w:pPr>
      <w:r w:rsidRPr="005015BA">
        <w:rPr>
          <w:rStyle w:val="StyleBoldUnderline"/>
        </w:rPr>
        <w:t>A secondary school in the United States might also be known as a high school or as an academy. It usually provides educational instruction for students during the period from ages 11 to 18.</w:t>
      </w:r>
      <w:r w:rsidRPr="005015BA">
        <w:rPr>
          <w:sz w:val="16"/>
        </w:rPr>
        <w:t xml:space="preserve"> Read on to learn more about secondary schools. Secondary School Grade Levels </w:t>
      </w:r>
      <w:r w:rsidRPr="005015BA">
        <w:rPr>
          <w:rStyle w:val="StyleBoldUnderline"/>
        </w:rPr>
        <w:t>A secondary school in the U.S. commonly consists of grades 9 through 12, with grade levels known as freshman, sophomore, junior and senior, respectively</w:t>
      </w:r>
      <w:r w:rsidRPr="005015BA">
        <w:rPr>
          <w:sz w:val="16"/>
        </w:rPr>
        <w:t xml:space="preserve">. Some larger school districts fund secondary schools that teach only grades 10, 11 and 12. Some secondary schools include students in grades seven and eight, along with the higher grade levels. Secondary schools represent the final stage of compulsory schooling in most U.S. states. </w:t>
      </w:r>
      <w:r w:rsidRPr="005015BA">
        <w:rPr>
          <w:rStyle w:val="StyleBoldUnderline"/>
        </w:rPr>
        <w:t>State law proscribes school attendance until graduation or until a specific age, whichever comes earlier.</w:t>
      </w:r>
    </w:p>
    <w:p w14:paraId="668B0BEA" w14:textId="5964543B" w:rsidR="00591312" w:rsidRPr="00707DBD" w:rsidRDefault="00591312" w:rsidP="00591312">
      <w:pPr>
        <w:pStyle w:val="Heading3"/>
        <w:rPr>
          <w:rFonts w:cs="Times New Roman"/>
        </w:rPr>
      </w:pPr>
      <w:r>
        <w:rPr>
          <w:rFonts w:cs="Times New Roman"/>
        </w:rPr>
        <w:t>Vocational Violation</w:t>
      </w:r>
    </w:p>
    <w:p w14:paraId="7F54FC47" w14:textId="77777777" w:rsidR="00591312" w:rsidRPr="00707DBD" w:rsidRDefault="00591312" w:rsidP="00591312"/>
    <w:p w14:paraId="7A5F1BB0" w14:textId="77777777" w:rsidR="00591312" w:rsidRPr="00707DBD" w:rsidRDefault="00591312" w:rsidP="00591312">
      <w:pPr>
        <w:keepNext/>
        <w:keepLines/>
        <w:spacing w:before="40"/>
        <w:outlineLvl w:val="3"/>
        <w:rPr>
          <w:rFonts w:eastAsiaTheme="majorEastAsia"/>
          <w:b/>
          <w:iCs/>
          <w:sz w:val="26"/>
        </w:rPr>
      </w:pPr>
      <w:r w:rsidRPr="00707DBD">
        <w:rPr>
          <w:rFonts w:eastAsiaTheme="majorEastAsia"/>
          <w:b/>
          <w:iCs/>
          <w:sz w:val="26"/>
        </w:rPr>
        <w:t>Violation -</w:t>
      </w:r>
      <w:r w:rsidRPr="00707DBD">
        <w:rPr>
          <w:rFonts w:eastAsiaTheme="majorEastAsia"/>
          <w:b/>
          <w:iCs/>
          <w:sz w:val="26"/>
          <w:u w:val="single"/>
        </w:rPr>
        <w:t xml:space="preserve"> Vocational training</w:t>
      </w:r>
      <w:r w:rsidRPr="00707DBD">
        <w:rPr>
          <w:rFonts w:eastAsiaTheme="majorEastAsia"/>
          <w:b/>
          <w:iCs/>
          <w:sz w:val="26"/>
        </w:rPr>
        <w:t xml:space="preserve"> is </w:t>
      </w:r>
      <w:r w:rsidRPr="00707DBD">
        <w:rPr>
          <w:rFonts w:eastAsiaTheme="majorEastAsia"/>
          <w:b/>
          <w:iCs/>
          <w:sz w:val="26"/>
          <w:u w:val="single"/>
        </w:rPr>
        <w:t>post-secondary</w:t>
      </w:r>
      <w:r w:rsidRPr="00707DBD">
        <w:rPr>
          <w:rFonts w:eastAsiaTheme="majorEastAsia"/>
          <w:b/>
          <w:iCs/>
          <w:sz w:val="26"/>
        </w:rPr>
        <w:t xml:space="preserve"> education</w:t>
      </w:r>
    </w:p>
    <w:p w14:paraId="2DB61E5B" w14:textId="77777777" w:rsidR="00591312" w:rsidRPr="00707DBD" w:rsidRDefault="00591312" w:rsidP="00591312">
      <w:pPr>
        <w:rPr>
          <w:b/>
          <w:bCs/>
        </w:rPr>
      </w:pPr>
      <w:r w:rsidRPr="00707DBD">
        <w:rPr>
          <w:b/>
          <w:bCs/>
        </w:rPr>
        <w:t>The CHOP Research Institute</w:t>
      </w:r>
      <w:proofErr w:type="gramStart"/>
      <w:r w:rsidRPr="00707DBD">
        <w:rPr>
          <w:b/>
          <w:bCs/>
        </w:rPr>
        <w:t>,14</w:t>
      </w:r>
      <w:proofErr w:type="gramEnd"/>
      <w:r w:rsidRPr="00707DBD">
        <w:rPr>
          <w:b/>
          <w:bCs/>
        </w:rPr>
        <w:t xml:space="preserve"> </w:t>
      </w:r>
      <w:r w:rsidRPr="00707DBD">
        <w:t>– leading institute for medical and student research (“EDUCATION AFTER HIGH SCHOOL: WHAT ARE THE OPTIONS?”, The Children’s Hospital of Philadelphia Research Institute, 2014, https://www.carautismroadmap.org/education-after-high-school-what-are-the-options/,//SL)</w:t>
      </w:r>
    </w:p>
    <w:p w14:paraId="3EB766CB" w14:textId="77777777" w:rsidR="00591312" w:rsidRDefault="00591312" w:rsidP="00591312">
      <w:r w:rsidRPr="00707DBD">
        <w:rPr>
          <w:u w:val="single"/>
        </w:rPr>
        <w:t>More and more students</w:t>
      </w:r>
      <w:r w:rsidRPr="00707DBD">
        <w:t xml:space="preserve"> with Autism Spectrum Disorder (ASD) </w:t>
      </w:r>
      <w:r w:rsidRPr="00707DBD">
        <w:rPr>
          <w:u w:val="single"/>
        </w:rPr>
        <w:t>are deciding to pursue education beyond high school.</w:t>
      </w:r>
      <w:r w:rsidRPr="00707DBD">
        <w:t xml:space="preserve"> One reason for this is the recognition by </w:t>
      </w:r>
      <w:r w:rsidRPr="00707DBD">
        <w:rPr>
          <w:b/>
          <w:iCs/>
          <w:u w:val="single"/>
          <w:bdr w:val="single" w:sz="8" w:space="0" w:color="auto"/>
        </w:rPr>
        <w:t>post-secondary</w:t>
      </w:r>
      <w:r w:rsidRPr="00707DBD">
        <w:rPr>
          <w:u w:val="single"/>
        </w:rPr>
        <w:t xml:space="preserve"> institutions</w:t>
      </w:r>
      <w:r w:rsidRPr="00707DBD">
        <w:t xml:space="preserve"> that students with ASD can be not only qualified, but also successful students, particularly when given needed supports. As a result, there are more and more postsecondary programs to choose from.</w:t>
      </w:r>
      <w:r>
        <w:t xml:space="preserve"> </w:t>
      </w:r>
      <w:r w:rsidRPr="00707DBD">
        <w:rPr>
          <w:u w:val="single"/>
        </w:rPr>
        <w:t xml:space="preserve">Most people think of traditional college when they think of post-secondary education, but there are other options, ranging from pre-college programs to </w:t>
      </w:r>
      <w:r w:rsidRPr="00707DBD">
        <w:rPr>
          <w:b/>
          <w:iCs/>
          <w:u w:val="single"/>
          <w:bdr w:val="single" w:sz="8" w:space="0" w:color="auto"/>
        </w:rPr>
        <w:t>vocational training</w:t>
      </w:r>
      <w:r w:rsidRPr="00707DBD">
        <w:t xml:space="preserve"> to personal development classes offered in the community. The paragraphs below outline some of the most popular programs. Accommodations (known as “academic adjustments”), which may be required under Titles II and III of the Americans with Disabilities Act of 1990 (ADA) or Subpart E of Section 504 of the Rehabilitation Act of 1973 (Section 504), as well as any additional supports that may be available to college students, are discussed in separate articles </w:t>
      </w:r>
    </w:p>
    <w:p w14:paraId="6CBDBBDC" w14:textId="77777777" w:rsidR="009F0682" w:rsidRDefault="009F0682" w:rsidP="00591312"/>
    <w:p w14:paraId="45E0B0DA" w14:textId="77777777" w:rsidR="009F0682" w:rsidRPr="00066736" w:rsidRDefault="009F0682" w:rsidP="009F0682">
      <w:pPr>
        <w:pStyle w:val="Heading4"/>
        <w:rPr>
          <w:sz w:val="24"/>
        </w:rPr>
      </w:pPr>
      <w:r w:rsidRPr="00066736">
        <w:rPr>
          <w:sz w:val="24"/>
        </w:rPr>
        <w:t>Vocational education includes thousands of post-secondary education centers</w:t>
      </w:r>
    </w:p>
    <w:p w14:paraId="57ED81D9" w14:textId="77777777" w:rsidR="009F0682" w:rsidRPr="00066736" w:rsidRDefault="009F0682" w:rsidP="009F0682">
      <w:pPr>
        <w:rPr>
          <w:sz w:val="14"/>
          <w:szCs w:val="16"/>
        </w:rPr>
      </w:pPr>
      <w:r w:rsidRPr="00066736">
        <w:rPr>
          <w:rStyle w:val="StyleStyleBold12pt"/>
        </w:rPr>
        <w:t>Department of Education 79</w:t>
      </w:r>
      <w:r w:rsidRPr="00066736">
        <w:rPr>
          <w:sz w:val="14"/>
          <w:szCs w:val="16"/>
        </w:rPr>
        <w:t xml:space="preserve"> (“Guidelines for Vocational Education Programs” </w:t>
      </w:r>
      <w:hyperlink r:id="rId11" w:history="1">
        <w:r w:rsidRPr="00066736">
          <w:rPr>
            <w:rStyle w:val="Hyperlink"/>
            <w:sz w:val="20"/>
          </w:rPr>
          <w:t>https://www2.ed.gov/about/offices/list/ocr/docs/vocre.html published 3/21/79</w:t>
        </w:r>
      </w:hyperlink>
      <w:r w:rsidRPr="00066736">
        <w:rPr>
          <w:sz w:val="14"/>
          <w:szCs w:val="16"/>
        </w:rPr>
        <w:t xml:space="preserve"> </w:t>
      </w:r>
      <w:proofErr w:type="spellStart"/>
      <w:r w:rsidRPr="00066736">
        <w:rPr>
          <w:sz w:val="14"/>
          <w:szCs w:val="16"/>
        </w:rPr>
        <w:t>doa</w:t>
      </w:r>
      <w:proofErr w:type="spellEnd"/>
      <w:r w:rsidRPr="00066736">
        <w:rPr>
          <w:sz w:val="14"/>
          <w:szCs w:val="16"/>
        </w:rPr>
        <w:t xml:space="preserve"> 6/29/17)</w:t>
      </w:r>
    </w:p>
    <w:p w14:paraId="4D9B35D3" w14:textId="77777777" w:rsidR="009F0682" w:rsidRPr="00066736" w:rsidRDefault="009F0682" w:rsidP="009F0682">
      <w:pPr>
        <w:rPr>
          <w:sz w:val="12"/>
          <w:szCs w:val="16"/>
        </w:rPr>
      </w:pPr>
      <w:r w:rsidRPr="00066736">
        <w:rPr>
          <w:sz w:val="12"/>
          <w:szCs w:val="16"/>
        </w:rPr>
        <w:t xml:space="preserve">CONCLUSION </w:t>
      </w:r>
      <w:r w:rsidRPr="00066736">
        <w:rPr>
          <w:rStyle w:val="StyleBoldUnderline"/>
          <w:sz w:val="20"/>
        </w:rPr>
        <w:t>Vocational education</w:t>
      </w:r>
      <w:r w:rsidRPr="00066736">
        <w:rPr>
          <w:sz w:val="12"/>
          <w:szCs w:val="16"/>
        </w:rPr>
        <w:t xml:space="preserve"> is a critical and growing sector of the Nation's education system. It is </w:t>
      </w:r>
      <w:r w:rsidRPr="00066736">
        <w:rPr>
          <w:rStyle w:val="StyleBoldUnderline"/>
          <w:sz w:val="20"/>
        </w:rPr>
        <w:t>offered in</w:t>
      </w:r>
      <w:r w:rsidRPr="00066736">
        <w:rPr>
          <w:sz w:val="12"/>
          <w:szCs w:val="16"/>
        </w:rPr>
        <w:t xml:space="preserve"> over </w:t>
      </w:r>
      <w:r w:rsidRPr="00066736">
        <w:rPr>
          <w:rStyle w:val="StyleBoldUnderline"/>
          <w:sz w:val="20"/>
        </w:rPr>
        <w:t>14,000 school districts and in community and junior colleges. It is also provided through more than 2,000 secondary and postsecondary vocational education centers</w:t>
      </w:r>
      <w:r w:rsidRPr="00066736">
        <w:rPr>
          <w:sz w:val="12"/>
          <w:szCs w:val="16"/>
        </w:rPr>
        <w:t xml:space="preserve"> (often known as Area Vocational Education Schools, or AVES</w:t>
      </w:r>
      <w:proofErr w:type="gramStart"/>
      <w:r w:rsidRPr="00066736">
        <w:rPr>
          <w:sz w:val="12"/>
          <w:szCs w:val="16"/>
        </w:rPr>
        <w:t>), that</w:t>
      </w:r>
      <w:proofErr w:type="gramEnd"/>
      <w:r w:rsidRPr="00066736">
        <w:rPr>
          <w:sz w:val="12"/>
          <w:szCs w:val="16"/>
        </w:rPr>
        <w:t xml:space="preserve"> have as their primary or sole objective the teaching of skills that lead to employment. The </w:t>
      </w:r>
      <w:r w:rsidRPr="00066736">
        <w:rPr>
          <w:rStyle w:val="StyleBoldUnderline"/>
          <w:sz w:val="20"/>
        </w:rPr>
        <w:t>variations of programs</w:t>
      </w:r>
      <w:r w:rsidRPr="00066736">
        <w:rPr>
          <w:sz w:val="12"/>
          <w:szCs w:val="16"/>
        </w:rPr>
        <w:t xml:space="preserve"> and courses number in the thousands. They </w:t>
      </w:r>
      <w:r w:rsidRPr="00066736">
        <w:rPr>
          <w:rStyle w:val="StyleBoldUnderline"/>
          <w:sz w:val="20"/>
        </w:rPr>
        <w:t>include</w:t>
      </w:r>
      <w:r w:rsidRPr="00066736">
        <w:rPr>
          <w:sz w:val="12"/>
          <w:szCs w:val="16"/>
        </w:rPr>
        <w:t>, for example, "</w:t>
      </w:r>
      <w:r w:rsidRPr="00066736">
        <w:rPr>
          <w:rStyle w:val="StyleBoldUnderline"/>
          <w:sz w:val="20"/>
        </w:rPr>
        <w:t>work study</w:t>
      </w:r>
      <w:r w:rsidRPr="00066736">
        <w:rPr>
          <w:sz w:val="12"/>
          <w:szCs w:val="16"/>
        </w:rPr>
        <w:t>" for students needing part-time employment to support their vocational studies; "</w:t>
      </w:r>
      <w:r w:rsidRPr="00066736">
        <w:rPr>
          <w:rStyle w:val="StyleBoldUnderline"/>
          <w:sz w:val="20"/>
        </w:rPr>
        <w:t>cooperative education" for students who receive credit for work at jobs related to their vocational field</w:t>
      </w:r>
      <w:r w:rsidRPr="00066736">
        <w:rPr>
          <w:sz w:val="12"/>
          <w:szCs w:val="16"/>
        </w:rPr>
        <w:t>; and "</w:t>
      </w:r>
      <w:r w:rsidRPr="00066736">
        <w:rPr>
          <w:rStyle w:val="StyleBoldUnderline"/>
          <w:sz w:val="20"/>
        </w:rPr>
        <w:t>apprentice training" for students affiliated with a labor union</w:t>
      </w:r>
      <w:r w:rsidRPr="00066736">
        <w:rPr>
          <w:sz w:val="12"/>
          <w:szCs w:val="16"/>
        </w:rPr>
        <w:t xml:space="preserve"> or another sponsor. Whatever the organization of vocational education, it is closely tied to the skill development needs of communities, States, and regions. Obtaining compliance with civil rights authorities in these diverse programs will require the participation and cooperation of all vocational education administrators and all agencies of the Department of Health, Education and Welfare. These Guidelines are designed to encourage that cooperation and compliance activity. They are provided with the expectation that they will contribute to bringing an end to unlawful discrimination against persons seeking the skills necessary for gainful and meaningful employment.</w:t>
      </w:r>
    </w:p>
    <w:p w14:paraId="45DCE241" w14:textId="77777777" w:rsidR="009F0682" w:rsidRPr="00707DBD" w:rsidRDefault="009F0682" w:rsidP="00591312"/>
    <w:p w14:paraId="1CEF5C81" w14:textId="77777777" w:rsidR="00591312" w:rsidRPr="00707DBD" w:rsidRDefault="00591312" w:rsidP="00591312"/>
    <w:p w14:paraId="25BC83C7" w14:textId="79004A40" w:rsidR="00591312" w:rsidRDefault="009F0682" w:rsidP="009F0682">
      <w:pPr>
        <w:pStyle w:val="Heading3"/>
      </w:pPr>
      <w:r>
        <w:t>Adult Education Violation</w:t>
      </w:r>
    </w:p>
    <w:p w14:paraId="3890E05F" w14:textId="77777777" w:rsidR="009F0682" w:rsidRPr="00066736" w:rsidRDefault="009F0682" w:rsidP="009F0682">
      <w:pPr>
        <w:pStyle w:val="Heading4"/>
        <w:rPr>
          <w:sz w:val="24"/>
        </w:rPr>
      </w:pPr>
      <w:r w:rsidRPr="00066736">
        <w:rPr>
          <w:sz w:val="24"/>
        </w:rPr>
        <w:t>Adult education is distinct from secondary education</w:t>
      </w:r>
    </w:p>
    <w:p w14:paraId="28FC6E7C" w14:textId="77777777" w:rsidR="009F0682" w:rsidRPr="00066736" w:rsidRDefault="009F0682" w:rsidP="009F0682">
      <w:pPr>
        <w:rPr>
          <w:sz w:val="14"/>
          <w:szCs w:val="16"/>
        </w:rPr>
      </w:pPr>
      <w:r w:rsidRPr="00066736">
        <w:rPr>
          <w:sz w:val="14"/>
          <w:szCs w:val="16"/>
        </w:rPr>
        <w:t xml:space="preserve">Dorothy </w:t>
      </w:r>
      <w:r w:rsidRPr="00066736">
        <w:rPr>
          <w:rStyle w:val="StyleStyleBold12pt"/>
        </w:rPr>
        <w:t>Nelson</w:t>
      </w:r>
      <w:r w:rsidRPr="00066736">
        <w:rPr>
          <w:sz w:val="14"/>
          <w:szCs w:val="16"/>
        </w:rPr>
        <w:t xml:space="preserve"> (Judge on the District Court of Appeals for the Ninth Circuit) August </w:t>
      </w:r>
      <w:r w:rsidRPr="00066736">
        <w:rPr>
          <w:rStyle w:val="StyleStyleBold12pt"/>
        </w:rPr>
        <w:t>2013</w:t>
      </w:r>
      <w:r w:rsidRPr="00066736">
        <w:rPr>
          <w:sz w:val="14"/>
          <w:szCs w:val="16"/>
        </w:rPr>
        <w:t>, opinion in E.K.G v. Hawaii Department of Education, No. 12-16063 UNITED STATES COURT OF APPEALS FOR THE NINTH CIRCUIT 728 F.3d 982; 2013 U.S. App. LEXIS 17950, Lexis</w:t>
      </w:r>
    </w:p>
    <w:p w14:paraId="772759F1" w14:textId="77777777" w:rsidR="009F0682" w:rsidRPr="00066736" w:rsidRDefault="009F0682" w:rsidP="009F0682">
      <w:pPr>
        <w:rPr>
          <w:sz w:val="10"/>
          <w:szCs w:val="16"/>
        </w:rPr>
      </w:pPr>
      <w:r w:rsidRPr="00066736">
        <w:rPr>
          <w:sz w:val="10"/>
          <w:szCs w:val="16"/>
        </w:rPr>
        <w:t xml:space="preserve"> </w:t>
      </w:r>
      <w:r w:rsidRPr="00066736">
        <w:rPr>
          <w:rStyle w:val="StyleBoldUnderline"/>
          <w:sz w:val="20"/>
        </w:rPr>
        <w:t>The DOE argues that, by offering "adult education" as an example of a "post-school activity," the IDEA's drafters intended to distinguish adult education from secondary education</w:t>
      </w:r>
      <w:r w:rsidRPr="00066736">
        <w:rPr>
          <w:sz w:val="10"/>
          <w:szCs w:val="16"/>
        </w:rPr>
        <w:t xml:space="preserve">. But of course it is self-evident that </w:t>
      </w:r>
      <w:r w:rsidRPr="00066736">
        <w:rPr>
          <w:rStyle w:val="StyleBoldUnderline"/>
          <w:sz w:val="20"/>
        </w:rPr>
        <w:t>"adult education" and "secondary education" are not coterminous</w:t>
      </w:r>
      <w:r w:rsidRPr="00066736">
        <w:rPr>
          <w:sz w:val="10"/>
          <w:szCs w:val="16"/>
        </w:rPr>
        <w:t xml:space="preserve">. Hawaii's </w:t>
      </w:r>
      <w:r w:rsidRPr="00066736">
        <w:rPr>
          <w:rStyle w:val="StyleBoldUnderline"/>
          <w:sz w:val="20"/>
        </w:rPr>
        <w:t>adult schools</w:t>
      </w:r>
      <w:r w:rsidRPr="00066736">
        <w:rPr>
          <w:sz w:val="10"/>
          <w:szCs w:val="16"/>
        </w:rPr>
        <w:t xml:space="preserve"> </w:t>
      </w:r>
      <w:r w:rsidRPr="00066736">
        <w:rPr>
          <w:rStyle w:val="StyleBoldUnderline"/>
          <w:sz w:val="20"/>
        </w:rPr>
        <w:t>offer adult-education courses in parenting and sewing</w:t>
      </w:r>
      <w:proofErr w:type="gramStart"/>
      <w:r w:rsidRPr="00066736">
        <w:rPr>
          <w:sz w:val="10"/>
          <w:szCs w:val="16"/>
        </w:rPr>
        <w:t>,7</w:t>
      </w:r>
      <w:proofErr w:type="gramEnd"/>
      <w:r w:rsidRPr="00066736">
        <w:rPr>
          <w:sz w:val="10"/>
          <w:szCs w:val="16"/>
        </w:rPr>
        <w:t xml:space="preserve"> </w:t>
      </w:r>
      <w:r w:rsidRPr="00066736">
        <w:rPr>
          <w:rStyle w:val="StyleBoldUnderline"/>
          <w:sz w:val="20"/>
        </w:rPr>
        <w:t>but it is unlikely that these courses constitute secondary education</w:t>
      </w:r>
      <w:r w:rsidRPr="00066736">
        <w:rPr>
          <w:sz w:val="10"/>
          <w:szCs w:val="16"/>
        </w:rPr>
        <w:t>. The use of the phrase "adult education" in connection with transition services does not imply mutual exclusivity between "adult education" and "secondary education."</w:t>
      </w:r>
    </w:p>
    <w:p w14:paraId="1B2D6BE5" w14:textId="77777777" w:rsidR="009F0682" w:rsidRPr="009F0682" w:rsidRDefault="009F0682" w:rsidP="009F0682"/>
    <w:p w14:paraId="2D38CFE6" w14:textId="6ECA0A51" w:rsidR="00A8644A" w:rsidRDefault="009F0682" w:rsidP="009F0682">
      <w:pPr>
        <w:pStyle w:val="Heading3"/>
      </w:pPr>
      <w:r>
        <w:t>GED Violation</w:t>
      </w:r>
    </w:p>
    <w:p w14:paraId="7C9B9CBE" w14:textId="77777777" w:rsidR="009F0682" w:rsidRPr="00066736" w:rsidRDefault="009F0682" w:rsidP="009F0682">
      <w:pPr>
        <w:pStyle w:val="Heading4"/>
        <w:rPr>
          <w:sz w:val="24"/>
        </w:rPr>
      </w:pPr>
      <w:r w:rsidRPr="00066736">
        <w:rPr>
          <w:sz w:val="24"/>
        </w:rPr>
        <w:t xml:space="preserve">Secondary education is distinct from GED and CB programs </w:t>
      </w:r>
    </w:p>
    <w:p w14:paraId="78D91424" w14:textId="77777777" w:rsidR="009F0682" w:rsidRPr="00066736" w:rsidRDefault="009F0682" w:rsidP="009F0682">
      <w:pPr>
        <w:pStyle w:val="Heading4"/>
        <w:rPr>
          <w:sz w:val="24"/>
        </w:rPr>
      </w:pPr>
      <w:r w:rsidRPr="00066736">
        <w:rPr>
          <w:sz w:val="24"/>
        </w:rPr>
        <w:t>Ezra, United States District Court for the District of Hawaii Senior District Judge, 2013</w:t>
      </w:r>
    </w:p>
    <w:p w14:paraId="3AE6914E" w14:textId="77777777" w:rsidR="009F0682" w:rsidRPr="00066736" w:rsidRDefault="009F0682" w:rsidP="009F0682">
      <w:pPr>
        <w:rPr>
          <w:sz w:val="14"/>
          <w:szCs w:val="16"/>
        </w:rPr>
      </w:pPr>
      <w:r w:rsidRPr="00066736">
        <w:rPr>
          <w:sz w:val="14"/>
          <w:szCs w:val="16"/>
        </w:rPr>
        <w:t>[David A., 8-28-13, “E.R.K., by his legal guardian R.K.; R.T.D., through his parents R.D. and M.D.; HAWAI'I DISABILITY RIGHTS CENTER, in a representative capacity on behalf of its clients and all others similarly situated, Plaintiffs-Appellants, v. STATE OF HAWAII DEPARTMENT OF EDUCATION, Defendant-Appellee</w:t>
      </w:r>
      <w:proofErr w:type="gramStart"/>
      <w:r w:rsidRPr="00066736">
        <w:rPr>
          <w:sz w:val="14"/>
          <w:szCs w:val="16"/>
        </w:rPr>
        <w:t>.,</w:t>
      </w:r>
      <w:proofErr w:type="gramEnd"/>
      <w:r w:rsidRPr="00066736">
        <w:rPr>
          <w:sz w:val="14"/>
          <w:szCs w:val="16"/>
        </w:rPr>
        <w:t xml:space="preserve">” pg. 9, UNITED STATES COURT OF APPEALS FOR THE NINTH CIRCUIT, Lexis, NVM]  </w:t>
      </w:r>
    </w:p>
    <w:p w14:paraId="3A612A4A" w14:textId="77777777" w:rsidR="009F0682" w:rsidRPr="00066736" w:rsidRDefault="009F0682" w:rsidP="009F0682">
      <w:pPr>
        <w:rPr>
          <w:sz w:val="12"/>
          <w:szCs w:val="16"/>
        </w:rPr>
      </w:pPr>
      <w:r w:rsidRPr="00066736">
        <w:rPr>
          <w:sz w:val="12"/>
          <w:szCs w:val="16"/>
        </w:rPr>
        <w:t xml:space="preserve">The DOE makes three arguments that, in spite of the statutory text, the </w:t>
      </w:r>
      <w:r w:rsidRPr="00066736">
        <w:rPr>
          <w:rStyle w:val="StyleBoldUnderline"/>
          <w:sz w:val="20"/>
        </w:rPr>
        <w:t>Community Schools for Adults do not</w:t>
      </w:r>
      <w:r w:rsidRPr="00066736">
        <w:rPr>
          <w:sz w:val="12"/>
          <w:szCs w:val="16"/>
        </w:rPr>
        <w:t xml:space="preserve"> in fact </w:t>
      </w:r>
      <w:r w:rsidRPr="00066736">
        <w:rPr>
          <w:rStyle w:val="StyleBoldUnderline"/>
          <w:sz w:val="20"/>
        </w:rPr>
        <w:t>offer free public education</w:t>
      </w:r>
      <w:r w:rsidRPr="00066736">
        <w:rPr>
          <w:sz w:val="12"/>
          <w:szCs w:val="16"/>
        </w:rPr>
        <w:t xml:space="preserve">. First, </w:t>
      </w:r>
      <w:r w:rsidRPr="00066736">
        <w:rPr>
          <w:rStyle w:val="StyleBoldUnderline"/>
          <w:sz w:val="20"/>
        </w:rPr>
        <w:t>the DOE urges us to distinguish "conventional" or "traditional" secondary education offered in</w:t>
      </w:r>
      <w:r w:rsidRPr="00066736">
        <w:rPr>
          <w:sz w:val="12"/>
          <w:szCs w:val="16"/>
        </w:rPr>
        <w:t xml:space="preserve"> Hawaiian </w:t>
      </w:r>
      <w:r w:rsidRPr="00066736">
        <w:rPr>
          <w:rStyle w:val="StyleBoldUnderline"/>
          <w:sz w:val="20"/>
        </w:rPr>
        <w:t>high schools from the less demanding GED and CB programs. To earn an ordinary high school diploma, the DOE points out, students must accumulate 120 credit hours in various academic subjects. The GED and CB diploma programs are structured differently</w:t>
      </w:r>
      <w:r w:rsidRPr="00066736">
        <w:rPr>
          <w:sz w:val="12"/>
          <w:szCs w:val="16"/>
        </w:rPr>
        <w:t xml:space="preserve">. The GED program consists of a series of targeted preparatory courses in the GED examination subjects, and the CB program is largely nonacademic, focusing instead on personal and vocational skill development. </w:t>
      </w:r>
      <w:r w:rsidRPr="00066736">
        <w:rPr>
          <w:rStyle w:val="StyleBoldUnderline"/>
          <w:sz w:val="20"/>
        </w:rPr>
        <w:t>The differences extend to postsecondary opportunities</w:t>
      </w:r>
      <w:r w:rsidRPr="00066736">
        <w:rPr>
          <w:sz w:val="12"/>
          <w:szCs w:val="16"/>
        </w:rPr>
        <w:t>. Both the [**19] University of Hawaii system and the military, for instance, favor students with conventional high school diplomas over students with the GED diploma.</w:t>
      </w:r>
    </w:p>
    <w:p w14:paraId="3CA02144" w14:textId="77777777" w:rsidR="009F0682" w:rsidRPr="00066736" w:rsidRDefault="009F0682" w:rsidP="009F0682">
      <w:pPr>
        <w:rPr>
          <w:sz w:val="12"/>
          <w:szCs w:val="16"/>
        </w:rPr>
      </w:pPr>
      <w:r w:rsidRPr="00066736">
        <w:rPr>
          <w:rStyle w:val="StyleBoldUnderline"/>
          <w:sz w:val="20"/>
        </w:rPr>
        <w:t>The DOE urges that the differences between "conventional" high schools in Hawaii and the Community Schools for Adults are so substantial that both school systems cannot offer secondary education. The district court made much the same argument</w:t>
      </w:r>
      <w:r w:rsidRPr="00066736">
        <w:rPr>
          <w:sz w:val="12"/>
          <w:szCs w:val="16"/>
        </w:rPr>
        <w:t xml:space="preserve"> when it entered judgment in the DOE's favor: </w:t>
      </w:r>
      <w:r w:rsidRPr="00066736">
        <w:rPr>
          <w:rStyle w:val="StyleBoldUnderline"/>
          <w:sz w:val="20"/>
        </w:rPr>
        <w:t xml:space="preserve">the district court held that </w:t>
      </w:r>
      <w:r w:rsidRPr="00066736">
        <w:rPr>
          <w:sz w:val="12"/>
          <w:szCs w:val="16"/>
        </w:rPr>
        <w:t xml:space="preserve">[*990] </w:t>
      </w:r>
      <w:r w:rsidRPr="00066736">
        <w:rPr>
          <w:rStyle w:val="StyleBoldUnderline"/>
          <w:sz w:val="20"/>
        </w:rPr>
        <w:t>the GED and CB programs "do not provide the equivalent of a secondary school education" because the "educational curriculum, requirements, and experience of the adult programs are dramatically different from those of a traditional public high school</w:t>
      </w:r>
      <w:r w:rsidRPr="00066736">
        <w:rPr>
          <w:sz w:val="12"/>
          <w:szCs w:val="16"/>
        </w:rPr>
        <w:t>."</w:t>
      </w:r>
    </w:p>
    <w:p w14:paraId="57FABDAF" w14:textId="77777777" w:rsidR="009F0682" w:rsidRPr="009F0682" w:rsidRDefault="009F0682" w:rsidP="009F0682"/>
    <w:p w14:paraId="16C221C3" w14:textId="77777777" w:rsidR="009F0682" w:rsidRDefault="009F0682" w:rsidP="009F0682">
      <w:pPr>
        <w:pStyle w:val="Heading3"/>
      </w:pPr>
    </w:p>
    <w:p w14:paraId="59035BBC" w14:textId="26F4C1F8" w:rsidR="00751D2A" w:rsidRDefault="00591312" w:rsidP="00591312">
      <w:pPr>
        <w:pStyle w:val="Heading1"/>
      </w:pPr>
      <w:r>
        <w:t>* PRIMARY and/or SECONDARY</w:t>
      </w:r>
    </w:p>
    <w:p w14:paraId="2FAFA745" w14:textId="00B0D59E" w:rsidR="00591312" w:rsidRPr="00591312" w:rsidRDefault="00591312" w:rsidP="00591312">
      <w:pPr>
        <w:pStyle w:val="Heading2"/>
      </w:pPr>
      <w:r>
        <w:t>T - Schools</w:t>
      </w:r>
    </w:p>
    <w:p w14:paraId="70E31B94" w14:textId="1FEF04EE" w:rsidR="00751D2A" w:rsidRDefault="00751D2A" w:rsidP="00751D2A">
      <w:pPr>
        <w:pStyle w:val="Heading3"/>
        <w:rPr>
          <w:rFonts w:cs="Times New Roman"/>
        </w:rPr>
      </w:pPr>
      <w:r w:rsidRPr="00707DBD">
        <w:rPr>
          <w:rFonts w:cs="Times New Roman"/>
        </w:rPr>
        <w:t xml:space="preserve">1nc </w:t>
      </w:r>
      <w:r w:rsidR="00591312">
        <w:rPr>
          <w:rFonts w:cs="Times New Roman"/>
        </w:rPr>
        <w:t xml:space="preserve">– T Schools </w:t>
      </w:r>
    </w:p>
    <w:p w14:paraId="770D8658" w14:textId="77777777" w:rsidR="00591312" w:rsidRDefault="00591312" w:rsidP="00591312"/>
    <w:p w14:paraId="42CDB790" w14:textId="77777777" w:rsidR="00591312" w:rsidRDefault="00591312" w:rsidP="00591312">
      <w:pPr>
        <w:pStyle w:val="Heading4"/>
      </w:pPr>
      <w:r>
        <w:t>“Elementary education” must be in schools</w:t>
      </w:r>
    </w:p>
    <w:p w14:paraId="6907F2F7" w14:textId="77777777" w:rsidR="00591312" w:rsidRDefault="00591312" w:rsidP="00591312">
      <w:r w:rsidRPr="00351F0C">
        <w:rPr>
          <w:rStyle w:val="StyleStyleBold12pt"/>
        </w:rPr>
        <w:t>USDA 17 –</w:t>
      </w:r>
      <w:r>
        <w:t xml:space="preserve"> United States Department of Agriculture, National Agricultural Library Thesaurus and Glossary, https://agclass.nal.usda.gov/mtwdk.exe</w:t>
      </w:r>
      <w:proofErr w:type="gramStart"/>
      <w:r>
        <w:t>?s</w:t>
      </w:r>
      <w:proofErr w:type="gramEnd"/>
      <w:r>
        <w:t>=1&amp;n=1&amp;y=0&amp;l=60&amp;k=glossary&amp;t=2&amp;w=elementary+education</w:t>
      </w:r>
    </w:p>
    <w:p w14:paraId="7100DDE5" w14:textId="77777777" w:rsidR="00591312" w:rsidRDefault="00591312" w:rsidP="00591312">
      <w:r>
        <w:t>Definition</w:t>
      </w:r>
    </w:p>
    <w:p w14:paraId="5CE7C717" w14:textId="15ECCE92" w:rsidR="00591312" w:rsidRPr="00591312" w:rsidRDefault="00591312" w:rsidP="00591312">
      <w:pPr>
        <w:rPr>
          <w:u w:val="single"/>
        </w:rPr>
      </w:pPr>
      <w:proofErr w:type="gramStart"/>
      <w:r w:rsidRPr="00351F0C">
        <w:rPr>
          <w:rStyle w:val="StyleBoldUnderline"/>
        </w:rPr>
        <w:t xml:space="preserve">Education of students from kindergarten through grades 6, 7, or 8 (which is </w:t>
      </w:r>
      <w:r w:rsidRPr="00351F0C">
        <w:rPr>
          <w:rStyle w:val="Emphasis"/>
        </w:rPr>
        <w:t>dependent on the school system</w:t>
      </w:r>
      <w:r w:rsidRPr="00351F0C">
        <w:rPr>
          <w:rStyle w:val="StyleBoldUnderline"/>
        </w:rPr>
        <w:t>).</w:t>
      </w:r>
      <w:proofErr w:type="gramEnd"/>
    </w:p>
    <w:p w14:paraId="13DACDAB" w14:textId="77777777" w:rsidR="00751D2A" w:rsidRPr="00707DBD" w:rsidRDefault="00751D2A" w:rsidP="00751D2A">
      <w:pPr>
        <w:rPr>
          <w:rStyle w:val="Emphasis"/>
        </w:rPr>
      </w:pPr>
    </w:p>
    <w:p w14:paraId="3B29DF65" w14:textId="38BD7A66" w:rsidR="00751D2A" w:rsidRPr="00591312" w:rsidRDefault="00751D2A" w:rsidP="00591312">
      <w:pPr>
        <w:pStyle w:val="Heading4"/>
        <w:rPr>
          <w:rFonts w:cs="Times New Roman"/>
        </w:rPr>
      </w:pPr>
      <w:r w:rsidRPr="00707DBD">
        <w:rPr>
          <w:rFonts w:cs="Times New Roman"/>
        </w:rPr>
        <w:t>Violation – the affirmatives increase doesn’t apply to elementary or high school</w:t>
      </w:r>
    </w:p>
    <w:p w14:paraId="506BE980" w14:textId="77777777" w:rsidR="00751D2A" w:rsidRPr="00707DBD" w:rsidRDefault="00751D2A" w:rsidP="00751D2A">
      <w:pPr>
        <w:pStyle w:val="Heading4"/>
        <w:rPr>
          <w:rFonts w:cs="Times New Roman"/>
        </w:rPr>
      </w:pPr>
      <w:r w:rsidRPr="00707DBD">
        <w:rPr>
          <w:rFonts w:cs="Times New Roman"/>
        </w:rPr>
        <w:t>Voting issue – to protect limits – the core of education debate changes from primary, to secondary, to post-secondary education – not even the hardest working 2n could prepare for every issue</w:t>
      </w:r>
    </w:p>
    <w:p w14:paraId="56E9BC19" w14:textId="77777777" w:rsidR="00751D2A" w:rsidRDefault="00751D2A" w:rsidP="00751D2A"/>
    <w:p w14:paraId="10931EB5" w14:textId="4972F611" w:rsidR="00EF6589" w:rsidRDefault="00591312" w:rsidP="00EF6589">
      <w:pPr>
        <w:pStyle w:val="Heading3"/>
      </w:pPr>
      <w:r>
        <w:t>Education = Schools</w:t>
      </w:r>
    </w:p>
    <w:p w14:paraId="770DBDDF" w14:textId="77777777" w:rsidR="00EF6589" w:rsidRDefault="00EF6589" w:rsidP="00EF6589"/>
    <w:p w14:paraId="653A1616" w14:textId="77777777" w:rsidR="00EF6589" w:rsidRPr="00463D6C" w:rsidRDefault="00EF6589" w:rsidP="00EF6589">
      <w:pPr>
        <w:pStyle w:val="Heading4"/>
        <w:rPr>
          <w:u w:val="single"/>
        </w:rPr>
      </w:pPr>
      <w:r>
        <w:t xml:space="preserve">“Elementary education” is </w:t>
      </w:r>
      <w:r>
        <w:rPr>
          <w:u w:val="single"/>
        </w:rPr>
        <w:t>formal</w:t>
      </w:r>
      <w:r>
        <w:t xml:space="preserve"> education in a </w:t>
      </w:r>
      <w:r>
        <w:rPr>
          <w:u w:val="single"/>
        </w:rPr>
        <w:t>school</w:t>
      </w:r>
    </w:p>
    <w:p w14:paraId="006E306C" w14:textId="77777777" w:rsidR="00EF6589" w:rsidRDefault="00EF6589" w:rsidP="00EF6589">
      <w:r w:rsidRPr="00463D6C">
        <w:rPr>
          <w:rStyle w:val="StyleStyleBold12pt"/>
        </w:rPr>
        <w:t>UNESCO 7 –</w:t>
      </w:r>
      <w:r>
        <w:t xml:space="preserve"> “OPERATIONAL DEFINITION OF BASIC EDUCATION”, December, http://www.unesco.org/education/framework.pdf</w:t>
      </w:r>
    </w:p>
    <w:p w14:paraId="1E445E54" w14:textId="77777777" w:rsidR="00EF6589" w:rsidRDefault="00EF6589" w:rsidP="00EF6589">
      <w:r>
        <w:t>6.2 Elementary Education</w:t>
      </w:r>
    </w:p>
    <w:p w14:paraId="3FE36DBF" w14:textId="77777777" w:rsidR="00EF6589" w:rsidRPr="00463D6C" w:rsidRDefault="00EF6589" w:rsidP="00EF6589">
      <w:r w:rsidRPr="00463D6C">
        <w:rPr>
          <w:rStyle w:val="StyleBoldUnderline"/>
        </w:rPr>
        <w:t>The term ‘elementary education’</w:t>
      </w:r>
      <w:r>
        <w:t xml:space="preserve"> was less ambiguous as it was better known internationally when the Universal Declaration of Human Rights was proclaimed. It </w:t>
      </w:r>
      <w:r w:rsidRPr="00463D6C">
        <w:rPr>
          <w:rStyle w:val="StyleBoldUnderline"/>
        </w:rPr>
        <w:t xml:space="preserve">referred to the first level of </w:t>
      </w:r>
      <w:r w:rsidRPr="00463D6C">
        <w:rPr>
          <w:rStyle w:val="Emphasis"/>
        </w:rPr>
        <w:t>formal</w:t>
      </w:r>
      <w:r w:rsidRPr="00463D6C">
        <w:rPr>
          <w:rStyle w:val="StyleBoldUnderline"/>
        </w:rPr>
        <w:t xml:space="preserve"> education</w:t>
      </w:r>
      <w:r>
        <w:t xml:space="preserve">. While the duration and contents of elementary education varied greatly among countries, </w:t>
      </w:r>
      <w:r w:rsidRPr="00463D6C">
        <w:rPr>
          <w:rStyle w:val="StyleBoldUnderline"/>
        </w:rPr>
        <w:t xml:space="preserve">it was broadly accepted as </w:t>
      </w:r>
      <w:r w:rsidRPr="00463D6C">
        <w:rPr>
          <w:rStyle w:val="Emphasis"/>
        </w:rPr>
        <w:t>primary schooling</w:t>
      </w:r>
      <w:r w:rsidRPr="00463D6C">
        <w:rPr>
          <w:rStyle w:val="StyleBoldUnderline"/>
        </w:rPr>
        <w:t xml:space="preserve"> aiming to provide for more than just the simple acquisition of literacy and numeracy</w:t>
      </w:r>
      <w:r>
        <w:t>.</w:t>
      </w:r>
    </w:p>
    <w:p w14:paraId="6A85F43A" w14:textId="77777777" w:rsidR="00591312" w:rsidRPr="00A8644A" w:rsidRDefault="00591312" w:rsidP="00591312"/>
    <w:p w14:paraId="257F3300" w14:textId="77777777" w:rsidR="00591312" w:rsidRPr="00351F0C" w:rsidRDefault="00591312" w:rsidP="00EF6589">
      <w:pPr>
        <w:rPr>
          <w:rStyle w:val="StyleBoldUnderline"/>
        </w:rPr>
      </w:pPr>
    </w:p>
    <w:p w14:paraId="0D33A023" w14:textId="77777777" w:rsidR="00EF6589" w:rsidRPr="00707DBD" w:rsidRDefault="00EF6589" w:rsidP="00751D2A"/>
    <w:p w14:paraId="5BA72C76" w14:textId="1FDC6E95" w:rsidR="00751D2A" w:rsidRPr="00707DBD" w:rsidRDefault="00751D2A" w:rsidP="0079456D">
      <w:pPr>
        <w:rPr>
          <w:rFonts w:cs="Times New Roman"/>
        </w:rPr>
      </w:pPr>
    </w:p>
    <w:p w14:paraId="57292179" w14:textId="5D06107E" w:rsidR="007B476A" w:rsidRPr="007C3AE8" w:rsidRDefault="007B476A" w:rsidP="007B476A"/>
    <w:p w14:paraId="1E50658A" w14:textId="77777777" w:rsidR="00266F1E" w:rsidRDefault="00266F1E" w:rsidP="00266F1E">
      <w:pPr>
        <w:pStyle w:val="Heading3"/>
      </w:pPr>
    </w:p>
    <w:p w14:paraId="2896ED0D" w14:textId="77777777" w:rsidR="005A4A56" w:rsidRPr="00AF5046" w:rsidRDefault="005A4A56" w:rsidP="007A3515"/>
    <w:sectPr w:rsidR="005A4A56"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1FE4EA" w14:textId="77777777" w:rsidR="00A8644A" w:rsidRDefault="00A8644A" w:rsidP="00E46E7E">
      <w:r>
        <w:separator/>
      </w:r>
    </w:p>
  </w:endnote>
  <w:endnote w:type="continuationSeparator" w:id="0">
    <w:p w14:paraId="1558C95E" w14:textId="77777777" w:rsidR="00A8644A" w:rsidRDefault="00A8644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C4E2C" w14:textId="77777777" w:rsidR="00A8644A" w:rsidRDefault="00A8644A" w:rsidP="00E46E7E">
      <w:r>
        <w:separator/>
      </w:r>
    </w:p>
  </w:footnote>
  <w:footnote w:type="continuationSeparator" w:id="0">
    <w:p w14:paraId="3A3AB635" w14:textId="77777777" w:rsidR="00A8644A" w:rsidRDefault="00A8644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F317EDD"/>
    <w:multiLevelType w:val="hybridMultilevel"/>
    <w:tmpl w:val="B9F8F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F13C24"/>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9C492E"/>
    <w:multiLevelType w:val="hybridMultilevel"/>
    <w:tmpl w:val="8BA0F0A0"/>
    <w:lvl w:ilvl="0" w:tplc="4B7422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22FE266E"/>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B551FF"/>
    <w:multiLevelType w:val="hybridMultilevel"/>
    <w:tmpl w:val="EB58393E"/>
    <w:lvl w:ilvl="0" w:tplc="F172374C">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5CA7D7F"/>
    <w:multiLevelType w:val="hybridMultilevel"/>
    <w:tmpl w:val="F7FACA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F8D6536"/>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915A44"/>
    <w:multiLevelType w:val="hybridMultilevel"/>
    <w:tmpl w:val="8D2C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014607"/>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6D31ED6"/>
    <w:multiLevelType w:val="hybridMultilevel"/>
    <w:tmpl w:val="63368E8A"/>
    <w:lvl w:ilvl="0" w:tplc="F7BC68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FAD46BF"/>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22B537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641E183B"/>
    <w:multiLevelType w:val="hybridMultilevel"/>
    <w:tmpl w:val="791C8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FD7873"/>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476492"/>
    <w:multiLevelType w:val="hybridMultilevel"/>
    <w:tmpl w:val="30BC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135C0B"/>
    <w:multiLevelType w:val="hybridMultilevel"/>
    <w:tmpl w:val="68061D40"/>
    <w:lvl w:ilvl="0" w:tplc="86BA207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CC470AC"/>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E429B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390FD4"/>
    <w:multiLevelType w:val="hybridMultilevel"/>
    <w:tmpl w:val="86C486FC"/>
    <w:lvl w:ilvl="0" w:tplc="105603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23"/>
  </w:num>
  <w:num w:numId="3">
    <w:abstractNumId w:val="19"/>
  </w:num>
  <w:num w:numId="4">
    <w:abstractNumId w:val="30"/>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33"/>
  </w:num>
  <w:num w:numId="17">
    <w:abstractNumId w:val="24"/>
  </w:num>
  <w:num w:numId="18">
    <w:abstractNumId w:val="17"/>
  </w:num>
  <w:num w:numId="19">
    <w:abstractNumId w:val="15"/>
  </w:num>
  <w:num w:numId="20">
    <w:abstractNumId w:val="11"/>
  </w:num>
  <w:num w:numId="21">
    <w:abstractNumId w:val="21"/>
  </w:num>
  <w:num w:numId="22">
    <w:abstractNumId w:val="14"/>
  </w:num>
  <w:num w:numId="23">
    <w:abstractNumId w:val="22"/>
  </w:num>
  <w:num w:numId="24">
    <w:abstractNumId w:val="35"/>
  </w:num>
  <w:num w:numId="25">
    <w:abstractNumId w:val="32"/>
  </w:num>
  <w:num w:numId="26">
    <w:abstractNumId w:val="28"/>
  </w:num>
  <w:num w:numId="27">
    <w:abstractNumId w:val="31"/>
  </w:num>
  <w:num w:numId="28">
    <w:abstractNumId w:val="25"/>
  </w:num>
  <w:num w:numId="29">
    <w:abstractNumId w:val="16"/>
  </w:num>
  <w:num w:numId="30">
    <w:abstractNumId w:val="29"/>
  </w:num>
  <w:num w:numId="31">
    <w:abstractNumId w:val="20"/>
  </w:num>
  <w:num w:numId="32">
    <w:abstractNumId w:val="12"/>
  </w:num>
  <w:num w:numId="33">
    <w:abstractNumId w:val="36"/>
  </w:num>
  <w:num w:numId="34">
    <w:abstractNumId w:val="18"/>
  </w:num>
  <w:num w:numId="35">
    <w:abstractNumId w:val="37"/>
  </w:num>
  <w:num w:numId="36">
    <w:abstractNumId w:val="34"/>
  </w:num>
  <w:num w:numId="37">
    <w:abstractNumId w:val="13"/>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D2A"/>
    <w:rsid w:val="000140EC"/>
    <w:rsid w:val="00016A35"/>
    <w:rsid w:val="00054ED2"/>
    <w:rsid w:val="000C16B3"/>
    <w:rsid w:val="001408C0"/>
    <w:rsid w:val="00143FD7"/>
    <w:rsid w:val="001463FB"/>
    <w:rsid w:val="00165DD7"/>
    <w:rsid w:val="001710E3"/>
    <w:rsid w:val="00186DB7"/>
    <w:rsid w:val="001D7626"/>
    <w:rsid w:val="00213742"/>
    <w:rsid w:val="002613DA"/>
    <w:rsid w:val="00266F1E"/>
    <w:rsid w:val="002B58BB"/>
    <w:rsid w:val="002B6353"/>
    <w:rsid w:val="002B68C8"/>
    <w:rsid w:val="002F35F4"/>
    <w:rsid w:val="002F3E28"/>
    <w:rsid w:val="002F40E6"/>
    <w:rsid w:val="00303E5B"/>
    <w:rsid w:val="00313226"/>
    <w:rsid w:val="0031425E"/>
    <w:rsid w:val="00325059"/>
    <w:rsid w:val="0035059A"/>
    <w:rsid w:val="00357719"/>
    <w:rsid w:val="00371E9C"/>
    <w:rsid w:val="00374144"/>
    <w:rsid w:val="0037671C"/>
    <w:rsid w:val="003B3EC7"/>
    <w:rsid w:val="003D01B1"/>
    <w:rsid w:val="003F42AF"/>
    <w:rsid w:val="00412F6D"/>
    <w:rsid w:val="0042635A"/>
    <w:rsid w:val="00466B6F"/>
    <w:rsid w:val="004A7447"/>
    <w:rsid w:val="004B3188"/>
    <w:rsid w:val="004B3DB3"/>
    <w:rsid w:val="004C63B5"/>
    <w:rsid w:val="004D461E"/>
    <w:rsid w:val="005078B1"/>
    <w:rsid w:val="00517479"/>
    <w:rsid w:val="00591312"/>
    <w:rsid w:val="005A0BE5"/>
    <w:rsid w:val="005A4A56"/>
    <w:rsid w:val="005C0E1F"/>
    <w:rsid w:val="005E0D2B"/>
    <w:rsid w:val="005E2C99"/>
    <w:rsid w:val="00637D7A"/>
    <w:rsid w:val="00672258"/>
    <w:rsid w:val="0067575B"/>
    <w:rsid w:val="00692C26"/>
    <w:rsid w:val="006F2D3D"/>
    <w:rsid w:val="00700835"/>
    <w:rsid w:val="00726F87"/>
    <w:rsid w:val="007333B9"/>
    <w:rsid w:val="00751D2A"/>
    <w:rsid w:val="00782C3B"/>
    <w:rsid w:val="00791B7D"/>
    <w:rsid w:val="0079456D"/>
    <w:rsid w:val="007A3515"/>
    <w:rsid w:val="007B476A"/>
    <w:rsid w:val="007D7924"/>
    <w:rsid w:val="007E470C"/>
    <w:rsid w:val="007E5F71"/>
    <w:rsid w:val="00821415"/>
    <w:rsid w:val="0083768F"/>
    <w:rsid w:val="0091595A"/>
    <w:rsid w:val="009165EA"/>
    <w:rsid w:val="00955625"/>
    <w:rsid w:val="009829F2"/>
    <w:rsid w:val="00993F61"/>
    <w:rsid w:val="009B0746"/>
    <w:rsid w:val="009B32E3"/>
    <w:rsid w:val="009C198B"/>
    <w:rsid w:val="009C5310"/>
    <w:rsid w:val="009D207E"/>
    <w:rsid w:val="009E5822"/>
    <w:rsid w:val="009E691A"/>
    <w:rsid w:val="009F0682"/>
    <w:rsid w:val="00A074CB"/>
    <w:rsid w:val="00A369C4"/>
    <w:rsid w:val="00A47986"/>
    <w:rsid w:val="00A8644A"/>
    <w:rsid w:val="00A91A24"/>
    <w:rsid w:val="00AC0E99"/>
    <w:rsid w:val="00AF1E67"/>
    <w:rsid w:val="00AF5046"/>
    <w:rsid w:val="00AF70D4"/>
    <w:rsid w:val="00B07C3A"/>
    <w:rsid w:val="00B169A1"/>
    <w:rsid w:val="00B33E0C"/>
    <w:rsid w:val="00B45FE9"/>
    <w:rsid w:val="00B55D49"/>
    <w:rsid w:val="00B65E97"/>
    <w:rsid w:val="00B75CBE"/>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52AA"/>
    <w:rsid w:val="00E21F05"/>
    <w:rsid w:val="00E46E7E"/>
    <w:rsid w:val="00E95631"/>
    <w:rsid w:val="00EF6589"/>
    <w:rsid w:val="00F1173B"/>
    <w:rsid w:val="00F45F2E"/>
    <w:rsid w:val="00F865A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829AE0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644A"/>
    <w:rPr>
      <w:rFonts w:ascii="Calibri" w:hAnsi="Calibri"/>
      <w:sz w:val="22"/>
    </w:rPr>
  </w:style>
  <w:style w:type="paragraph" w:styleId="Heading1">
    <w:name w:val="heading 1"/>
    <w:aliases w:val="Pocket"/>
    <w:basedOn w:val="Normal"/>
    <w:next w:val="Normal"/>
    <w:link w:val="Heading1Char"/>
    <w:uiPriority w:val="9"/>
    <w:qFormat/>
    <w:rsid w:val="00A864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8644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A8644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A8644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A8644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A8644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8644A"/>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A8644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8644A"/>
    <w:rPr>
      <w:rFonts w:asciiTheme="majorHAnsi" w:eastAsiaTheme="majorEastAsia" w:hAnsiTheme="majorHAnsi" w:cstheme="majorBidi"/>
      <w:b/>
      <w:bCs/>
      <w:iCs/>
      <w:sz w:val="26"/>
    </w:rPr>
  </w:style>
  <w:style w:type="paragraph" w:styleId="NoSpacing">
    <w:name w:val="No Spacing"/>
    <w:uiPriority w:val="1"/>
    <w:rsid w:val="00A8644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A8644A"/>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S"/>
    <w:basedOn w:val="DefaultParagraphFont"/>
    <w:uiPriority w:val="1"/>
    <w:qFormat/>
    <w:rsid w:val="00A8644A"/>
    <w:rPr>
      <w:b w:val="0"/>
      <w:sz w:val="22"/>
      <w:u w:val="single"/>
    </w:rPr>
  </w:style>
  <w:style w:type="paragraph" w:styleId="DocumentMap">
    <w:name w:val="Document Map"/>
    <w:basedOn w:val="Normal"/>
    <w:link w:val="DocumentMapChar"/>
    <w:uiPriority w:val="99"/>
    <w:semiHidden/>
    <w:unhideWhenUsed/>
    <w:rsid w:val="00A8644A"/>
    <w:rPr>
      <w:rFonts w:ascii="Lucida Grande" w:hAnsi="Lucida Grande" w:cs="Lucida Grande"/>
    </w:rPr>
  </w:style>
  <w:style w:type="character" w:customStyle="1" w:styleId="DocumentMapChar">
    <w:name w:val="Document Map Char"/>
    <w:basedOn w:val="DefaultParagraphFont"/>
    <w:link w:val="DocumentMap"/>
    <w:uiPriority w:val="99"/>
    <w:semiHidden/>
    <w:rsid w:val="00A8644A"/>
    <w:rPr>
      <w:rFonts w:ascii="Lucida Grande" w:hAnsi="Lucida Grande" w:cs="Lucida Grande"/>
      <w:sz w:val="22"/>
    </w:rPr>
  </w:style>
  <w:style w:type="paragraph" w:styleId="ListParagraph">
    <w:name w:val="List Paragraph"/>
    <w:basedOn w:val="Normal"/>
    <w:uiPriority w:val="34"/>
    <w:rsid w:val="00A8644A"/>
    <w:pPr>
      <w:ind w:left="720"/>
      <w:contextualSpacing/>
    </w:pPr>
  </w:style>
  <w:style w:type="paragraph" w:styleId="Header">
    <w:name w:val="header"/>
    <w:basedOn w:val="Normal"/>
    <w:link w:val="HeaderChar"/>
    <w:uiPriority w:val="99"/>
    <w:unhideWhenUsed/>
    <w:rsid w:val="00A8644A"/>
    <w:pPr>
      <w:tabs>
        <w:tab w:val="center" w:pos="4320"/>
        <w:tab w:val="right" w:pos="8640"/>
      </w:tabs>
    </w:pPr>
  </w:style>
  <w:style w:type="character" w:customStyle="1" w:styleId="HeaderChar">
    <w:name w:val="Header Char"/>
    <w:basedOn w:val="DefaultParagraphFont"/>
    <w:link w:val="Header"/>
    <w:uiPriority w:val="99"/>
    <w:rsid w:val="00A8644A"/>
    <w:rPr>
      <w:rFonts w:ascii="Calibri" w:hAnsi="Calibri"/>
      <w:sz w:val="22"/>
    </w:rPr>
  </w:style>
  <w:style w:type="paragraph" w:styleId="Footer">
    <w:name w:val="footer"/>
    <w:basedOn w:val="Normal"/>
    <w:link w:val="FooterChar"/>
    <w:uiPriority w:val="99"/>
    <w:unhideWhenUsed/>
    <w:rsid w:val="00A8644A"/>
    <w:pPr>
      <w:tabs>
        <w:tab w:val="center" w:pos="4320"/>
        <w:tab w:val="right" w:pos="8640"/>
      </w:tabs>
    </w:pPr>
  </w:style>
  <w:style w:type="character" w:customStyle="1" w:styleId="FooterChar">
    <w:name w:val="Footer Char"/>
    <w:basedOn w:val="DefaultParagraphFont"/>
    <w:link w:val="Footer"/>
    <w:uiPriority w:val="99"/>
    <w:rsid w:val="00A8644A"/>
    <w:rPr>
      <w:rFonts w:ascii="Calibri" w:hAnsi="Calibri"/>
      <w:sz w:val="22"/>
    </w:rPr>
  </w:style>
  <w:style w:type="character" w:styleId="PageNumber">
    <w:name w:val="page number"/>
    <w:basedOn w:val="DefaultParagraphFont"/>
    <w:uiPriority w:val="99"/>
    <w:semiHidden/>
    <w:unhideWhenUsed/>
    <w:rsid w:val="00A8644A"/>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A8644A"/>
    <w:rPr>
      <w:color w:val="0000FF" w:themeColor="hyperlink"/>
      <w:u w:val="single"/>
    </w:rPr>
  </w:style>
  <w:style w:type="character" w:customStyle="1" w:styleId="TitleChar">
    <w:name w:val="Title Char"/>
    <w:basedOn w:val="DefaultParagraphFont"/>
    <w:link w:val="Title"/>
    <w:uiPriority w:val="6"/>
    <w:qFormat/>
    <w:rsid w:val="00751D2A"/>
    <w:rPr>
      <w:sz w:val="20"/>
      <w:u w:val="single"/>
    </w:rPr>
  </w:style>
  <w:style w:type="character" w:styleId="FollowedHyperlink">
    <w:name w:val="FollowedHyperlink"/>
    <w:basedOn w:val="DefaultParagraphFont"/>
    <w:uiPriority w:val="99"/>
    <w:semiHidden/>
    <w:unhideWhenUsed/>
    <w:rsid w:val="00751D2A"/>
    <w:rPr>
      <w:color w:val="auto"/>
      <w:u w:val="none"/>
    </w:rPr>
  </w:style>
  <w:style w:type="character" w:customStyle="1" w:styleId="Style1Char">
    <w:name w:val="Style1 Char"/>
    <w:basedOn w:val="DefaultParagraphFont"/>
    <w:rsid w:val="00751D2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1D2A"/>
    <w:rPr>
      <w:rFonts w:cs="Arial"/>
      <w:b/>
      <w:bCs/>
      <w:iCs/>
      <w:szCs w:val="28"/>
      <w:lang w:val="en-US" w:eastAsia="en-US" w:bidi="ar-SA"/>
    </w:rPr>
  </w:style>
  <w:style w:type="paragraph" w:customStyle="1" w:styleId="Style1">
    <w:name w:val="Style1"/>
    <w:basedOn w:val="Normal"/>
    <w:link w:val="Style1Char1"/>
    <w:rsid w:val="00751D2A"/>
    <w:rPr>
      <w:rFonts w:eastAsia="SimSun"/>
      <w:u w:val="single"/>
      <w:lang w:eastAsia="zh-CN"/>
    </w:rPr>
  </w:style>
  <w:style w:type="character" w:customStyle="1" w:styleId="Style1Char1">
    <w:name w:val="Style1 Char1"/>
    <w:basedOn w:val="DefaultParagraphFont"/>
    <w:link w:val="Style1"/>
    <w:rsid w:val="00751D2A"/>
    <w:rPr>
      <w:rFonts w:ascii="Calibri" w:eastAsia="SimSun" w:hAnsi="Calibri"/>
      <w:sz w:val="22"/>
      <w:u w:val="single"/>
      <w:lang w:eastAsia="zh-CN"/>
    </w:rPr>
  </w:style>
  <w:style w:type="character" w:customStyle="1" w:styleId="Style11ptUnderline">
    <w:name w:val="Style 11 pt Underline"/>
    <w:basedOn w:val="DefaultParagraphFont"/>
    <w:rsid w:val="00751D2A"/>
    <w:rPr>
      <w:sz w:val="20"/>
      <w:u w:val="single"/>
    </w:rPr>
  </w:style>
  <w:style w:type="character" w:customStyle="1" w:styleId="Style11pt">
    <w:name w:val="Style 11 pt"/>
    <w:basedOn w:val="DefaultParagraphFont"/>
    <w:rsid w:val="00751D2A"/>
    <w:rPr>
      <w:sz w:val="20"/>
    </w:rPr>
  </w:style>
  <w:style w:type="character" w:customStyle="1" w:styleId="StyleStyle4CharTimesNewRoman11pt">
    <w:name w:val="Style Style4 Char + Times New Roman 11 pt"/>
    <w:basedOn w:val="DefaultParagraphFont"/>
    <w:rsid w:val="00751D2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1D2A"/>
    <w:rPr>
      <w:color w:val="000000"/>
      <w:sz w:val="20"/>
      <w:u w:val="single"/>
    </w:rPr>
  </w:style>
  <w:style w:type="character" w:customStyle="1" w:styleId="Style11ptBlack">
    <w:name w:val="Style 11 pt Black"/>
    <w:basedOn w:val="DefaultParagraphFont"/>
    <w:rsid w:val="00751D2A"/>
    <w:rPr>
      <w:color w:val="000000"/>
      <w:sz w:val="20"/>
    </w:rPr>
  </w:style>
  <w:style w:type="character" w:customStyle="1" w:styleId="ital-inline">
    <w:name w:val="ital-inline"/>
    <w:basedOn w:val="DefaultParagraphFont"/>
    <w:rsid w:val="00751D2A"/>
  </w:style>
  <w:style w:type="character" w:customStyle="1" w:styleId="pg">
    <w:name w:val="pg"/>
    <w:basedOn w:val="DefaultParagraphFont"/>
    <w:rsid w:val="00751D2A"/>
  </w:style>
  <w:style w:type="character" w:customStyle="1" w:styleId="underline">
    <w:name w:val="underline"/>
    <w:basedOn w:val="DefaultParagraphFont"/>
    <w:qFormat/>
    <w:rsid w:val="00751D2A"/>
    <w:rPr>
      <w:rFonts w:ascii="Times New Roman" w:hAnsi="Times New Roman"/>
      <w:u w:val="single"/>
    </w:rPr>
  </w:style>
  <w:style w:type="character" w:customStyle="1" w:styleId="senselabelstart">
    <w:name w:val="sense_label start"/>
    <w:basedOn w:val="DefaultParagraphFont"/>
    <w:rsid w:val="00751D2A"/>
  </w:style>
  <w:style w:type="character" w:customStyle="1" w:styleId="sensecontent">
    <w:name w:val="sense_content"/>
    <w:basedOn w:val="DefaultParagraphFont"/>
    <w:rsid w:val="00751D2A"/>
  </w:style>
  <w:style w:type="character" w:customStyle="1" w:styleId="vi">
    <w:name w:val="vi"/>
    <w:basedOn w:val="DefaultParagraphFont"/>
    <w:rsid w:val="00751D2A"/>
  </w:style>
  <w:style w:type="character" w:customStyle="1" w:styleId="Style11ptUnderlineBorderSinglesolidlineAuto05pt">
    <w:name w:val="Style 11 pt Underline Border: : (Single solid line Auto  0.5 pt..."/>
    <w:basedOn w:val="DefaultParagraphFont"/>
    <w:rsid w:val="00751D2A"/>
    <w:rPr>
      <w:sz w:val="20"/>
      <w:u w:val="single"/>
      <w:bdr w:val="single" w:sz="4" w:space="0" w:color="auto"/>
    </w:rPr>
  </w:style>
  <w:style w:type="character" w:customStyle="1" w:styleId="senselabel">
    <w:name w:val="sense_label"/>
    <w:basedOn w:val="DefaultParagraphFont"/>
    <w:rsid w:val="00751D2A"/>
  </w:style>
  <w:style w:type="character" w:customStyle="1" w:styleId="StyleUnderlineChar11pt">
    <w:name w:val="Style Underline Char + 11 pt"/>
    <w:basedOn w:val="DefaultParagraphFont"/>
    <w:rsid w:val="00751D2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1D2A"/>
    <w:rPr>
      <w:b/>
      <w:u w:val="single"/>
      <w:bdr w:val="single" w:sz="4" w:space="0" w:color="auto"/>
    </w:rPr>
  </w:style>
  <w:style w:type="paragraph" w:styleId="Title">
    <w:name w:val="Title"/>
    <w:basedOn w:val="Normal"/>
    <w:next w:val="Normal"/>
    <w:link w:val="TitleChar"/>
    <w:uiPriority w:val="6"/>
    <w:qFormat/>
    <w:rsid w:val="00751D2A"/>
    <w:pPr>
      <w:outlineLvl w:val="0"/>
    </w:pPr>
    <w:rPr>
      <w:rFonts w:asciiTheme="minorHAnsi" w:hAnsiTheme="minorHAnsi"/>
      <w:sz w:val="20"/>
      <w:u w:val="single"/>
    </w:rPr>
  </w:style>
  <w:style w:type="character" w:customStyle="1" w:styleId="TitleChar1">
    <w:name w:val="Title Char1"/>
    <w:basedOn w:val="DefaultParagraphFont"/>
    <w:uiPriority w:val="99"/>
    <w:rsid w:val="00751D2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751D2A"/>
  </w:style>
  <w:style w:type="character" w:customStyle="1" w:styleId="Style12ptBold">
    <w:name w:val="Style 12 pt Bold"/>
    <w:basedOn w:val="DefaultParagraphFont"/>
    <w:rsid w:val="00751D2A"/>
    <w:rPr>
      <w:b/>
      <w:bCs/>
      <w:sz w:val="20"/>
    </w:rPr>
  </w:style>
  <w:style w:type="character" w:customStyle="1" w:styleId="apple-style-span">
    <w:name w:val="apple-style-span"/>
    <w:rsid w:val="00751D2A"/>
  </w:style>
  <w:style w:type="character" w:customStyle="1" w:styleId="apple-converted-space">
    <w:name w:val="apple-converted-space"/>
    <w:rsid w:val="00751D2A"/>
  </w:style>
  <w:style w:type="character" w:customStyle="1" w:styleId="italic">
    <w:name w:val="italic"/>
    <w:rsid w:val="00751D2A"/>
  </w:style>
  <w:style w:type="character" w:customStyle="1" w:styleId="hit">
    <w:name w:val="hit"/>
    <w:rsid w:val="00751D2A"/>
  </w:style>
  <w:style w:type="character" w:customStyle="1" w:styleId="Style4Char">
    <w:name w:val="Style4 Char"/>
    <w:basedOn w:val="DefaultParagraphFont"/>
    <w:rsid w:val="00751D2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1D2A"/>
    <w:rPr>
      <w:b/>
      <w:bCs/>
      <w:sz w:val="20"/>
      <w:u w:val="single"/>
    </w:rPr>
  </w:style>
  <w:style w:type="character" w:customStyle="1" w:styleId="Style11ptItalicUnderline">
    <w:name w:val="Style 11 pt Italic Underline"/>
    <w:basedOn w:val="DefaultParagraphFont"/>
    <w:rsid w:val="00751D2A"/>
    <w:rPr>
      <w:i/>
      <w:iCs/>
      <w:sz w:val="20"/>
      <w:u w:val="single"/>
    </w:rPr>
  </w:style>
  <w:style w:type="paragraph" w:customStyle="1" w:styleId="card">
    <w:name w:val="card"/>
    <w:basedOn w:val="Normal"/>
    <w:next w:val="Normal"/>
    <w:link w:val="cardChar"/>
    <w:qFormat/>
    <w:rsid w:val="00751D2A"/>
    <w:pPr>
      <w:ind w:left="288" w:right="288"/>
    </w:pPr>
    <w:rPr>
      <w:rFonts w:eastAsia="Times New Roman"/>
    </w:rPr>
  </w:style>
  <w:style w:type="character" w:customStyle="1" w:styleId="cardChar">
    <w:name w:val="card Char"/>
    <w:link w:val="card"/>
    <w:rsid w:val="00751D2A"/>
    <w:rPr>
      <w:rFonts w:ascii="Calibri" w:eastAsia="Times New Roman" w:hAnsi="Calibri"/>
      <w:sz w:val="22"/>
    </w:rPr>
  </w:style>
  <w:style w:type="character" w:customStyle="1" w:styleId="StyleStyle4CharTimesNewRoman11ptBold">
    <w:name w:val="Style Style4 Char + Times New Roman 11 pt Bold"/>
    <w:basedOn w:val="DefaultParagraphFont"/>
    <w:rsid w:val="00751D2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751D2A"/>
    <w:pPr>
      <w:ind w:left="720"/>
      <w:jc w:val="both"/>
    </w:pPr>
    <w:rPr>
      <w:b/>
      <w:iCs/>
      <w:u w:val="single"/>
    </w:rPr>
  </w:style>
  <w:style w:type="character" w:customStyle="1" w:styleId="pron">
    <w:name w:val="pron"/>
    <w:basedOn w:val="DefaultParagraphFont"/>
    <w:rsid w:val="00751D2A"/>
  </w:style>
  <w:style w:type="character" w:customStyle="1" w:styleId="showipapr">
    <w:name w:val="show_ipapr"/>
    <w:basedOn w:val="DefaultParagraphFont"/>
    <w:rsid w:val="00751D2A"/>
  </w:style>
  <w:style w:type="character" w:customStyle="1" w:styleId="prondelim">
    <w:name w:val="prondelim"/>
    <w:basedOn w:val="DefaultParagraphFont"/>
    <w:rsid w:val="00751D2A"/>
  </w:style>
  <w:style w:type="character" w:customStyle="1" w:styleId="prontoggle">
    <w:name w:val="pron_toggle"/>
    <w:basedOn w:val="DefaultParagraphFont"/>
    <w:rsid w:val="00751D2A"/>
  </w:style>
  <w:style w:type="character" w:customStyle="1" w:styleId="showspellpr">
    <w:name w:val="show_spellpr"/>
    <w:basedOn w:val="DefaultParagraphFont"/>
    <w:rsid w:val="00751D2A"/>
  </w:style>
  <w:style w:type="character" w:customStyle="1" w:styleId="dnindex">
    <w:name w:val="dnindex"/>
    <w:basedOn w:val="DefaultParagraphFont"/>
    <w:rsid w:val="00751D2A"/>
  </w:style>
  <w:style w:type="character" w:customStyle="1" w:styleId="labset">
    <w:name w:val="labset"/>
    <w:basedOn w:val="DefaultParagraphFont"/>
    <w:rsid w:val="00751D2A"/>
  </w:style>
  <w:style w:type="character" w:customStyle="1" w:styleId="pmterms2">
    <w:name w:val="pmterms2"/>
    <w:basedOn w:val="DefaultParagraphFont"/>
    <w:rsid w:val="00751D2A"/>
  </w:style>
  <w:style w:type="paragraph" w:customStyle="1" w:styleId="Emphasis1">
    <w:name w:val="Emphasis1"/>
    <w:basedOn w:val="Normal"/>
    <w:autoRedefine/>
    <w:uiPriority w:val="20"/>
    <w:qFormat/>
    <w:rsid w:val="00751D2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751D2A"/>
    <w:rPr>
      <w:b/>
      <w:bCs/>
    </w:rPr>
  </w:style>
  <w:style w:type="character" w:customStyle="1" w:styleId="UnresolvedMention">
    <w:name w:val="Unresolved Mention"/>
    <w:basedOn w:val="DefaultParagraphFont"/>
    <w:uiPriority w:val="99"/>
    <w:semiHidden/>
    <w:unhideWhenUsed/>
    <w:rsid w:val="007B476A"/>
    <w:rPr>
      <w:color w:val="808080"/>
      <w:shd w:val="clear" w:color="auto" w:fill="E6E6E6"/>
    </w:rPr>
  </w:style>
  <w:style w:type="character" w:styleId="PlaceholderText">
    <w:name w:val="Placeholder Text"/>
    <w:basedOn w:val="DefaultParagraphFont"/>
    <w:uiPriority w:val="99"/>
    <w:unhideWhenUsed/>
    <w:rsid w:val="007B476A"/>
    <w:rPr>
      <w:color w:val="808080"/>
    </w:rPr>
  </w:style>
  <w:style w:type="paragraph" w:customStyle="1" w:styleId="Style4">
    <w:name w:val="Style4"/>
    <w:basedOn w:val="Normal"/>
    <w:qFormat/>
    <w:rsid w:val="007B476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B476A"/>
  </w:style>
  <w:style w:type="character" w:customStyle="1" w:styleId="StyleStyle49ptChar">
    <w:name w:val="Style Style4 + 9 pt Char"/>
    <w:basedOn w:val="DefaultParagraphFont"/>
    <w:link w:val="StyleStyle49pt"/>
    <w:rsid w:val="007B476A"/>
    <w:rPr>
      <w:rFonts w:ascii="Times New Roman" w:eastAsia="Times New Roman" w:hAnsi="Times New Roman" w:cs="Times New Roman"/>
      <w:sz w:val="20"/>
      <w:u w:val="single"/>
    </w:rPr>
  </w:style>
  <w:style w:type="character" w:customStyle="1" w:styleId="StyleTimesNewRoman9pt">
    <w:name w:val="Style Times New Roman 9 pt"/>
    <w:rsid w:val="007B476A"/>
    <w:rPr>
      <w:sz w:val="20"/>
    </w:rPr>
  </w:style>
  <w:style w:type="character" w:customStyle="1" w:styleId="Style9ptItalicUnderline">
    <w:name w:val="Style 9 pt Italic Underline"/>
    <w:rsid w:val="007B476A"/>
    <w:rPr>
      <w:i/>
      <w:iCs/>
      <w:sz w:val="20"/>
      <w:u w:val="single"/>
    </w:rPr>
  </w:style>
  <w:style w:type="character" w:customStyle="1" w:styleId="Style7ptBold">
    <w:name w:val="Style 7 pt Bold"/>
    <w:basedOn w:val="DefaultParagraphFont"/>
    <w:rsid w:val="007B476A"/>
    <w:rPr>
      <w:b w:val="0"/>
      <w:bCs/>
      <w:sz w:val="14"/>
    </w:rPr>
  </w:style>
  <w:style w:type="character" w:customStyle="1" w:styleId="UnderlineBold">
    <w:name w:val="Underline + Bold"/>
    <w:uiPriority w:val="1"/>
    <w:qFormat/>
    <w:rsid w:val="007B476A"/>
    <w:rPr>
      <w:b w:val="0"/>
      <w:sz w:val="20"/>
      <w:u w:val="single"/>
    </w:rPr>
  </w:style>
  <w:style w:type="character" w:customStyle="1" w:styleId="verdana">
    <w:name w:val="verdana"/>
    <w:rsid w:val="007B476A"/>
  </w:style>
  <w:style w:type="character" w:customStyle="1" w:styleId="agocite">
    <w:name w:val="agocite"/>
    <w:basedOn w:val="DefaultParagraphFont"/>
    <w:rsid w:val="007B476A"/>
  </w:style>
  <w:style w:type="paragraph" w:customStyle="1" w:styleId="CitationCharChar">
    <w:name w:val="Citation Char Char"/>
    <w:basedOn w:val="Normal"/>
    <w:uiPriority w:val="6"/>
    <w:rsid w:val="007B476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5078B1"/>
    <w:pPr>
      <w:ind w:left="288"/>
    </w:pPr>
    <w:rPr>
      <w:rFonts w:eastAsiaTheme="minorHAnsi"/>
      <w:szCs w:val="22"/>
    </w:rPr>
  </w:style>
  <w:style w:type="character" w:customStyle="1" w:styleId="CardIndentedChar">
    <w:name w:val="Card (Indented) Char"/>
    <w:basedOn w:val="DefaultParagraphFont"/>
    <w:link w:val="CardIndented"/>
    <w:rsid w:val="005078B1"/>
    <w:rPr>
      <w:rFonts w:ascii="Calibri" w:eastAsiaTheme="minorHAnsi" w:hAnsi="Calibri"/>
      <w:sz w:val="22"/>
      <w:szCs w:val="22"/>
    </w:rPr>
  </w:style>
  <w:style w:type="character" w:customStyle="1" w:styleId="Style9ptUnderline">
    <w:name w:val="Style 9 pt Underline"/>
    <w:rsid w:val="00637D7A"/>
    <w:rPr>
      <w:sz w:val="20"/>
      <w:u w:val="single"/>
    </w:rPr>
  </w:style>
  <w:style w:type="paragraph" w:customStyle="1" w:styleId="StyleStyle49ptBold">
    <w:name w:val="Style Style4 + 9 pt Bold"/>
    <w:basedOn w:val="Style4"/>
    <w:link w:val="StyleStyle49ptBoldChar"/>
    <w:rsid w:val="00637D7A"/>
    <w:pPr>
      <w:numPr>
        <w:numId w:val="16"/>
      </w:numPr>
      <w:tabs>
        <w:tab w:val="num" w:pos="720"/>
      </w:tabs>
      <w:spacing w:after="160" w:line="259" w:lineRule="auto"/>
      <w:ind w:left="0" w:firstLine="0"/>
    </w:pPr>
    <w:rPr>
      <w:rFonts w:ascii="Calibri" w:eastAsia="Calibri" w:hAnsi="Calibri" w:cstheme="minorBidi"/>
      <w:b/>
      <w:bCs/>
      <w:sz w:val="22"/>
    </w:rPr>
  </w:style>
  <w:style w:type="character" w:customStyle="1" w:styleId="StyleStyle49ptBoldChar">
    <w:name w:val="Style Style4 + 9 pt Bold Char"/>
    <w:link w:val="StyleStyle49ptBold"/>
    <w:rsid w:val="00637D7A"/>
    <w:rPr>
      <w:rFonts w:ascii="Calibri" w:eastAsia="Calibri" w:hAnsi="Calibri"/>
      <w:b/>
      <w:bCs/>
      <w:sz w:val="22"/>
      <w:u w:val="single"/>
    </w:rPr>
  </w:style>
  <w:style w:type="character" w:customStyle="1" w:styleId="Style9ptBoldUnderline">
    <w:name w:val="Style 9 pt Bold Underline"/>
    <w:rsid w:val="00637D7A"/>
    <w:rPr>
      <w:b/>
      <w:bCs/>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644A"/>
    <w:rPr>
      <w:rFonts w:ascii="Calibri" w:hAnsi="Calibri"/>
      <w:sz w:val="22"/>
    </w:rPr>
  </w:style>
  <w:style w:type="paragraph" w:styleId="Heading1">
    <w:name w:val="heading 1"/>
    <w:aliases w:val="Pocket"/>
    <w:basedOn w:val="Normal"/>
    <w:next w:val="Normal"/>
    <w:link w:val="Heading1Char"/>
    <w:uiPriority w:val="9"/>
    <w:qFormat/>
    <w:rsid w:val="00A864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8644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A8644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A8644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A8644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A8644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8644A"/>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A8644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8644A"/>
    <w:rPr>
      <w:rFonts w:asciiTheme="majorHAnsi" w:eastAsiaTheme="majorEastAsia" w:hAnsiTheme="majorHAnsi" w:cstheme="majorBidi"/>
      <w:b/>
      <w:bCs/>
      <w:iCs/>
      <w:sz w:val="26"/>
    </w:rPr>
  </w:style>
  <w:style w:type="paragraph" w:styleId="NoSpacing">
    <w:name w:val="No Spacing"/>
    <w:uiPriority w:val="1"/>
    <w:rsid w:val="00A8644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A8644A"/>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S"/>
    <w:basedOn w:val="DefaultParagraphFont"/>
    <w:uiPriority w:val="1"/>
    <w:qFormat/>
    <w:rsid w:val="00A8644A"/>
    <w:rPr>
      <w:b w:val="0"/>
      <w:sz w:val="22"/>
      <w:u w:val="single"/>
    </w:rPr>
  </w:style>
  <w:style w:type="paragraph" w:styleId="DocumentMap">
    <w:name w:val="Document Map"/>
    <w:basedOn w:val="Normal"/>
    <w:link w:val="DocumentMapChar"/>
    <w:uiPriority w:val="99"/>
    <w:semiHidden/>
    <w:unhideWhenUsed/>
    <w:rsid w:val="00A8644A"/>
    <w:rPr>
      <w:rFonts w:ascii="Lucida Grande" w:hAnsi="Lucida Grande" w:cs="Lucida Grande"/>
    </w:rPr>
  </w:style>
  <w:style w:type="character" w:customStyle="1" w:styleId="DocumentMapChar">
    <w:name w:val="Document Map Char"/>
    <w:basedOn w:val="DefaultParagraphFont"/>
    <w:link w:val="DocumentMap"/>
    <w:uiPriority w:val="99"/>
    <w:semiHidden/>
    <w:rsid w:val="00A8644A"/>
    <w:rPr>
      <w:rFonts w:ascii="Lucida Grande" w:hAnsi="Lucida Grande" w:cs="Lucida Grande"/>
      <w:sz w:val="22"/>
    </w:rPr>
  </w:style>
  <w:style w:type="paragraph" w:styleId="ListParagraph">
    <w:name w:val="List Paragraph"/>
    <w:basedOn w:val="Normal"/>
    <w:uiPriority w:val="34"/>
    <w:rsid w:val="00A8644A"/>
    <w:pPr>
      <w:ind w:left="720"/>
      <w:contextualSpacing/>
    </w:pPr>
  </w:style>
  <w:style w:type="paragraph" w:styleId="Header">
    <w:name w:val="header"/>
    <w:basedOn w:val="Normal"/>
    <w:link w:val="HeaderChar"/>
    <w:uiPriority w:val="99"/>
    <w:unhideWhenUsed/>
    <w:rsid w:val="00A8644A"/>
    <w:pPr>
      <w:tabs>
        <w:tab w:val="center" w:pos="4320"/>
        <w:tab w:val="right" w:pos="8640"/>
      </w:tabs>
    </w:pPr>
  </w:style>
  <w:style w:type="character" w:customStyle="1" w:styleId="HeaderChar">
    <w:name w:val="Header Char"/>
    <w:basedOn w:val="DefaultParagraphFont"/>
    <w:link w:val="Header"/>
    <w:uiPriority w:val="99"/>
    <w:rsid w:val="00A8644A"/>
    <w:rPr>
      <w:rFonts w:ascii="Calibri" w:hAnsi="Calibri"/>
      <w:sz w:val="22"/>
    </w:rPr>
  </w:style>
  <w:style w:type="paragraph" w:styleId="Footer">
    <w:name w:val="footer"/>
    <w:basedOn w:val="Normal"/>
    <w:link w:val="FooterChar"/>
    <w:uiPriority w:val="99"/>
    <w:unhideWhenUsed/>
    <w:rsid w:val="00A8644A"/>
    <w:pPr>
      <w:tabs>
        <w:tab w:val="center" w:pos="4320"/>
        <w:tab w:val="right" w:pos="8640"/>
      </w:tabs>
    </w:pPr>
  </w:style>
  <w:style w:type="character" w:customStyle="1" w:styleId="FooterChar">
    <w:name w:val="Footer Char"/>
    <w:basedOn w:val="DefaultParagraphFont"/>
    <w:link w:val="Footer"/>
    <w:uiPriority w:val="99"/>
    <w:rsid w:val="00A8644A"/>
    <w:rPr>
      <w:rFonts w:ascii="Calibri" w:hAnsi="Calibri"/>
      <w:sz w:val="22"/>
    </w:rPr>
  </w:style>
  <w:style w:type="character" w:styleId="PageNumber">
    <w:name w:val="page number"/>
    <w:basedOn w:val="DefaultParagraphFont"/>
    <w:uiPriority w:val="99"/>
    <w:semiHidden/>
    <w:unhideWhenUsed/>
    <w:rsid w:val="00A8644A"/>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A8644A"/>
    <w:rPr>
      <w:color w:val="0000FF" w:themeColor="hyperlink"/>
      <w:u w:val="single"/>
    </w:rPr>
  </w:style>
  <w:style w:type="character" w:customStyle="1" w:styleId="TitleChar">
    <w:name w:val="Title Char"/>
    <w:basedOn w:val="DefaultParagraphFont"/>
    <w:link w:val="Title"/>
    <w:uiPriority w:val="6"/>
    <w:qFormat/>
    <w:rsid w:val="00751D2A"/>
    <w:rPr>
      <w:sz w:val="20"/>
      <w:u w:val="single"/>
    </w:rPr>
  </w:style>
  <w:style w:type="character" w:styleId="FollowedHyperlink">
    <w:name w:val="FollowedHyperlink"/>
    <w:basedOn w:val="DefaultParagraphFont"/>
    <w:uiPriority w:val="99"/>
    <w:semiHidden/>
    <w:unhideWhenUsed/>
    <w:rsid w:val="00751D2A"/>
    <w:rPr>
      <w:color w:val="auto"/>
      <w:u w:val="none"/>
    </w:rPr>
  </w:style>
  <w:style w:type="character" w:customStyle="1" w:styleId="Style1Char">
    <w:name w:val="Style1 Char"/>
    <w:basedOn w:val="DefaultParagraphFont"/>
    <w:rsid w:val="00751D2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1D2A"/>
    <w:rPr>
      <w:rFonts w:cs="Arial"/>
      <w:b/>
      <w:bCs/>
      <w:iCs/>
      <w:szCs w:val="28"/>
      <w:lang w:val="en-US" w:eastAsia="en-US" w:bidi="ar-SA"/>
    </w:rPr>
  </w:style>
  <w:style w:type="paragraph" w:customStyle="1" w:styleId="Style1">
    <w:name w:val="Style1"/>
    <w:basedOn w:val="Normal"/>
    <w:link w:val="Style1Char1"/>
    <w:rsid w:val="00751D2A"/>
    <w:rPr>
      <w:rFonts w:eastAsia="SimSun"/>
      <w:u w:val="single"/>
      <w:lang w:eastAsia="zh-CN"/>
    </w:rPr>
  </w:style>
  <w:style w:type="character" w:customStyle="1" w:styleId="Style1Char1">
    <w:name w:val="Style1 Char1"/>
    <w:basedOn w:val="DefaultParagraphFont"/>
    <w:link w:val="Style1"/>
    <w:rsid w:val="00751D2A"/>
    <w:rPr>
      <w:rFonts w:ascii="Calibri" w:eastAsia="SimSun" w:hAnsi="Calibri"/>
      <w:sz w:val="22"/>
      <w:u w:val="single"/>
      <w:lang w:eastAsia="zh-CN"/>
    </w:rPr>
  </w:style>
  <w:style w:type="character" w:customStyle="1" w:styleId="Style11ptUnderline">
    <w:name w:val="Style 11 pt Underline"/>
    <w:basedOn w:val="DefaultParagraphFont"/>
    <w:rsid w:val="00751D2A"/>
    <w:rPr>
      <w:sz w:val="20"/>
      <w:u w:val="single"/>
    </w:rPr>
  </w:style>
  <w:style w:type="character" w:customStyle="1" w:styleId="Style11pt">
    <w:name w:val="Style 11 pt"/>
    <w:basedOn w:val="DefaultParagraphFont"/>
    <w:rsid w:val="00751D2A"/>
    <w:rPr>
      <w:sz w:val="20"/>
    </w:rPr>
  </w:style>
  <w:style w:type="character" w:customStyle="1" w:styleId="StyleStyle4CharTimesNewRoman11pt">
    <w:name w:val="Style Style4 Char + Times New Roman 11 pt"/>
    <w:basedOn w:val="DefaultParagraphFont"/>
    <w:rsid w:val="00751D2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1D2A"/>
    <w:rPr>
      <w:color w:val="000000"/>
      <w:sz w:val="20"/>
      <w:u w:val="single"/>
    </w:rPr>
  </w:style>
  <w:style w:type="character" w:customStyle="1" w:styleId="Style11ptBlack">
    <w:name w:val="Style 11 pt Black"/>
    <w:basedOn w:val="DefaultParagraphFont"/>
    <w:rsid w:val="00751D2A"/>
    <w:rPr>
      <w:color w:val="000000"/>
      <w:sz w:val="20"/>
    </w:rPr>
  </w:style>
  <w:style w:type="character" w:customStyle="1" w:styleId="ital-inline">
    <w:name w:val="ital-inline"/>
    <w:basedOn w:val="DefaultParagraphFont"/>
    <w:rsid w:val="00751D2A"/>
  </w:style>
  <w:style w:type="character" w:customStyle="1" w:styleId="pg">
    <w:name w:val="pg"/>
    <w:basedOn w:val="DefaultParagraphFont"/>
    <w:rsid w:val="00751D2A"/>
  </w:style>
  <w:style w:type="character" w:customStyle="1" w:styleId="underline">
    <w:name w:val="underline"/>
    <w:basedOn w:val="DefaultParagraphFont"/>
    <w:qFormat/>
    <w:rsid w:val="00751D2A"/>
    <w:rPr>
      <w:rFonts w:ascii="Times New Roman" w:hAnsi="Times New Roman"/>
      <w:u w:val="single"/>
    </w:rPr>
  </w:style>
  <w:style w:type="character" w:customStyle="1" w:styleId="senselabelstart">
    <w:name w:val="sense_label start"/>
    <w:basedOn w:val="DefaultParagraphFont"/>
    <w:rsid w:val="00751D2A"/>
  </w:style>
  <w:style w:type="character" w:customStyle="1" w:styleId="sensecontent">
    <w:name w:val="sense_content"/>
    <w:basedOn w:val="DefaultParagraphFont"/>
    <w:rsid w:val="00751D2A"/>
  </w:style>
  <w:style w:type="character" w:customStyle="1" w:styleId="vi">
    <w:name w:val="vi"/>
    <w:basedOn w:val="DefaultParagraphFont"/>
    <w:rsid w:val="00751D2A"/>
  </w:style>
  <w:style w:type="character" w:customStyle="1" w:styleId="Style11ptUnderlineBorderSinglesolidlineAuto05pt">
    <w:name w:val="Style 11 pt Underline Border: : (Single solid line Auto  0.5 pt..."/>
    <w:basedOn w:val="DefaultParagraphFont"/>
    <w:rsid w:val="00751D2A"/>
    <w:rPr>
      <w:sz w:val="20"/>
      <w:u w:val="single"/>
      <w:bdr w:val="single" w:sz="4" w:space="0" w:color="auto"/>
    </w:rPr>
  </w:style>
  <w:style w:type="character" w:customStyle="1" w:styleId="senselabel">
    <w:name w:val="sense_label"/>
    <w:basedOn w:val="DefaultParagraphFont"/>
    <w:rsid w:val="00751D2A"/>
  </w:style>
  <w:style w:type="character" w:customStyle="1" w:styleId="StyleUnderlineChar11pt">
    <w:name w:val="Style Underline Char + 11 pt"/>
    <w:basedOn w:val="DefaultParagraphFont"/>
    <w:rsid w:val="00751D2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1D2A"/>
    <w:rPr>
      <w:b/>
      <w:u w:val="single"/>
      <w:bdr w:val="single" w:sz="4" w:space="0" w:color="auto"/>
    </w:rPr>
  </w:style>
  <w:style w:type="paragraph" w:styleId="Title">
    <w:name w:val="Title"/>
    <w:basedOn w:val="Normal"/>
    <w:next w:val="Normal"/>
    <w:link w:val="TitleChar"/>
    <w:uiPriority w:val="6"/>
    <w:qFormat/>
    <w:rsid w:val="00751D2A"/>
    <w:pPr>
      <w:outlineLvl w:val="0"/>
    </w:pPr>
    <w:rPr>
      <w:rFonts w:asciiTheme="minorHAnsi" w:hAnsiTheme="minorHAnsi"/>
      <w:sz w:val="20"/>
      <w:u w:val="single"/>
    </w:rPr>
  </w:style>
  <w:style w:type="character" w:customStyle="1" w:styleId="TitleChar1">
    <w:name w:val="Title Char1"/>
    <w:basedOn w:val="DefaultParagraphFont"/>
    <w:uiPriority w:val="99"/>
    <w:rsid w:val="00751D2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751D2A"/>
  </w:style>
  <w:style w:type="character" w:customStyle="1" w:styleId="Style12ptBold">
    <w:name w:val="Style 12 pt Bold"/>
    <w:basedOn w:val="DefaultParagraphFont"/>
    <w:rsid w:val="00751D2A"/>
    <w:rPr>
      <w:b/>
      <w:bCs/>
      <w:sz w:val="20"/>
    </w:rPr>
  </w:style>
  <w:style w:type="character" w:customStyle="1" w:styleId="apple-style-span">
    <w:name w:val="apple-style-span"/>
    <w:rsid w:val="00751D2A"/>
  </w:style>
  <w:style w:type="character" w:customStyle="1" w:styleId="apple-converted-space">
    <w:name w:val="apple-converted-space"/>
    <w:rsid w:val="00751D2A"/>
  </w:style>
  <w:style w:type="character" w:customStyle="1" w:styleId="italic">
    <w:name w:val="italic"/>
    <w:rsid w:val="00751D2A"/>
  </w:style>
  <w:style w:type="character" w:customStyle="1" w:styleId="hit">
    <w:name w:val="hit"/>
    <w:rsid w:val="00751D2A"/>
  </w:style>
  <w:style w:type="character" w:customStyle="1" w:styleId="Style4Char">
    <w:name w:val="Style4 Char"/>
    <w:basedOn w:val="DefaultParagraphFont"/>
    <w:rsid w:val="00751D2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1D2A"/>
    <w:rPr>
      <w:b/>
      <w:bCs/>
      <w:sz w:val="20"/>
      <w:u w:val="single"/>
    </w:rPr>
  </w:style>
  <w:style w:type="character" w:customStyle="1" w:styleId="Style11ptItalicUnderline">
    <w:name w:val="Style 11 pt Italic Underline"/>
    <w:basedOn w:val="DefaultParagraphFont"/>
    <w:rsid w:val="00751D2A"/>
    <w:rPr>
      <w:i/>
      <w:iCs/>
      <w:sz w:val="20"/>
      <w:u w:val="single"/>
    </w:rPr>
  </w:style>
  <w:style w:type="paragraph" w:customStyle="1" w:styleId="card">
    <w:name w:val="card"/>
    <w:basedOn w:val="Normal"/>
    <w:next w:val="Normal"/>
    <w:link w:val="cardChar"/>
    <w:qFormat/>
    <w:rsid w:val="00751D2A"/>
    <w:pPr>
      <w:ind w:left="288" w:right="288"/>
    </w:pPr>
    <w:rPr>
      <w:rFonts w:eastAsia="Times New Roman"/>
    </w:rPr>
  </w:style>
  <w:style w:type="character" w:customStyle="1" w:styleId="cardChar">
    <w:name w:val="card Char"/>
    <w:link w:val="card"/>
    <w:rsid w:val="00751D2A"/>
    <w:rPr>
      <w:rFonts w:ascii="Calibri" w:eastAsia="Times New Roman" w:hAnsi="Calibri"/>
      <w:sz w:val="22"/>
    </w:rPr>
  </w:style>
  <w:style w:type="character" w:customStyle="1" w:styleId="StyleStyle4CharTimesNewRoman11ptBold">
    <w:name w:val="Style Style4 Char + Times New Roman 11 pt Bold"/>
    <w:basedOn w:val="DefaultParagraphFont"/>
    <w:rsid w:val="00751D2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751D2A"/>
    <w:pPr>
      <w:ind w:left="720"/>
      <w:jc w:val="both"/>
    </w:pPr>
    <w:rPr>
      <w:b/>
      <w:iCs/>
      <w:u w:val="single"/>
    </w:rPr>
  </w:style>
  <w:style w:type="character" w:customStyle="1" w:styleId="pron">
    <w:name w:val="pron"/>
    <w:basedOn w:val="DefaultParagraphFont"/>
    <w:rsid w:val="00751D2A"/>
  </w:style>
  <w:style w:type="character" w:customStyle="1" w:styleId="showipapr">
    <w:name w:val="show_ipapr"/>
    <w:basedOn w:val="DefaultParagraphFont"/>
    <w:rsid w:val="00751D2A"/>
  </w:style>
  <w:style w:type="character" w:customStyle="1" w:styleId="prondelim">
    <w:name w:val="prondelim"/>
    <w:basedOn w:val="DefaultParagraphFont"/>
    <w:rsid w:val="00751D2A"/>
  </w:style>
  <w:style w:type="character" w:customStyle="1" w:styleId="prontoggle">
    <w:name w:val="pron_toggle"/>
    <w:basedOn w:val="DefaultParagraphFont"/>
    <w:rsid w:val="00751D2A"/>
  </w:style>
  <w:style w:type="character" w:customStyle="1" w:styleId="showspellpr">
    <w:name w:val="show_spellpr"/>
    <w:basedOn w:val="DefaultParagraphFont"/>
    <w:rsid w:val="00751D2A"/>
  </w:style>
  <w:style w:type="character" w:customStyle="1" w:styleId="dnindex">
    <w:name w:val="dnindex"/>
    <w:basedOn w:val="DefaultParagraphFont"/>
    <w:rsid w:val="00751D2A"/>
  </w:style>
  <w:style w:type="character" w:customStyle="1" w:styleId="labset">
    <w:name w:val="labset"/>
    <w:basedOn w:val="DefaultParagraphFont"/>
    <w:rsid w:val="00751D2A"/>
  </w:style>
  <w:style w:type="character" w:customStyle="1" w:styleId="pmterms2">
    <w:name w:val="pmterms2"/>
    <w:basedOn w:val="DefaultParagraphFont"/>
    <w:rsid w:val="00751D2A"/>
  </w:style>
  <w:style w:type="paragraph" w:customStyle="1" w:styleId="Emphasis1">
    <w:name w:val="Emphasis1"/>
    <w:basedOn w:val="Normal"/>
    <w:autoRedefine/>
    <w:uiPriority w:val="20"/>
    <w:qFormat/>
    <w:rsid w:val="00751D2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751D2A"/>
    <w:rPr>
      <w:b/>
      <w:bCs/>
    </w:rPr>
  </w:style>
  <w:style w:type="character" w:customStyle="1" w:styleId="UnresolvedMention">
    <w:name w:val="Unresolved Mention"/>
    <w:basedOn w:val="DefaultParagraphFont"/>
    <w:uiPriority w:val="99"/>
    <w:semiHidden/>
    <w:unhideWhenUsed/>
    <w:rsid w:val="007B476A"/>
    <w:rPr>
      <w:color w:val="808080"/>
      <w:shd w:val="clear" w:color="auto" w:fill="E6E6E6"/>
    </w:rPr>
  </w:style>
  <w:style w:type="character" w:styleId="PlaceholderText">
    <w:name w:val="Placeholder Text"/>
    <w:basedOn w:val="DefaultParagraphFont"/>
    <w:uiPriority w:val="99"/>
    <w:unhideWhenUsed/>
    <w:rsid w:val="007B476A"/>
    <w:rPr>
      <w:color w:val="808080"/>
    </w:rPr>
  </w:style>
  <w:style w:type="paragraph" w:customStyle="1" w:styleId="Style4">
    <w:name w:val="Style4"/>
    <w:basedOn w:val="Normal"/>
    <w:qFormat/>
    <w:rsid w:val="007B476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B476A"/>
  </w:style>
  <w:style w:type="character" w:customStyle="1" w:styleId="StyleStyle49ptChar">
    <w:name w:val="Style Style4 + 9 pt Char"/>
    <w:basedOn w:val="DefaultParagraphFont"/>
    <w:link w:val="StyleStyle49pt"/>
    <w:rsid w:val="007B476A"/>
    <w:rPr>
      <w:rFonts w:ascii="Times New Roman" w:eastAsia="Times New Roman" w:hAnsi="Times New Roman" w:cs="Times New Roman"/>
      <w:sz w:val="20"/>
      <w:u w:val="single"/>
    </w:rPr>
  </w:style>
  <w:style w:type="character" w:customStyle="1" w:styleId="StyleTimesNewRoman9pt">
    <w:name w:val="Style Times New Roman 9 pt"/>
    <w:rsid w:val="007B476A"/>
    <w:rPr>
      <w:sz w:val="20"/>
    </w:rPr>
  </w:style>
  <w:style w:type="character" w:customStyle="1" w:styleId="Style9ptItalicUnderline">
    <w:name w:val="Style 9 pt Italic Underline"/>
    <w:rsid w:val="007B476A"/>
    <w:rPr>
      <w:i/>
      <w:iCs/>
      <w:sz w:val="20"/>
      <w:u w:val="single"/>
    </w:rPr>
  </w:style>
  <w:style w:type="character" w:customStyle="1" w:styleId="Style7ptBold">
    <w:name w:val="Style 7 pt Bold"/>
    <w:basedOn w:val="DefaultParagraphFont"/>
    <w:rsid w:val="007B476A"/>
    <w:rPr>
      <w:b w:val="0"/>
      <w:bCs/>
      <w:sz w:val="14"/>
    </w:rPr>
  </w:style>
  <w:style w:type="character" w:customStyle="1" w:styleId="UnderlineBold">
    <w:name w:val="Underline + Bold"/>
    <w:uiPriority w:val="1"/>
    <w:qFormat/>
    <w:rsid w:val="007B476A"/>
    <w:rPr>
      <w:b w:val="0"/>
      <w:sz w:val="20"/>
      <w:u w:val="single"/>
    </w:rPr>
  </w:style>
  <w:style w:type="character" w:customStyle="1" w:styleId="verdana">
    <w:name w:val="verdana"/>
    <w:rsid w:val="007B476A"/>
  </w:style>
  <w:style w:type="character" w:customStyle="1" w:styleId="agocite">
    <w:name w:val="agocite"/>
    <w:basedOn w:val="DefaultParagraphFont"/>
    <w:rsid w:val="007B476A"/>
  </w:style>
  <w:style w:type="paragraph" w:customStyle="1" w:styleId="CitationCharChar">
    <w:name w:val="Citation Char Char"/>
    <w:basedOn w:val="Normal"/>
    <w:uiPriority w:val="6"/>
    <w:rsid w:val="007B476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5078B1"/>
    <w:pPr>
      <w:ind w:left="288"/>
    </w:pPr>
    <w:rPr>
      <w:rFonts w:eastAsiaTheme="minorHAnsi"/>
      <w:szCs w:val="22"/>
    </w:rPr>
  </w:style>
  <w:style w:type="character" w:customStyle="1" w:styleId="CardIndentedChar">
    <w:name w:val="Card (Indented) Char"/>
    <w:basedOn w:val="DefaultParagraphFont"/>
    <w:link w:val="CardIndented"/>
    <w:rsid w:val="005078B1"/>
    <w:rPr>
      <w:rFonts w:ascii="Calibri" w:eastAsiaTheme="minorHAnsi" w:hAnsi="Calibri"/>
      <w:sz w:val="22"/>
      <w:szCs w:val="22"/>
    </w:rPr>
  </w:style>
  <w:style w:type="character" w:customStyle="1" w:styleId="Style9ptUnderline">
    <w:name w:val="Style 9 pt Underline"/>
    <w:rsid w:val="00637D7A"/>
    <w:rPr>
      <w:sz w:val="20"/>
      <w:u w:val="single"/>
    </w:rPr>
  </w:style>
  <w:style w:type="paragraph" w:customStyle="1" w:styleId="StyleStyle49ptBold">
    <w:name w:val="Style Style4 + 9 pt Bold"/>
    <w:basedOn w:val="Style4"/>
    <w:link w:val="StyleStyle49ptBoldChar"/>
    <w:rsid w:val="00637D7A"/>
    <w:pPr>
      <w:numPr>
        <w:numId w:val="16"/>
      </w:numPr>
      <w:tabs>
        <w:tab w:val="num" w:pos="720"/>
      </w:tabs>
      <w:spacing w:after="160" w:line="259" w:lineRule="auto"/>
      <w:ind w:left="0" w:firstLine="0"/>
    </w:pPr>
    <w:rPr>
      <w:rFonts w:ascii="Calibri" w:eastAsia="Calibri" w:hAnsi="Calibri" w:cstheme="minorBidi"/>
      <w:b/>
      <w:bCs/>
      <w:sz w:val="22"/>
    </w:rPr>
  </w:style>
  <w:style w:type="character" w:customStyle="1" w:styleId="StyleStyle49ptBoldChar">
    <w:name w:val="Style Style4 + 9 pt Bold Char"/>
    <w:link w:val="StyleStyle49ptBold"/>
    <w:rsid w:val="00637D7A"/>
    <w:rPr>
      <w:rFonts w:ascii="Calibri" w:eastAsia="Calibri" w:hAnsi="Calibri"/>
      <w:b/>
      <w:bCs/>
      <w:sz w:val="22"/>
      <w:u w:val="single"/>
    </w:rPr>
  </w:style>
  <w:style w:type="character" w:customStyle="1" w:styleId="Style9ptBoldUnderline">
    <w:name w:val="Style 9 pt Bold Underline"/>
    <w:rsid w:val="00637D7A"/>
    <w:rPr>
      <w:b/>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2.ed.gov/about/offices/list/ocr/docs/vocre.html%20published%203/21/79"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695</TotalTime>
  <Pages>21</Pages>
  <Words>3536</Words>
  <Characters>20158</Characters>
  <Application>Microsoft Macintosh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21</cp:revision>
  <dcterms:created xsi:type="dcterms:W3CDTF">2017-07-19T05:15:00Z</dcterms:created>
  <dcterms:modified xsi:type="dcterms:W3CDTF">2017-07-24T01:55:00Z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