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E5E29F" w14:textId="25737551" w:rsidR="00A95652" w:rsidRDefault="00665267" w:rsidP="00B214F9">
      <w:pPr>
        <w:pStyle w:val="Heading1"/>
      </w:pPr>
      <w:bookmarkStart w:id="0" w:name="_GoBack"/>
      <w:bookmarkEnd w:id="0"/>
      <w:r>
        <w:t xml:space="preserve">T – </w:t>
      </w:r>
      <w:r w:rsidR="00B214F9">
        <w:t>Increase</w:t>
      </w:r>
    </w:p>
    <w:p w14:paraId="5EA5FFF6" w14:textId="77777777" w:rsidR="00B456E3" w:rsidRDefault="00B456E3" w:rsidP="00B456E3"/>
    <w:p w14:paraId="21595AE2" w14:textId="77777777" w:rsidR="00B456E3" w:rsidRDefault="00B456E3" w:rsidP="00B456E3">
      <w:r w:rsidRPr="00834DA4">
        <w:t>Resolved: The United States federal government should substantially increase its funding and/or regulation of elementary and/or secondary education in the United States.</w:t>
      </w:r>
    </w:p>
    <w:p w14:paraId="4DA3D972" w14:textId="77777777" w:rsidR="004E3F5A" w:rsidRDefault="004E3F5A" w:rsidP="00B456E3"/>
    <w:p w14:paraId="2B0E4CD3" w14:textId="77777777" w:rsidR="00B456E3" w:rsidRPr="00B456E3" w:rsidRDefault="00B456E3" w:rsidP="00B456E3"/>
    <w:p w14:paraId="034B5338" w14:textId="77777777" w:rsidR="005F2367" w:rsidRDefault="005F2367" w:rsidP="00665267">
      <w:pPr>
        <w:pStyle w:val="Heading2"/>
      </w:pPr>
    </w:p>
    <w:p w14:paraId="6AC8E103" w14:textId="4349DA5F" w:rsidR="00665267" w:rsidRPr="00665267" w:rsidRDefault="005F2367" w:rsidP="00665267">
      <w:pPr>
        <w:pStyle w:val="Heading2"/>
      </w:pPr>
      <w:r>
        <w:lastRenderedPageBreak/>
        <w:t xml:space="preserve">* </w:t>
      </w:r>
      <w:r w:rsidR="00665267">
        <w:t>Increase = Pre-existing</w:t>
      </w:r>
    </w:p>
    <w:p w14:paraId="00913B3D" w14:textId="6C8A4B16" w:rsidR="00AA78EA" w:rsidRDefault="00665267" w:rsidP="00AA78EA">
      <w:pPr>
        <w:pStyle w:val="Heading3"/>
      </w:pPr>
      <w:r>
        <w:lastRenderedPageBreak/>
        <w:t xml:space="preserve">1nc – T </w:t>
      </w:r>
      <w:r w:rsidR="00AA78EA">
        <w:t xml:space="preserve">Pre-Existing </w:t>
      </w:r>
    </w:p>
    <w:p w14:paraId="5E9A4A28" w14:textId="77777777" w:rsidR="00AA78EA" w:rsidRPr="00753778" w:rsidRDefault="00AA78EA" w:rsidP="00AA78EA"/>
    <w:p w14:paraId="601BC6CF" w14:textId="77777777" w:rsidR="00AA78EA" w:rsidRPr="0057432F" w:rsidRDefault="00AA78EA" w:rsidP="00AA78EA">
      <w:pPr>
        <w:pStyle w:val="Heading4"/>
      </w:pPr>
      <w:r>
        <w:t xml:space="preserve">“Increase” means to </w:t>
      </w:r>
      <w:r w:rsidRPr="00684D61">
        <w:t>make greater</w:t>
      </w:r>
      <w:r>
        <w:t xml:space="preserve"> and </w:t>
      </w:r>
      <w:r w:rsidRPr="00684D61">
        <w:t>requires pre-existence</w:t>
      </w:r>
    </w:p>
    <w:p w14:paraId="24A6D62E" w14:textId="77777777" w:rsidR="00AA78EA" w:rsidRPr="009957DF" w:rsidRDefault="00AA78EA" w:rsidP="00AA78EA">
      <w:pPr>
        <w:rPr>
          <w:color w:val="000000"/>
        </w:rPr>
      </w:pPr>
      <w:r w:rsidRPr="009957DF">
        <w:rPr>
          <w:b/>
          <w:color w:val="000000"/>
        </w:rPr>
        <w:t xml:space="preserve">Buckley </w:t>
      </w:r>
      <w:r>
        <w:rPr>
          <w:b/>
          <w:color w:val="000000"/>
        </w:rPr>
        <w:t>6</w:t>
      </w:r>
      <w:r w:rsidRPr="009957DF">
        <w:rPr>
          <w:color w:val="000000"/>
        </w:rPr>
        <w:t xml:space="preserve"> (Jeremiah, </w:t>
      </w:r>
      <w:r>
        <w:rPr>
          <w:color w:val="000000"/>
        </w:rPr>
        <w:t xml:space="preserve">Attorney, </w:t>
      </w:r>
      <w:r w:rsidRPr="009957DF">
        <w:rPr>
          <w:color w:val="000000"/>
        </w:rPr>
        <w:t xml:space="preserve">Amicus Curiae Brief, Safeco Ins. Co. of America et al v. Charles Burr et al, </w:t>
      </w:r>
      <w:hyperlink r:id="rId7" w:history="1">
        <w:r w:rsidRPr="009957DF">
          <w:rPr>
            <w:color w:val="000000"/>
          </w:rPr>
          <w:t>http://supreme.lp.findlaw.com/supreme_court/briefs/06-84/06-84.mer.ami.mica.pdf</w:t>
        </w:r>
      </w:hyperlink>
      <w:r w:rsidRPr="009957DF">
        <w:rPr>
          <w:color w:val="000000"/>
        </w:rPr>
        <w:t>)</w:t>
      </w:r>
    </w:p>
    <w:p w14:paraId="2F737A87" w14:textId="77777777" w:rsidR="00AA78EA" w:rsidRPr="00A16892" w:rsidRDefault="00AA78EA" w:rsidP="00AA78EA">
      <w:pPr>
        <w:rPr>
          <w:color w:val="000000"/>
          <w:sz w:val="16"/>
        </w:rPr>
      </w:pPr>
      <w:r w:rsidRPr="00684D61">
        <w:rPr>
          <w:color w:val="000000"/>
          <w:sz w:val="16"/>
        </w:rPr>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r w:rsidRPr="009957DF">
        <w:rPr>
          <w:color w:val="000000"/>
          <w:u w:val="single"/>
        </w:rPr>
        <w:t>Because  “</w:t>
      </w:r>
      <w:r w:rsidRPr="005B7664">
        <w:rPr>
          <w:color w:val="000000"/>
          <w:highlight w:val="cyan"/>
          <w:u w:val="single"/>
        </w:rPr>
        <w:t xml:space="preserve">increase” means “to </w:t>
      </w:r>
      <w:r w:rsidRPr="005B7664">
        <w:rPr>
          <w:rStyle w:val="Emphasis"/>
          <w:highlight w:val="cyan"/>
        </w:rPr>
        <w:t>make something greater</w:t>
      </w:r>
      <w:r w:rsidRPr="005B7664">
        <w:rPr>
          <w:color w:val="000000"/>
          <w:highlight w:val="cyan"/>
          <w:u w:val="single"/>
        </w:rPr>
        <w:t>,”</w:t>
      </w:r>
      <w:r w:rsidRPr="009957DF">
        <w:rPr>
          <w:color w:val="000000"/>
          <w:u w:val="single"/>
        </w:rPr>
        <w:t xml:space="preserve"> there must necessarily have been an </w:t>
      </w:r>
      <w:r w:rsidRPr="00684D61">
        <w:rPr>
          <w:rStyle w:val="Emphasis"/>
        </w:rPr>
        <w:t>existing</w:t>
      </w:r>
      <w:r w:rsidRPr="009957DF">
        <w:rPr>
          <w:color w:val="000000"/>
          <w:u w:val="single"/>
        </w:rPr>
        <w:t xml:space="preserve"> premium</w:t>
      </w:r>
      <w:r w:rsidRPr="00684D61">
        <w:rPr>
          <w:color w:val="000000"/>
          <w:sz w:val="16"/>
        </w:rPr>
        <w:t xml:space="preserve">, to which </w:t>
      </w:r>
      <w:proofErr w:type="gramStart"/>
      <w:r w:rsidRPr="00684D61">
        <w:rPr>
          <w:color w:val="000000"/>
          <w:sz w:val="16"/>
        </w:rPr>
        <w:t>Edo’s  actual</w:t>
      </w:r>
      <w:proofErr w:type="gramEnd"/>
      <w:r w:rsidRPr="00684D61">
        <w:rPr>
          <w:color w:val="000000"/>
          <w:sz w:val="16"/>
        </w:rPr>
        <w:t xml:space="preserve"> premium may be compared, </w:t>
      </w:r>
      <w:r w:rsidRPr="009957DF">
        <w:rPr>
          <w:color w:val="000000"/>
          <w:u w:val="single"/>
        </w:rPr>
        <w:t>to determine whether an “increase” occurred</w:t>
      </w:r>
      <w:r w:rsidRPr="00684D61">
        <w:rPr>
          <w:color w:val="000000"/>
          <w:sz w:val="16"/>
        </w:rPr>
        <w:t xml:space="preserve">.  Congress could have provided that “ad-verse action” in the insurance context means charging an amount greater than the optimal premium, but instead chose to define adverse action in terms of an “increase.”  That </w:t>
      </w:r>
      <w:proofErr w:type="spellStart"/>
      <w:r w:rsidRPr="00684D61">
        <w:rPr>
          <w:color w:val="000000"/>
          <w:sz w:val="16"/>
        </w:rPr>
        <w:t>def-initional</w:t>
      </w:r>
      <w:proofErr w:type="spellEnd"/>
      <w:r w:rsidRPr="00684D61">
        <w:rPr>
          <w:color w:val="000000"/>
          <w:sz w:val="16"/>
        </w:rPr>
        <w:t xml:space="preserve"> choice must be respected, not ignored.  See </w:t>
      </w:r>
      <w:proofErr w:type="spellStart"/>
      <w:r w:rsidRPr="00684D61">
        <w:rPr>
          <w:color w:val="000000"/>
          <w:sz w:val="16"/>
        </w:rPr>
        <w:t>Colautti</w:t>
      </w:r>
      <w:proofErr w:type="spellEnd"/>
      <w:r w:rsidRPr="00684D61">
        <w:rPr>
          <w:color w:val="000000"/>
          <w:sz w:val="16"/>
        </w:rPr>
        <w:t xml:space="preserve"> v. Franklin, 439 U.S. 379, 392-93 n.10 (1979) (“[a] </w:t>
      </w:r>
      <w:proofErr w:type="spellStart"/>
      <w:r w:rsidRPr="00684D61">
        <w:rPr>
          <w:color w:val="000000"/>
          <w:sz w:val="16"/>
        </w:rPr>
        <w:t>defin-ition</w:t>
      </w:r>
      <w:proofErr w:type="spellEnd"/>
      <w:r w:rsidRPr="00684D61">
        <w:rPr>
          <w:color w:val="000000"/>
          <w:sz w:val="16"/>
        </w:rPr>
        <w:t xml:space="preserve"> which declares what a term ‘means’ . . . excludes </w:t>
      </w:r>
      <w:proofErr w:type="gramStart"/>
      <w:r w:rsidRPr="00684D61">
        <w:rPr>
          <w:color w:val="000000"/>
          <w:sz w:val="16"/>
        </w:rPr>
        <w:t>any  meaning</w:t>
      </w:r>
      <w:proofErr w:type="gramEnd"/>
      <w:r w:rsidRPr="00684D61">
        <w:rPr>
          <w:color w:val="000000"/>
          <w:sz w:val="16"/>
        </w:rPr>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w:t>
      </w:r>
      <w:proofErr w:type="spellStart"/>
      <w:r w:rsidRPr="00684D61">
        <w:rPr>
          <w:color w:val="000000"/>
          <w:sz w:val="16"/>
        </w:rPr>
        <w:t>ing</w:t>
      </w:r>
      <w:proofErr w:type="spellEnd"/>
      <w:r w:rsidRPr="00684D61">
        <w:rPr>
          <w:color w:val="000000"/>
          <w:sz w:val="16"/>
        </w:rPr>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9957DF">
        <w:rPr>
          <w:color w:val="000000"/>
          <w:u w:val="single"/>
        </w:rPr>
        <w:t xml:space="preserve">under </w:t>
      </w:r>
      <w:r w:rsidRPr="00684D61">
        <w:rPr>
          <w:rStyle w:val="Emphasis"/>
        </w:rPr>
        <w:t xml:space="preserve">usual canons of </w:t>
      </w:r>
      <w:proofErr w:type="gramStart"/>
      <w:r w:rsidRPr="00684D61">
        <w:rPr>
          <w:rStyle w:val="Emphasis"/>
        </w:rPr>
        <w:t>statutory  construction</w:t>
      </w:r>
      <w:proofErr w:type="gramEnd"/>
      <w:r w:rsidRPr="009957DF">
        <w:rPr>
          <w:color w:val="000000"/>
          <w:u w:val="single"/>
        </w:rPr>
        <w:t xml:space="preserve"> the term “increase</w:t>
      </w:r>
      <w:r w:rsidRPr="00684D61">
        <w:rPr>
          <w:color w:val="000000"/>
          <w:sz w:val="16"/>
        </w:rPr>
        <w:t xml:space="preserve">” also </w:t>
      </w:r>
      <w:r w:rsidRPr="009957DF">
        <w:rPr>
          <w:color w:val="000000"/>
          <w:u w:val="single"/>
        </w:rPr>
        <w:t xml:space="preserve">should be construed to  apply to increases of an </w:t>
      </w:r>
      <w:r w:rsidRPr="00684D61">
        <w:rPr>
          <w:rStyle w:val="Emphasis"/>
        </w:rPr>
        <w:t>already-existing</w:t>
      </w:r>
      <w:r w:rsidRPr="009957DF">
        <w:rPr>
          <w:color w:val="000000"/>
          <w:u w:val="single"/>
        </w:rPr>
        <w:t xml:space="preserve"> policy</w:t>
      </w:r>
      <w:r w:rsidRPr="00684D61">
        <w:rPr>
          <w:color w:val="000000"/>
          <w:sz w:val="16"/>
        </w:rPr>
        <w:t xml:space="preserve">.  See Hibbs v.  Winn, 542 U.S. 88, 101 (2004) (“a phrase gathers meaning from the words around it”) (citation omitted). </w:t>
      </w:r>
    </w:p>
    <w:p w14:paraId="7C306262" w14:textId="77777777" w:rsidR="00AA78EA" w:rsidRDefault="00AA78EA" w:rsidP="00AA78EA">
      <w:pPr>
        <w:pStyle w:val="Heading4"/>
      </w:pPr>
      <w:r>
        <w:t xml:space="preserve">Plan creates </w:t>
      </w:r>
      <w:r>
        <w:rPr>
          <w:u w:val="single"/>
        </w:rPr>
        <w:t>new</w:t>
      </w:r>
      <w:r>
        <w:t xml:space="preserve"> policy--- voting issue:</w:t>
      </w:r>
    </w:p>
    <w:p w14:paraId="673B4588" w14:textId="77777777" w:rsidR="00AA78EA" w:rsidRDefault="00AA78EA" w:rsidP="00AA78EA">
      <w:pPr>
        <w:pStyle w:val="Heading4"/>
      </w:pPr>
      <w:r>
        <w:t xml:space="preserve">1. Limits --- they can create </w:t>
      </w:r>
      <w:r>
        <w:rPr>
          <w:u w:val="single"/>
        </w:rPr>
        <w:t>any</w:t>
      </w:r>
      <w:r>
        <w:t xml:space="preserve"> form, the </w:t>
      </w:r>
      <w:r>
        <w:rPr>
          <w:u w:val="single"/>
        </w:rPr>
        <w:t>entire range</w:t>
      </w:r>
      <w:r>
        <w:t xml:space="preserve"> of possible forms of regulation or funding become topical --- overstretches Neg research burdens --- we allow a fair number of </w:t>
      </w:r>
      <w:r>
        <w:rPr>
          <w:u w:val="single"/>
        </w:rPr>
        <w:t>existing</w:t>
      </w:r>
      <w:r>
        <w:t xml:space="preserve"> types like ______________.</w:t>
      </w:r>
    </w:p>
    <w:p w14:paraId="67E75D07" w14:textId="77777777" w:rsidR="00AA78EA" w:rsidRPr="00684D61" w:rsidRDefault="00AA78EA" w:rsidP="00AA78EA">
      <w:pPr>
        <w:pStyle w:val="Heading4"/>
      </w:pPr>
      <w:r>
        <w:t xml:space="preserve">2. Ground --- best links assume </w:t>
      </w:r>
      <w:r>
        <w:rPr>
          <w:u w:val="single"/>
        </w:rPr>
        <w:t>existing</w:t>
      </w:r>
      <w:r>
        <w:t xml:space="preserve"> policies, they change the debate from </w:t>
      </w:r>
      <w:r>
        <w:rPr>
          <w:u w:val="single"/>
        </w:rPr>
        <w:t>improving</w:t>
      </w:r>
      <w:r>
        <w:t xml:space="preserve"> current policy to </w:t>
      </w:r>
      <w:r>
        <w:rPr>
          <w:u w:val="single"/>
        </w:rPr>
        <w:t>creating</w:t>
      </w:r>
      <w:r>
        <w:t xml:space="preserve"> new forms --- undermines core ground and fairness</w:t>
      </w:r>
    </w:p>
    <w:p w14:paraId="31E8C197" w14:textId="0466A856" w:rsidR="00AA78EA" w:rsidRDefault="005F2367" w:rsidP="00AA78EA">
      <w:pPr>
        <w:pStyle w:val="Heading3"/>
      </w:pPr>
      <w:r>
        <w:lastRenderedPageBreak/>
        <w:t>Increase = Not</w:t>
      </w:r>
      <w:r w:rsidR="00AA78EA">
        <w:t xml:space="preserve"> </w:t>
      </w:r>
      <w:r>
        <w:t>Create</w:t>
      </w:r>
    </w:p>
    <w:p w14:paraId="495794D9" w14:textId="77777777" w:rsidR="00AA78EA" w:rsidRDefault="00AA78EA" w:rsidP="00AA78EA">
      <w:pPr>
        <w:rPr>
          <w:color w:val="000000"/>
        </w:rPr>
      </w:pPr>
    </w:p>
    <w:p w14:paraId="3FF61E40" w14:textId="77777777" w:rsidR="00AA78EA" w:rsidRPr="0048325C" w:rsidRDefault="00AA78EA" w:rsidP="00AA78EA">
      <w:pPr>
        <w:pStyle w:val="Heading4"/>
      </w:pPr>
      <w:r>
        <w:t>“</w:t>
      </w:r>
      <w:r w:rsidRPr="0048325C">
        <w:t>Increase</w:t>
      </w:r>
      <w:r>
        <w:t>”</w:t>
      </w:r>
      <w:r w:rsidRPr="0048325C">
        <w:t xml:space="preserve"> requires pre-existence</w:t>
      </w:r>
    </w:p>
    <w:p w14:paraId="5FF359C9" w14:textId="77777777" w:rsidR="00AA78EA" w:rsidRPr="0048325C" w:rsidRDefault="00AA78EA" w:rsidP="00AA78EA">
      <w:pPr>
        <w:rPr>
          <w:color w:val="0D0D0D"/>
        </w:rPr>
      </w:pPr>
      <w:r>
        <w:rPr>
          <w:b/>
          <w:color w:val="0D0D0D"/>
        </w:rPr>
        <w:t xml:space="preserve">Brown </w:t>
      </w:r>
      <w:r w:rsidRPr="0048325C">
        <w:rPr>
          <w:b/>
          <w:color w:val="0D0D0D"/>
        </w:rPr>
        <w:t xml:space="preserve">3 </w:t>
      </w:r>
      <w:r w:rsidRPr="0048325C">
        <w:rPr>
          <w:color w:val="0D0D0D"/>
        </w:rPr>
        <w:t xml:space="preserve">– US Federal Judge </w:t>
      </w:r>
      <w:r>
        <w:rPr>
          <w:color w:val="0D0D0D"/>
        </w:rPr>
        <w:t>– District Court of Oregon</w:t>
      </w:r>
      <w:r w:rsidRPr="0048325C">
        <w:rPr>
          <w:color w:val="0D0D0D"/>
        </w:rPr>
        <w:t xml:space="preserve"> (Elena Mark and Paul Gustafson, Plaintiffs, v. Valley Insurance Company and Valley Property and Casualty, Defendants, 7</w:t>
      </w:r>
      <w:r>
        <w:rPr>
          <w:color w:val="0D0D0D"/>
        </w:rPr>
        <w:t>-</w:t>
      </w:r>
      <w:r w:rsidRPr="0048325C">
        <w:rPr>
          <w:color w:val="0D0D0D"/>
        </w:rPr>
        <w:t xml:space="preserve">17, </w:t>
      </w:r>
      <w:r>
        <w:rPr>
          <w:color w:val="0D0D0D"/>
        </w:rPr>
        <w:t>L</w:t>
      </w:r>
      <w:r w:rsidRPr="0048325C">
        <w:rPr>
          <w:color w:val="0D0D0D"/>
        </w:rPr>
        <w:t>exis)</w:t>
      </w:r>
    </w:p>
    <w:p w14:paraId="15C85A60" w14:textId="77777777" w:rsidR="00AA78EA" w:rsidRPr="0058002D" w:rsidRDefault="00AA78EA" w:rsidP="00AA78EA">
      <w:pPr>
        <w:rPr>
          <w:color w:val="0D0D0D"/>
          <w:sz w:val="16"/>
        </w:rPr>
      </w:pPr>
      <w:r w:rsidRPr="0058002D">
        <w:rPr>
          <w:color w:val="0D0D0D"/>
          <w:sz w:val="16"/>
        </w:rPr>
        <w:t xml:space="preserve">FCRA does not define the term "increase." </w:t>
      </w:r>
      <w:r w:rsidRPr="0048325C">
        <w:rPr>
          <w:color w:val="0D0D0D"/>
          <w:u w:val="single"/>
        </w:rPr>
        <w:t>The</w:t>
      </w:r>
      <w:r w:rsidRPr="0058002D">
        <w:rPr>
          <w:color w:val="0D0D0D"/>
          <w:sz w:val="16"/>
        </w:rPr>
        <w:t xml:space="preserve"> plain and </w:t>
      </w:r>
      <w:r w:rsidRPr="005B7664">
        <w:rPr>
          <w:color w:val="0D0D0D"/>
          <w:highlight w:val="cyan"/>
          <w:u w:val="single"/>
        </w:rPr>
        <w:t>ordinary meaning of the verb "to increase" is to make something greater</w:t>
      </w:r>
      <w:r w:rsidRPr="0058002D">
        <w:rPr>
          <w:color w:val="0D0D0D"/>
          <w:sz w:val="16"/>
        </w:rPr>
        <w:t xml:space="preserve"> or larger. 4 Merriam-Webster's  [**22</w:t>
      </w:r>
      <w:proofErr w:type="gramStart"/>
      <w:r w:rsidRPr="0058002D">
        <w:rPr>
          <w:color w:val="0D0D0D"/>
          <w:sz w:val="16"/>
        </w:rPr>
        <w:t>]   Collegiate</w:t>
      </w:r>
      <w:proofErr w:type="gramEnd"/>
      <w:r w:rsidRPr="0058002D">
        <w:rPr>
          <w:color w:val="0D0D0D"/>
          <w:sz w:val="16"/>
        </w:rPr>
        <w:t xml:space="preserv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p>
    <w:p w14:paraId="423FCCFF" w14:textId="77777777" w:rsidR="00AA78EA" w:rsidRPr="0058002D" w:rsidRDefault="00AA78EA" w:rsidP="00AA78EA">
      <w:pPr>
        <w:rPr>
          <w:color w:val="0D0D0D"/>
          <w:sz w:val="16"/>
        </w:rPr>
      </w:pPr>
      <w:r w:rsidRPr="005B7664">
        <w:rPr>
          <w:color w:val="0D0D0D"/>
          <w:highlight w:val="cyan"/>
          <w:u w:val="single"/>
        </w:rPr>
        <w:t>An insurer cannot "make greater" something that did not exist previously</w:t>
      </w:r>
      <w:r w:rsidRPr="0058002D">
        <w:rPr>
          <w:color w:val="0D0D0D"/>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w:t>
      </w:r>
      <w:proofErr w:type="gramStart"/>
      <w:r w:rsidRPr="0058002D">
        <w:rPr>
          <w:color w:val="0D0D0D"/>
          <w:sz w:val="16"/>
        </w:rPr>
        <w:t>]  coverage</w:t>
      </w:r>
      <w:proofErr w:type="gramEnd"/>
      <w:r w:rsidRPr="0058002D">
        <w:rPr>
          <w:color w:val="0D0D0D"/>
          <w:sz w:val="16"/>
        </w:rPr>
        <w:t xml:space="preserve"> at a lower price.</w:t>
      </w:r>
    </w:p>
    <w:p w14:paraId="6306F2C2" w14:textId="77777777" w:rsidR="00AA78EA" w:rsidRPr="00753778" w:rsidRDefault="00AA78EA" w:rsidP="00AA78EA"/>
    <w:p w14:paraId="1C9BE1EF" w14:textId="77777777" w:rsidR="00AA78EA" w:rsidRDefault="00AA78EA" w:rsidP="00AA78EA">
      <w:pPr>
        <w:pStyle w:val="Heading4"/>
      </w:pPr>
      <w:r>
        <w:t xml:space="preserve">Accurate application of statutory canons is the </w:t>
      </w:r>
      <w:r w:rsidRPr="005D1FEE">
        <w:rPr>
          <w:u w:val="single"/>
        </w:rPr>
        <w:t>biggest impact</w:t>
      </w:r>
      <w:r>
        <w:t xml:space="preserve"> --- it’s the only way to determine the </w:t>
      </w:r>
      <w:r w:rsidRPr="005D1FEE">
        <w:rPr>
          <w:u w:val="single"/>
        </w:rPr>
        <w:t>purpose</w:t>
      </w:r>
      <w:r>
        <w:t xml:space="preserve"> and </w:t>
      </w:r>
      <w:r w:rsidRPr="005D1FEE">
        <w:rPr>
          <w:u w:val="single"/>
        </w:rPr>
        <w:t>intent</w:t>
      </w:r>
      <w:r>
        <w:t xml:space="preserve"> of writing</w:t>
      </w:r>
    </w:p>
    <w:p w14:paraId="23373F0E" w14:textId="77777777" w:rsidR="00AA78EA" w:rsidRDefault="00AA78EA" w:rsidP="00AA78EA">
      <w:proofErr w:type="spellStart"/>
      <w:r w:rsidRPr="00E116C1">
        <w:rPr>
          <w:rStyle w:val="Style13ptBold"/>
        </w:rPr>
        <w:t>Sentell</w:t>
      </w:r>
      <w:proofErr w:type="spellEnd"/>
      <w:r w:rsidRPr="00E116C1">
        <w:rPr>
          <w:rStyle w:val="Style13ptBold"/>
        </w:rPr>
        <w:t xml:space="preserve"> 91</w:t>
      </w:r>
      <w:r>
        <w:t xml:space="preserve"> (R. Perry Jr., Talmadge Professor of Law – University of Georgia and LLM – Harvard University, “The Canons of Construction in Georgia: "Anachronisms" in Action”, Georgia Law Review, Winter, 25 Ga. L. Rev. 365, Lexis)</w:t>
      </w:r>
    </w:p>
    <w:p w14:paraId="197ABC87" w14:textId="77777777" w:rsidR="00AA78EA" w:rsidRPr="00E116C1" w:rsidRDefault="00AA78EA" w:rsidP="00AA78EA">
      <w:pPr>
        <w:rPr>
          <w:sz w:val="16"/>
        </w:rPr>
      </w:pPr>
      <w:r w:rsidRPr="00E116C1">
        <w:rPr>
          <w:sz w:val="16"/>
        </w:rPr>
        <w:t>CONCLUSION</w:t>
      </w:r>
      <w:r w:rsidRPr="00E116C1">
        <w:rPr>
          <w:sz w:val="16"/>
        </w:rPr>
        <w:br/>
        <w:t xml:space="preserve">Because the consideration of written communication is the cornerstone of the judicial process, the technique involved in that consideration has intrigued the ages. That technique, </w:t>
      </w:r>
      <w:r w:rsidRPr="005B7664">
        <w:rPr>
          <w:rStyle w:val="TitleChar"/>
          <w:highlight w:val="cyan"/>
        </w:rPr>
        <w:t>judicial interpretation</w:t>
      </w:r>
      <w:r w:rsidRPr="00E116C1">
        <w:rPr>
          <w:sz w:val="16"/>
        </w:rPr>
        <w:t xml:space="preserve">, </w:t>
      </w:r>
      <w:bookmarkStart w:id="1" w:name="8100-434"/>
      <w:r w:rsidRPr="00E116C1">
        <w:rPr>
          <w:rStyle w:val="pmterms1"/>
          <w:sz w:val="16"/>
        </w:rPr>
        <w:t>[*434</w:t>
      </w:r>
      <w:proofErr w:type="gramStart"/>
      <w:r w:rsidRPr="00E116C1">
        <w:rPr>
          <w:rStyle w:val="pmterms1"/>
          <w:sz w:val="16"/>
        </w:rPr>
        <w:t>]</w:t>
      </w:r>
      <w:bookmarkEnd w:id="1"/>
      <w:r w:rsidRPr="00E116C1">
        <w:rPr>
          <w:sz w:val="16"/>
        </w:rPr>
        <w:t>  attempts</w:t>
      </w:r>
      <w:proofErr w:type="gramEnd"/>
      <w:r w:rsidRPr="00E116C1">
        <w:rPr>
          <w:sz w:val="16"/>
        </w:rPr>
        <w:t xml:space="preserve"> a highly delicate balance. On the one hand, it </w:t>
      </w:r>
      <w:r w:rsidRPr="00E116C1">
        <w:rPr>
          <w:rStyle w:val="TitleChar"/>
        </w:rPr>
        <w:t>acknowledges the</w:t>
      </w:r>
      <w:r w:rsidRPr="00E116C1">
        <w:rPr>
          <w:sz w:val="16"/>
        </w:rPr>
        <w:t xml:space="preserve"> legendary </w:t>
      </w:r>
      <w:r w:rsidRPr="00E116C1">
        <w:rPr>
          <w:rStyle w:val="TitleChar"/>
        </w:rPr>
        <w:t>imprecision of language. On the other hand, it seeks to glean from that language the elusive signals of purpose, meaning and intent. A "science" so inexact</w:t>
      </w:r>
      <w:r w:rsidRPr="00E116C1">
        <w:rPr>
          <w:sz w:val="16"/>
        </w:rPr>
        <w:t xml:space="preserve"> incessantly </w:t>
      </w:r>
      <w:r w:rsidRPr="00E116C1">
        <w:rPr>
          <w:rStyle w:val="TitleChar"/>
        </w:rPr>
        <w:t>craves</w:t>
      </w:r>
      <w:r w:rsidRPr="00E116C1">
        <w:rPr>
          <w:sz w:val="16"/>
        </w:rPr>
        <w:t xml:space="preserve"> a semblance of </w:t>
      </w:r>
      <w:r w:rsidRPr="00E116C1">
        <w:rPr>
          <w:rStyle w:val="TitleChar"/>
        </w:rPr>
        <w:t xml:space="preserve">constants -- conventions assisting to </w:t>
      </w:r>
      <w:r w:rsidRPr="005B7664">
        <w:rPr>
          <w:rStyle w:val="Emphasis"/>
          <w:highlight w:val="cyan"/>
        </w:rPr>
        <w:t>impose order</w:t>
      </w:r>
      <w:r w:rsidRPr="005B7664">
        <w:rPr>
          <w:rStyle w:val="TitleChar"/>
          <w:highlight w:val="cyan"/>
        </w:rPr>
        <w:t xml:space="preserve"> upon understanding</w:t>
      </w:r>
      <w:r w:rsidRPr="00E116C1">
        <w:rPr>
          <w:sz w:val="16"/>
        </w:rPr>
        <w:t>.</w:t>
      </w:r>
      <w:r w:rsidRPr="00E116C1">
        <w:rPr>
          <w:sz w:val="16"/>
        </w:rPr>
        <w:br/>
        <w:t xml:space="preserve">Roman law, and subsequently the English common-law system, sought to appease this insatiable desire by offering up the canons of construction. </w:t>
      </w:r>
      <w:r w:rsidRPr="00E116C1">
        <w:rPr>
          <w:rStyle w:val="TitleChar"/>
        </w:rPr>
        <w:t xml:space="preserve">The canons, </w:t>
      </w:r>
      <w:r w:rsidRPr="005B7664">
        <w:rPr>
          <w:rStyle w:val="Emphasis"/>
          <w:highlight w:val="cyan"/>
        </w:rPr>
        <w:t>fundamental maxims of</w:t>
      </w:r>
      <w:r w:rsidRPr="00E116C1">
        <w:rPr>
          <w:sz w:val="16"/>
        </w:rPr>
        <w:t xml:space="preserve"> compositional </w:t>
      </w:r>
      <w:r w:rsidRPr="005B7664">
        <w:rPr>
          <w:rStyle w:val="Emphasis"/>
          <w:highlight w:val="cyan"/>
        </w:rPr>
        <w:t>meaning</w:t>
      </w:r>
      <w:r w:rsidRPr="005B7664">
        <w:rPr>
          <w:rStyle w:val="TitleChar"/>
          <w:highlight w:val="cyan"/>
        </w:rPr>
        <w:t>, have proved</w:t>
      </w:r>
      <w:r w:rsidRPr="00E116C1">
        <w:rPr>
          <w:sz w:val="16"/>
        </w:rPr>
        <w:t xml:space="preserve"> both vulnerable and </w:t>
      </w:r>
      <w:r w:rsidRPr="005B7664">
        <w:rPr>
          <w:rStyle w:val="TitleChar"/>
          <w:highlight w:val="cyan"/>
        </w:rPr>
        <w:t>venerable</w:t>
      </w:r>
      <w:r w:rsidRPr="00E116C1">
        <w:rPr>
          <w:sz w:val="16"/>
        </w:rPr>
        <w:t xml:space="preserve">. Their existence has provided an irresistible historic target for a labyrinth of denigrating commentary. Yet </w:t>
      </w:r>
      <w:r w:rsidRPr="00E116C1">
        <w:rPr>
          <w:rStyle w:val="TitleChar"/>
        </w:rPr>
        <w:t>the courts</w:t>
      </w:r>
      <w:r w:rsidRPr="00E116C1">
        <w:rPr>
          <w:sz w:val="16"/>
        </w:rPr>
        <w:t xml:space="preserve">, the construers themselves, </w:t>
      </w:r>
      <w:r w:rsidRPr="00E116C1">
        <w:rPr>
          <w:rStyle w:val="TitleChar"/>
        </w:rPr>
        <w:t>have claimed</w:t>
      </w:r>
      <w:r w:rsidRPr="00E116C1">
        <w:rPr>
          <w:sz w:val="16"/>
        </w:rPr>
        <w:t xml:space="preserve"> the </w:t>
      </w:r>
      <w:r w:rsidRPr="00E116C1">
        <w:rPr>
          <w:rStyle w:val="TitleChar"/>
        </w:rPr>
        <w:t>canons</w:t>
      </w:r>
      <w:r w:rsidRPr="00E116C1">
        <w:rPr>
          <w:sz w:val="16"/>
        </w:rPr>
        <w:t xml:space="preserve"> as their own, affording them </w:t>
      </w:r>
      <w:r w:rsidRPr="00E116C1">
        <w:rPr>
          <w:rStyle w:val="TitleChar"/>
        </w:rPr>
        <w:t xml:space="preserve">a </w:t>
      </w:r>
      <w:r w:rsidRPr="005B7664">
        <w:rPr>
          <w:rStyle w:val="Emphasis"/>
          <w:highlight w:val="cyan"/>
        </w:rPr>
        <w:t>determinative role</w:t>
      </w:r>
      <w:r w:rsidRPr="005B7664">
        <w:rPr>
          <w:rStyle w:val="TitleChar"/>
          <w:highlight w:val="cyan"/>
        </w:rPr>
        <w:t xml:space="preserve"> in</w:t>
      </w:r>
      <w:r w:rsidRPr="00E116C1">
        <w:rPr>
          <w:rStyle w:val="TitleChar"/>
        </w:rPr>
        <w:t xml:space="preserve"> </w:t>
      </w:r>
      <w:r w:rsidRPr="00E116C1">
        <w:rPr>
          <w:sz w:val="16"/>
        </w:rPr>
        <w:t xml:space="preserve">judicial </w:t>
      </w:r>
      <w:proofErr w:type="spellStart"/>
      <w:r w:rsidRPr="005B7664">
        <w:rPr>
          <w:rStyle w:val="TitleChar"/>
          <w:highlight w:val="cyan"/>
        </w:rPr>
        <w:t>decisionmakin</w:t>
      </w:r>
      <w:r w:rsidRPr="00E116C1">
        <w:rPr>
          <w:rStyle w:val="TitleChar"/>
        </w:rPr>
        <w:t>g</w:t>
      </w:r>
      <w:proofErr w:type="spellEnd"/>
      <w:r w:rsidRPr="00E116C1">
        <w:rPr>
          <w:sz w:val="16"/>
        </w:rPr>
        <w:t xml:space="preserve"> which transverses the spectrum of litigation. Accordingly, the </w:t>
      </w:r>
      <w:r w:rsidRPr="00E116C1">
        <w:rPr>
          <w:rStyle w:val="TitleChar"/>
        </w:rPr>
        <w:t>critics are left with little choice but to concede the canons'</w:t>
      </w:r>
      <w:r w:rsidRPr="00E116C1">
        <w:rPr>
          <w:sz w:val="16"/>
        </w:rPr>
        <w:t xml:space="preserve"> existence and </w:t>
      </w:r>
      <w:r w:rsidRPr="00E116C1">
        <w:rPr>
          <w:rStyle w:val="TitleChar"/>
        </w:rPr>
        <w:t>shaping influence</w:t>
      </w:r>
      <w:r w:rsidRPr="00E116C1">
        <w:rPr>
          <w:sz w:val="16"/>
        </w:rPr>
        <w:t>, while pleading for caution in their invocation.</w:t>
      </w:r>
      <w:r w:rsidRPr="00E116C1">
        <w:rPr>
          <w:sz w:val="16"/>
        </w:rPr>
        <w:br/>
        <w:t xml:space="preserve">From the canonical mass, the most popular and powerful maxims of meaning are perhaps the three here selected for treatment: </w:t>
      </w:r>
      <w:proofErr w:type="spellStart"/>
      <w:r w:rsidRPr="00E116C1">
        <w:rPr>
          <w:sz w:val="16"/>
        </w:rPr>
        <w:t>Noscitur</w:t>
      </w:r>
      <w:proofErr w:type="spellEnd"/>
      <w:r w:rsidRPr="00E116C1">
        <w:rPr>
          <w:sz w:val="16"/>
        </w:rPr>
        <w:t xml:space="preserve"> a </w:t>
      </w:r>
      <w:proofErr w:type="spellStart"/>
      <w:r w:rsidRPr="00E116C1">
        <w:rPr>
          <w:sz w:val="16"/>
        </w:rPr>
        <w:t>sociis</w:t>
      </w:r>
      <w:proofErr w:type="spellEnd"/>
      <w:r w:rsidRPr="00E116C1">
        <w:rPr>
          <w:sz w:val="16"/>
        </w:rPr>
        <w:t xml:space="preserve">, </w:t>
      </w:r>
      <w:proofErr w:type="spellStart"/>
      <w:r w:rsidRPr="00E116C1">
        <w:rPr>
          <w:sz w:val="16"/>
        </w:rPr>
        <w:t>Ejusdem</w:t>
      </w:r>
      <w:proofErr w:type="spellEnd"/>
      <w:r w:rsidRPr="00E116C1">
        <w:rPr>
          <w:sz w:val="16"/>
        </w:rPr>
        <w:t xml:space="preserve"> generis and </w:t>
      </w:r>
      <w:proofErr w:type="spellStart"/>
      <w:r w:rsidRPr="00E116C1">
        <w:rPr>
          <w:sz w:val="16"/>
        </w:rPr>
        <w:t>Expressio</w:t>
      </w:r>
      <w:proofErr w:type="spellEnd"/>
      <w:r w:rsidRPr="00E116C1">
        <w:rPr>
          <w:sz w:val="16"/>
        </w:rPr>
        <w:t xml:space="preserve"> </w:t>
      </w:r>
      <w:proofErr w:type="spellStart"/>
      <w:r w:rsidRPr="00E116C1">
        <w:rPr>
          <w:sz w:val="16"/>
        </w:rPr>
        <w:t>unius</w:t>
      </w:r>
      <w:proofErr w:type="spellEnd"/>
      <w:r w:rsidRPr="00E116C1">
        <w:rPr>
          <w:sz w:val="16"/>
        </w:rPr>
        <w:t xml:space="preserve"> </w:t>
      </w:r>
      <w:proofErr w:type="spellStart"/>
      <w:r w:rsidRPr="00E116C1">
        <w:rPr>
          <w:sz w:val="16"/>
        </w:rPr>
        <w:t>est</w:t>
      </w:r>
      <w:proofErr w:type="spellEnd"/>
      <w:r w:rsidRPr="00E116C1">
        <w:rPr>
          <w:sz w:val="16"/>
        </w:rPr>
        <w:t xml:space="preserve"> </w:t>
      </w:r>
      <w:proofErr w:type="spellStart"/>
      <w:r w:rsidRPr="00E116C1">
        <w:rPr>
          <w:sz w:val="16"/>
        </w:rPr>
        <w:t>exclusio</w:t>
      </w:r>
      <w:proofErr w:type="spellEnd"/>
      <w:r w:rsidRPr="00E116C1">
        <w:rPr>
          <w:sz w:val="16"/>
        </w:rPr>
        <w:t xml:space="preserve"> </w:t>
      </w:r>
      <w:proofErr w:type="spellStart"/>
      <w:r w:rsidRPr="00E116C1">
        <w:rPr>
          <w:sz w:val="16"/>
        </w:rPr>
        <w:t>alterius</w:t>
      </w:r>
      <w:proofErr w:type="spellEnd"/>
      <w:r w:rsidRPr="00E116C1">
        <w:rPr>
          <w:sz w:val="16"/>
        </w:rPr>
        <w:t xml:space="preserve">. Although different, the three precepts are also similar -- they counsel an analysis of associating what is present with what is to be determined. </w:t>
      </w:r>
      <w:r w:rsidRPr="00BA1DA1">
        <w:rPr>
          <w:rStyle w:val="TitleChar"/>
        </w:rPr>
        <w:t>The writer</w:t>
      </w:r>
      <w:r w:rsidRPr="00E116C1">
        <w:rPr>
          <w:sz w:val="16"/>
        </w:rPr>
        <w:t xml:space="preserve">, they presume, </w:t>
      </w:r>
      <w:r w:rsidRPr="00BA1DA1">
        <w:rPr>
          <w:rStyle w:val="TitleChar"/>
        </w:rPr>
        <w:t xml:space="preserve">meant something by what he expressed; </w:t>
      </w:r>
      <w:r w:rsidRPr="005B7664">
        <w:rPr>
          <w:rStyle w:val="TitleChar"/>
          <w:highlight w:val="cyan"/>
        </w:rPr>
        <w:t>that expression</w:t>
      </w:r>
      <w:r w:rsidRPr="00E116C1">
        <w:rPr>
          <w:sz w:val="16"/>
        </w:rPr>
        <w:t xml:space="preserve">, or at least a portion of it, they insist, </w:t>
      </w:r>
      <w:r w:rsidRPr="005B7664">
        <w:rPr>
          <w:rStyle w:val="TitleChar"/>
          <w:highlight w:val="cyan"/>
        </w:rPr>
        <w:t xml:space="preserve">offers the </w:t>
      </w:r>
      <w:r w:rsidRPr="005B7664">
        <w:rPr>
          <w:rStyle w:val="Emphasis"/>
          <w:highlight w:val="cyan"/>
        </w:rPr>
        <w:t>best hope</w:t>
      </w:r>
      <w:r w:rsidRPr="005B7664">
        <w:rPr>
          <w:rStyle w:val="TitleChar"/>
          <w:highlight w:val="cyan"/>
        </w:rPr>
        <w:t xml:space="preserve"> for resolving</w:t>
      </w:r>
      <w:r w:rsidRPr="00E116C1">
        <w:rPr>
          <w:sz w:val="16"/>
        </w:rPr>
        <w:t xml:space="preserve"> the </w:t>
      </w:r>
      <w:r w:rsidRPr="00BA1DA1">
        <w:rPr>
          <w:rStyle w:val="TitleChar"/>
        </w:rPr>
        <w:t>a</w:t>
      </w:r>
      <w:r w:rsidRPr="005B7664">
        <w:rPr>
          <w:rStyle w:val="TitleChar"/>
          <w:highlight w:val="cyan"/>
        </w:rPr>
        <w:t>mbiguit</w:t>
      </w:r>
      <w:r w:rsidRPr="00BA1DA1">
        <w:rPr>
          <w:rStyle w:val="TitleChar"/>
        </w:rPr>
        <w:t>y</w:t>
      </w:r>
      <w:r w:rsidRPr="00E116C1">
        <w:rPr>
          <w:sz w:val="16"/>
        </w:rPr>
        <w:t xml:space="preserve"> at hand. As they occasionally broaden, frequently constrict and sometimes exclude, the maxims operate to propel the interpreter toward an intent, meaning or purpose that will decide the controversy.</w:t>
      </w:r>
    </w:p>
    <w:p w14:paraId="139520EA" w14:textId="77777777" w:rsidR="00B214F9" w:rsidRDefault="00B214F9" w:rsidP="00B214F9"/>
    <w:p w14:paraId="26D04333" w14:textId="77777777" w:rsidR="005F2367" w:rsidRDefault="005F2367" w:rsidP="00665267">
      <w:pPr>
        <w:pStyle w:val="Heading2"/>
      </w:pPr>
    </w:p>
    <w:p w14:paraId="12217D63" w14:textId="1EAEBF91" w:rsidR="00665267" w:rsidRDefault="005F2367" w:rsidP="00665267">
      <w:pPr>
        <w:pStyle w:val="Heading2"/>
      </w:pPr>
      <w:r>
        <w:lastRenderedPageBreak/>
        <w:t xml:space="preserve">* </w:t>
      </w:r>
      <w:r w:rsidR="00665267">
        <w:t>Increase = Unconditional</w:t>
      </w:r>
    </w:p>
    <w:p w14:paraId="16C2A900" w14:textId="67294F70" w:rsidR="00665267" w:rsidRPr="00707DBD" w:rsidRDefault="00665267" w:rsidP="00665267">
      <w:pPr>
        <w:pStyle w:val="Heading3"/>
        <w:rPr>
          <w:rFonts w:cs="Times New Roman"/>
        </w:rPr>
      </w:pPr>
      <w:r w:rsidRPr="00707DBD">
        <w:rPr>
          <w:rFonts w:cs="Times New Roman"/>
        </w:rPr>
        <w:lastRenderedPageBreak/>
        <w:t xml:space="preserve">1nc </w:t>
      </w:r>
      <w:r>
        <w:rPr>
          <w:rFonts w:cs="Times New Roman"/>
        </w:rPr>
        <w:t>– Unconditional</w:t>
      </w:r>
    </w:p>
    <w:p w14:paraId="44DA1C26" w14:textId="77777777" w:rsidR="00665267" w:rsidRPr="00707DBD" w:rsidRDefault="00665267" w:rsidP="00665267">
      <w:pPr>
        <w:pStyle w:val="Heading4"/>
        <w:rPr>
          <w:rFonts w:cs="Times New Roman"/>
        </w:rPr>
      </w:pPr>
      <w:r w:rsidRPr="00707DBD">
        <w:rPr>
          <w:rFonts w:cs="Times New Roman"/>
        </w:rPr>
        <w:t>Interpretation – “should increase” means to certainly make something greater</w:t>
      </w:r>
    </w:p>
    <w:p w14:paraId="7E76ABA7" w14:textId="77777777" w:rsidR="00665267" w:rsidRPr="00707DBD" w:rsidRDefault="00665267" w:rsidP="00665267">
      <w:pPr>
        <w:pStyle w:val="Heading4"/>
        <w:rPr>
          <w:rFonts w:cs="Times New Roman"/>
        </w:rPr>
      </w:pPr>
      <w:r w:rsidRPr="00707DBD">
        <w:rPr>
          <w:rFonts w:cs="Times New Roman"/>
        </w:rPr>
        <w:t xml:space="preserve">“Should” means certain and immediate </w:t>
      </w:r>
    </w:p>
    <w:p w14:paraId="29A41B4F" w14:textId="77777777" w:rsidR="00665267" w:rsidRPr="00707DBD" w:rsidRDefault="00665267" w:rsidP="00665267">
      <w:r w:rsidRPr="00707DBD">
        <w:rPr>
          <w:rStyle w:val="Style13ptBold"/>
        </w:rPr>
        <w:t>Nieto 9</w:t>
      </w:r>
      <w:r w:rsidRPr="00707DBD">
        <w:t xml:space="preserve"> – Judge Henry Nieto, Colorado Court of Appeals, 8-20-2009 People v. Munoz, 240 P.3d 311 (Colo. Ct. App. 2009)</w:t>
      </w:r>
    </w:p>
    <w:p w14:paraId="17B86012" w14:textId="77777777" w:rsidR="00665267" w:rsidRPr="00665267" w:rsidRDefault="00665267" w:rsidP="00665267">
      <w:pPr>
        <w:rPr>
          <w:sz w:val="16"/>
        </w:rPr>
      </w:pPr>
      <w:r w:rsidRPr="00707DBD">
        <w:rPr>
          <w:rStyle w:val="StyleUnderline"/>
        </w:rPr>
        <w:t>"</w:t>
      </w:r>
      <w:r w:rsidRPr="005B7664">
        <w:rPr>
          <w:rStyle w:val="StyleUnderline"/>
          <w:highlight w:val="cyan"/>
        </w:rPr>
        <w:t>S</w:t>
      </w:r>
      <w:r w:rsidRPr="005B7664">
        <w:rPr>
          <w:rStyle w:val="underline"/>
          <w:highlight w:val="cyan"/>
        </w:rPr>
        <w:t>hould" is "used . . . to express duty, obligation</w:t>
      </w:r>
      <w:r w:rsidRPr="00665267">
        <w:rPr>
          <w:sz w:val="16"/>
        </w:rPr>
        <w:t xml:space="preserve">, propriety, or expediency." Webster's Third New International Dictionary 2104 (2002). Courts  [**15] interpreting the word in various contexts have drawn conflicting conclusions, although </w:t>
      </w:r>
      <w:r w:rsidRPr="005B7664">
        <w:rPr>
          <w:rStyle w:val="underline"/>
          <w:highlight w:val="cyan"/>
        </w:rPr>
        <w:t xml:space="preserve">the </w:t>
      </w:r>
      <w:r w:rsidRPr="005B7664">
        <w:rPr>
          <w:rStyle w:val="Emphasis"/>
          <w:highlight w:val="cyan"/>
        </w:rPr>
        <w:t>weight of authority</w:t>
      </w:r>
      <w:r w:rsidRPr="005B7664">
        <w:rPr>
          <w:rStyle w:val="underline"/>
          <w:highlight w:val="cyan"/>
        </w:rPr>
        <w:t xml:space="preserve"> appears to favor interpreting "should" in an </w:t>
      </w:r>
      <w:r w:rsidRPr="005B7664">
        <w:rPr>
          <w:rStyle w:val="Emphasis"/>
          <w:highlight w:val="cyan"/>
        </w:rPr>
        <w:t>imperative, obligatory sense</w:t>
      </w:r>
      <w:r w:rsidRPr="00665267">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707DBD">
        <w:rPr>
          <w:rStyle w:val="underline"/>
        </w:rPr>
        <w:t xml:space="preserve">In the courts of other states </w:t>
      </w:r>
      <w:r w:rsidRPr="00665267">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707DBD">
        <w:rPr>
          <w:rStyle w:val="underline"/>
        </w:rPr>
        <w:t xml:space="preserve">the word "conveys a sense of duty and obligation </w:t>
      </w:r>
      <w:r w:rsidRPr="005B7664">
        <w:rPr>
          <w:rStyle w:val="underline"/>
          <w:highlight w:val="cyan"/>
        </w:rPr>
        <w:t xml:space="preserve">and </w:t>
      </w:r>
      <w:r w:rsidRPr="005B7664">
        <w:rPr>
          <w:rStyle w:val="Emphasis"/>
          <w:highlight w:val="cyan"/>
        </w:rPr>
        <w:t>could not be misunderstood</w:t>
      </w:r>
      <w:r w:rsidRPr="00707DBD">
        <w:rPr>
          <w:rStyle w:val="underline"/>
        </w:rPr>
        <w:t xml:space="preserve"> </w:t>
      </w:r>
      <w:r w:rsidRPr="00665267">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707DBD">
        <w:rPr>
          <w:rStyle w:val="underline"/>
        </w:rPr>
        <w:t>courts interpreting the word "should</w:t>
      </w:r>
      <w:r w:rsidRPr="00665267">
        <w:rPr>
          <w:sz w:val="16"/>
        </w:rPr>
        <w:t xml:space="preserve">" in other types of jury instructions  [**16] </w:t>
      </w:r>
      <w:r w:rsidRPr="00707DBD">
        <w:rPr>
          <w:rStyle w:val="underline"/>
        </w:rPr>
        <w:t>have</w:t>
      </w:r>
      <w:r w:rsidRPr="00665267">
        <w:rPr>
          <w:sz w:val="16"/>
        </w:rPr>
        <w:t xml:space="preserve"> also </w:t>
      </w:r>
      <w:r w:rsidRPr="00707DBD">
        <w:rPr>
          <w:rStyle w:val="underline"/>
        </w:rPr>
        <w:t>found that the word conveys</w:t>
      </w:r>
      <w:r w:rsidRPr="00665267">
        <w:rPr>
          <w:sz w:val="16"/>
        </w:rPr>
        <w:t xml:space="preserve"> to the jury </w:t>
      </w:r>
      <w:r w:rsidRPr="00707DBD">
        <w:rPr>
          <w:rStyle w:val="underline"/>
        </w:rPr>
        <w:t xml:space="preserve">a sense of duty or obligation and </w:t>
      </w:r>
      <w:r w:rsidRPr="00707DBD">
        <w:rPr>
          <w:rStyle w:val="Emphasis"/>
        </w:rPr>
        <w:t>not discretion</w:t>
      </w:r>
      <w:r w:rsidRPr="00665267">
        <w:rPr>
          <w:sz w:val="16"/>
        </w:rPr>
        <w:t xml:space="preserve">. In Little v. State, 261 Ark. 859, 554 S.W.2d 312, 324 (Ark. 1977), </w:t>
      </w:r>
      <w:r w:rsidRPr="00707DBD">
        <w:rPr>
          <w:rStyle w:val="underline"/>
        </w:rPr>
        <w:t>the Arkansas Supreme Court interpreted the word "</w:t>
      </w:r>
      <w:r w:rsidRPr="00707DBD">
        <w:rPr>
          <w:rStyle w:val="StyleUnderline"/>
        </w:rPr>
        <w:t>should"</w:t>
      </w:r>
      <w:r w:rsidRPr="00665267">
        <w:rPr>
          <w:sz w:val="16"/>
        </w:rPr>
        <w:t xml:space="preserve"> in an instruction on circumstantial evidence </w:t>
      </w:r>
      <w:r w:rsidRPr="00707DBD">
        <w:rPr>
          <w:rStyle w:val="underline"/>
        </w:rPr>
        <w:t xml:space="preserve">as </w:t>
      </w:r>
      <w:r w:rsidRPr="00707DBD">
        <w:rPr>
          <w:rStyle w:val="Emphasis"/>
        </w:rPr>
        <w:t>synonymous with the word "must"</w:t>
      </w:r>
      <w:r w:rsidRPr="00665267">
        <w:rPr>
          <w:sz w:val="16"/>
        </w:rPr>
        <w:t xml:space="preserve"> and rejected the defendant's argument that the jury may have been misled by the court's use of the word in the instruction. Similarly, </w:t>
      </w:r>
      <w:r w:rsidRPr="00707DBD">
        <w:rPr>
          <w:rStyle w:val="underline"/>
        </w:rPr>
        <w:t>the Missouri Supreme Court rejected a defendant's argument that the court erred by not using the word "</w:t>
      </w:r>
      <w:r w:rsidRPr="00707DBD">
        <w:rPr>
          <w:rStyle w:val="StyleUnderline"/>
        </w:rPr>
        <w:t>should" in</w:t>
      </w:r>
      <w:r w:rsidRPr="00707DBD">
        <w:rPr>
          <w:rStyle w:val="underline"/>
        </w:rPr>
        <w:t xml:space="preserve"> an instruction</w:t>
      </w:r>
      <w:r w:rsidRPr="00665267">
        <w:rPr>
          <w:sz w:val="16"/>
        </w:rPr>
        <w:t xml:space="preserve"> on witness credibility </w:t>
      </w:r>
      <w:r w:rsidRPr="00707DBD">
        <w:rPr>
          <w:rStyle w:val="underline"/>
        </w:rPr>
        <w:t xml:space="preserve">which used the word "must" because the two words have the </w:t>
      </w:r>
      <w:r w:rsidRPr="00707DBD">
        <w:rPr>
          <w:rStyle w:val="Emphasis"/>
        </w:rPr>
        <w:t>same meaning</w:t>
      </w:r>
      <w:r w:rsidRPr="00665267">
        <w:rPr>
          <w:sz w:val="16"/>
        </w:rPr>
        <w:t xml:space="preserve">. State v. Rack, 318 S.W.2d 211, 215 (Mo. 1958).   [*318]  In applying a child support statute, </w:t>
      </w:r>
      <w:r w:rsidRPr="00707DBD">
        <w:rPr>
          <w:rStyle w:val="underline"/>
        </w:rPr>
        <w:t>the Arizona Court</w:t>
      </w:r>
      <w:r w:rsidRPr="00665267">
        <w:rPr>
          <w:sz w:val="16"/>
        </w:rPr>
        <w:t xml:space="preserve"> of Appeals </w:t>
      </w:r>
      <w:r w:rsidRPr="00707DBD">
        <w:rPr>
          <w:rStyle w:val="underline"/>
        </w:rPr>
        <w:t xml:space="preserve">concluded </w:t>
      </w:r>
      <w:r w:rsidRPr="00707DBD">
        <w:rPr>
          <w:rStyle w:val="StyleUnderline"/>
        </w:rPr>
        <w:t>that a</w:t>
      </w:r>
      <w:r w:rsidRPr="00707DBD">
        <w:rPr>
          <w:rStyle w:val="underline"/>
        </w:rPr>
        <w:t xml:space="preserve"> </w:t>
      </w:r>
      <w:proofErr w:type="gramStart"/>
      <w:r w:rsidRPr="00707DBD">
        <w:rPr>
          <w:rStyle w:val="underline"/>
        </w:rPr>
        <w:t>legislature's</w:t>
      </w:r>
      <w:proofErr w:type="gramEnd"/>
      <w:r w:rsidRPr="00707DBD">
        <w:rPr>
          <w:rStyle w:val="underline"/>
        </w:rPr>
        <w:t xml:space="preserve"> or commission's use of the word "should" is meant to convey </w:t>
      </w:r>
      <w:r w:rsidRPr="00707DBD">
        <w:rPr>
          <w:rStyle w:val="Emphasis"/>
        </w:rPr>
        <w:t>duty</w:t>
      </w:r>
      <w:r w:rsidRPr="00707DBD">
        <w:rPr>
          <w:rStyle w:val="underline"/>
        </w:rPr>
        <w:t xml:space="preserve"> or </w:t>
      </w:r>
      <w:r w:rsidRPr="00707DBD">
        <w:rPr>
          <w:rStyle w:val="Emphasis"/>
        </w:rPr>
        <w:t>obligation</w:t>
      </w:r>
      <w:r w:rsidRPr="00665267">
        <w:rPr>
          <w:sz w:val="16"/>
        </w:rPr>
        <w:t xml:space="preserve">. </w:t>
      </w:r>
      <w:proofErr w:type="gramStart"/>
      <w:r w:rsidRPr="00665267">
        <w:rPr>
          <w:sz w:val="16"/>
        </w:rPr>
        <w:t>McNutt v. McNutt, 203 Ariz. 28, 49 P.3d 300, 306 (Ariz. Ct. App. 2002) (finding a statute stating that child support expenditures "should" be allocated for the purpose of parents' federal tax exemption to be mandatory).</w:t>
      </w:r>
      <w:proofErr w:type="gramEnd"/>
    </w:p>
    <w:p w14:paraId="174A5920" w14:textId="77777777" w:rsidR="00665267" w:rsidRPr="00707DBD" w:rsidRDefault="00665267" w:rsidP="00665267"/>
    <w:p w14:paraId="1A49D826" w14:textId="77777777" w:rsidR="00665267" w:rsidRPr="00707DBD" w:rsidRDefault="00665267" w:rsidP="00665267">
      <w:pPr>
        <w:pStyle w:val="Heading4"/>
        <w:rPr>
          <w:rFonts w:cs="Times New Roman"/>
        </w:rPr>
      </w:pPr>
      <w:r w:rsidRPr="00707DBD">
        <w:rPr>
          <w:rFonts w:cs="Times New Roman"/>
        </w:rPr>
        <w:t>Increase means to make something greater</w:t>
      </w:r>
    </w:p>
    <w:p w14:paraId="1DF5F423" w14:textId="77777777" w:rsidR="00665267" w:rsidRPr="00707DBD" w:rsidRDefault="00665267" w:rsidP="00665267">
      <w:pPr>
        <w:rPr>
          <w:rStyle w:val="Style13ptBold"/>
          <w:b w:val="0"/>
          <w:bCs/>
        </w:rPr>
      </w:pPr>
      <w:r w:rsidRPr="00707DBD">
        <w:rPr>
          <w:rStyle w:val="Style13ptBold"/>
        </w:rPr>
        <w:t xml:space="preserve">Cambridge Dictionary, No </w:t>
      </w:r>
      <w:proofErr w:type="gramStart"/>
      <w:r w:rsidRPr="00707DBD">
        <w:rPr>
          <w:rStyle w:val="Style13ptBold"/>
        </w:rPr>
        <w:t>Date</w:t>
      </w:r>
      <w:r w:rsidRPr="00707DBD">
        <w:t>(</w:t>
      </w:r>
      <w:proofErr w:type="gramEnd"/>
      <w:r w:rsidRPr="00707DBD">
        <w:t>“Definition of “increase” - English Dictionary,http://dictionary.cambridge.org/us/dictionary/english/increase)//SL</w:t>
      </w:r>
    </w:p>
    <w:p w14:paraId="7FA39D61" w14:textId="77777777" w:rsidR="00665267" w:rsidRPr="00707DBD" w:rsidRDefault="00665267" w:rsidP="00665267">
      <w:pPr>
        <w:rPr>
          <w:rStyle w:val="StyleUnderline"/>
        </w:rPr>
      </w:pPr>
      <w:r w:rsidRPr="005B7664">
        <w:rPr>
          <w:rStyle w:val="StyleUnderline"/>
          <w:highlight w:val="cyan"/>
        </w:rPr>
        <w:t>to become or make something larger or greater</w:t>
      </w:r>
      <w:r w:rsidRPr="00707DBD">
        <w:rPr>
          <w:rStyle w:val="StyleUnderline"/>
        </w:rPr>
        <w:t>:</w:t>
      </w:r>
    </w:p>
    <w:p w14:paraId="42D99B0F" w14:textId="77777777" w:rsidR="00665267" w:rsidRPr="00707DBD" w:rsidRDefault="00665267" w:rsidP="00665267">
      <w:proofErr w:type="gramStart"/>
      <w:r w:rsidRPr="00707DBD">
        <w:t>[ T</w:t>
      </w:r>
      <w:proofErr w:type="gramEnd"/>
      <w:r w:rsidRPr="00707DBD">
        <w:t xml:space="preserve"> ] They’ve increased the price of gas by two cents a gallon.</w:t>
      </w:r>
    </w:p>
    <w:p w14:paraId="311E5C00" w14:textId="77777777" w:rsidR="00665267" w:rsidRPr="00707DBD" w:rsidRDefault="00665267" w:rsidP="00665267">
      <w:proofErr w:type="gramStart"/>
      <w:r w:rsidRPr="00707DBD">
        <w:t>[ I</w:t>
      </w:r>
      <w:proofErr w:type="gramEnd"/>
      <w:r w:rsidRPr="00707DBD">
        <w:t xml:space="preserve"> ] Pressure is increasing to make health insurance more widely available.</w:t>
      </w:r>
    </w:p>
    <w:p w14:paraId="74BC45C3" w14:textId="77777777" w:rsidR="00665267" w:rsidRPr="00707DBD" w:rsidRDefault="00665267" w:rsidP="00665267"/>
    <w:p w14:paraId="75CD3AE7" w14:textId="5AAD8A38" w:rsidR="00665267" w:rsidRPr="00707DBD" w:rsidRDefault="00665267" w:rsidP="00665267">
      <w:pPr>
        <w:pStyle w:val="Heading4"/>
        <w:rPr>
          <w:rFonts w:cs="Times New Roman"/>
        </w:rPr>
      </w:pPr>
      <w:r w:rsidRPr="00707DBD">
        <w:rPr>
          <w:rFonts w:cs="Times New Roman"/>
        </w:rPr>
        <w:t>Violation –</w:t>
      </w:r>
      <w:r>
        <w:rPr>
          <w:rFonts w:cs="Times New Roman"/>
        </w:rPr>
        <w:t xml:space="preserve"> the affirmative is conditional, there is no guarantee that States take the money.</w:t>
      </w:r>
    </w:p>
    <w:p w14:paraId="5D59B3DD" w14:textId="77777777" w:rsidR="00665267" w:rsidRPr="00707DBD" w:rsidRDefault="00665267" w:rsidP="00665267"/>
    <w:p w14:paraId="5556208B" w14:textId="77777777" w:rsidR="00665267" w:rsidRPr="00707DBD" w:rsidRDefault="00665267" w:rsidP="00665267">
      <w:pPr>
        <w:pStyle w:val="Heading4"/>
        <w:rPr>
          <w:rFonts w:cs="Times New Roman"/>
        </w:rPr>
      </w:pPr>
      <w:r w:rsidRPr="00707DBD">
        <w:rPr>
          <w:rFonts w:cs="Times New Roman"/>
        </w:rPr>
        <w:lastRenderedPageBreak/>
        <w:t xml:space="preserve">Voting issue – to protect </w:t>
      </w:r>
      <w:r>
        <w:rPr>
          <w:rFonts w:cs="Times New Roman"/>
        </w:rPr>
        <w:t>ground---we shouldn’t have to concede ‘say yes’ to get a DA.  And, the aff can shift later in the debate to avoid core DAs like spending and politics</w:t>
      </w:r>
      <w:r w:rsidRPr="00707DBD">
        <w:rPr>
          <w:rFonts w:cs="Times New Roman"/>
        </w:rPr>
        <w:t xml:space="preserve"> </w:t>
      </w:r>
    </w:p>
    <w:p w14:paraId="16DF7CC7" w14:textId="77777777" w:rsidR="00665267" w:rsidRPr="00B214F9" w:rsidRDefault="00665267" w:rsidP="00B214F9"/>
    <w:p w14:paraId="0B03AB6F" w14:textId="77777777" w:rsidR="005F2367" w:rsidRDefault="005F2367" w:rsidP="00B214F9">
      <w:pPr>
        <w:pStyle w:val="Heading2"/>
      </w:pPr>
    </w:p>
    <w:p w14:paraId="5B1C7ABC" w14:textId="2DB81B7F" w:rsidR="00B214F9" w:rsidRDefault="005F2367" w:rsidP="00B214F9">
      <w:pPr>
        <w:pStyle w:val="Heading2"/>
      </w:pPr>
      <w:r>
        <w:lastRenderedPageBreak/>
        <w:t xml:space="preserve">* </w:t>
      </w:r>
      <w:r w:rsidR="00665267">
        <w:t>Increase =</w:t>
      </w:r>
      <w:r w:rsidR="00B214F9">
        <w:t xml:space="preserve"> Net</w:t>
      </w:r>
    </w:p>
    <w:p w14:paraId="6C9291C2" w14:textId="1099A370" w:rsidR="00665267" w:rsidRPr="00665267" w:rsidRDefault="00665267" w:rsidP="00665267">
      <w:pPr>
        <w:pStyle w:val="Heading3"/>
      </w:pPr>
      <w:r>
        <w:lastRenderedPageBreak/>
        <w:t>1nc – T Net Increase</w:t>
      </w:r>
    </w:p>
    <w:p w14:paraId="123C6917" w14:textId="77777777" w:rsidR="00B456E3" w:rsidRDefault="00B456E3" w:rsidP="00665267"/>
    <w:p w14:paraId="42CA2423" w14:textId="77777777" w:rsidR="00791D49" w:rsidRPr="001B775E" w:rsidRDefault="00791D49" w:rsidP="00791D49">
      <w:pPr>
        <w:pStyle w:val="Heading4"/>
      </w:pPr>
      <w:r>
        <w:t>“</w:t>
      </w:r>
      <w:r w:rsidRPr="001B775E">
        <w:t>Increase</w:t>
      </w:r>
      <w:r>
        <w:t>”</w:t>
      </w:r>
      <w:r w:rsidRPr="001B775E">
        <w:t xml:space="preserve"> requires evidence of the preexisting condition to determine a net increase</w:t>
      </w:r>
    </w:p>
    <w:p w14:paraId="5FD9200A" w14:textId="77777777" w:rsidR="00791D49" w:rsidRPr="00753778" w:rsidRDefault="00791D49" w:rsidP="00791D49">
      <w:r>
        <w:rPr>
          <w:b/>
        </w:rPr>
        <w:t>Ripple</w:t>
      </w:r>
      <w:r w:rsidRPr="001B775E">
        <w:rPr>
          <w:b/>
        </w:rPr>
        <w:t xml:space="preserve"> 87 </w:t>
      </w:r>
      <w:r w:rsidRPr="001B775E">
        <w:t xml:space="preserve">(Circuit Judge, </w:t>
      </w:r>
      <w:proofErr w:type="spellStart"/>
      <w:r w:rsidRPr="001B775E">
        <w:t>Emmlee</w:t>
      </w:r>
      <w:proofErr w:type="spellEnd"/>
      <w:r w:rsidRPr="001B775E">
        <w:t xml:space="preserve"> K. Cameron, Plaintiff-Appellant, v. Frances Slocum Bank &amp; Trust Company, State Automobile Insurance Association, and </w:t>
      </w:r>
      <w:proofErr w:type="spellStart"/>
      <w:r w:rsidRPr="001B775E">
        <w:t>Glassley</w:t>
      </w:r>
      <w:proofErr w:type="spellEnd"/>
      <w:r w:rsidRPr="001B775E">
        <w:t xml:space="preserve"> Agency of Whitley, Indiana, Defendants-Appellees, 824 F.2d 570; 1987 U.S. App. LEXIS 9816, 9/24, lexis)</w:t>
      </w:r>
    </w:p>
    <w:p w14:paraId="27AF0ADB" w14:textId="77777777" w:rsidR="00791D49" w:rsidRDefault="00791D49" w:rsidP="00791D49">
      <w:pPr>
        <w:rPr>
          <w:sz w:val="16"/>
        </w:rPr>
      </w:pPr>
      <w:r w:rsidRPr="00C45AC7">
        <w:rPr>
          <w:sz w:val="16"/>
        </w:rPr>
        <w:t xml:space="preserve">Also related to the waiver issue is appellees' defense relying on a provision of the insurance policy that suspends coverage where the risk is increased by any means within the knowledge or control of the insured. However, </w:t>
      </w:r>
      <w:r w:rsidRPr="005B7664">
        <w:rPr>
          <w:highlight w:val="cyan"/>
          <w:u w:val="single"/>
        </w:rPr>
        <w:t>the term "increase" connotes change. To show change, appellees would have been required to present evidence of the condition of the building at the time the policy was issued</w:t>
      </w:r>
      <w:r w:rsidRPr="00C45AC7">
        <w:rPr>
          <w:sz w:val="16"/>
        </w:rPr>
        <w:t xml:space="preserve">. See 5 J. Appleman &amp; J. Appleman, Insurance Law and Practice, § 2941 at 4-5 (1970). </w:t>
      </w:r>
      <w:r w:rsidRPr="001B775E">
        <w:rPr>
          <w:u w:val="single"/>
        </w:rPr>
        <w:t>Because no such evidence was presented, this court cannot determine</w:t>
      </w:r>
      <w:r w:rsidRPr="00C45AC7">
        <w:rPr>
          <w:sz w:val="16"/>
        </w:rPr>
        <w:t xml:space="preserve">, on this record, </w:t>
      </w:r>
      <w:r w:rsidRPr="001B775E">
        <w:rPr>
          <w:u w:val="single"/>
        </w:rPr>
        <w:t>whether the risk has, in fact, been increased.</w:t>
      </w:r>
      <w:r w:rsidRPr="00C45AC7">
        <w:rPr>
          <w:sz w:val="16"/>
        </w:rPr>
        <w:t xml:space="preserve"> Indeed, the answer to this question may depend on Mr. </w:t>
      </w:r>
      <w:proofErr w:type="spellStart"/>
      <w:r w:rsidRPr="00C45AC7">
        <w:rPr>
          <w:sz w:val="16"/>
        </w:rPr>
        <w:t>Glassley's</w:t>
      </w:r>
      <w:proofErr w:type="spellEnd"/>
      <w:r w:rsidRPr="00C45AC7">
        <w:rPr>
          <w:sz w:val="16"/>
        </w:rPr>
        <w:t xml:space="preserve"> knowledge of the condition of the building at the time the policy was issued, see 17 J. Appleman &amp; J. Appleman, Insurance Law and Practice, § 9602 at 515-16 (1981), since the fundamental issue is whether the appellees contemplated insuring the risk which incurred the loss.</w:t>
      </w:r>
    </w:p>
    <w:p w14:paraId="6A972097" w14:textId="77777777" w:rsidR="00791D49" w:rsidRDefault="00791D49" w:rsidP="00665267"/>
    <w:p w14:paraId="1A66FD6E" w14:textId="2BB91D48" w:rsidR="00B456E3" w:rsidRPr="005015BA" w:rsidRDefault="008D7AE1" w:rsidP="00B456E3">
      <w:pPr>
        <w:pStyle w:val="Heading4"/>
      </w:pPr>
      <w:r>
        <w:t>That means an overall increase in funding from Congress.</w:t>
      </w:r>
    </w:p>
    <w:p w14:paraId="7C151AAE" w14:textId="77777777" w:rsidR="00B456E3" w:rsidRPr="005015BA" w:rsidRDefault="00B456E3" w:rsidP="00B456E3">
      <w:r w:rsidRPr="005015BA">
        <w:t>Duncan 15 (Arne Duncan (</w:t>
      </w:r>
      <w:r w:rsidRPr="005015BA">
        <w:rPr>
          <w:rFonts w:ascii="Arial" w:hAnsi="Arial" w:cs="Arial"/>
          <w:color w:val="222222"/>
          <w:sz w:val="20"/>
          <w:szCs w:val="20"/>
          <w:shd w:val="clear" w:color="auto" w:fill="FFFFFF"/>
        </w:rPr>
        <w:t>United States Secretary of Education from 2009 through December 2015</w:t>
      </w:r>
      <w:r w:rsidRPr="005015BA">
        <w:t>), 10-9-2015, "An Overview of the U.S. Department of Education," No Publication, https://www2.ed.gov/about/overview/focus/what_pg3.html)</w:t>
      </w:r>
    </w:p>
    <w:p w14:paraId="50AD8E7B" w14:textId="77777777" w:rsidR="00B456E3" w:rsidRPr="005015BA" w:rsidRDefault="00B456E3" w:rsidP="00B456E3">
      <w:pPr>
        <w:rPr>
          <w:sz w:val="14"/>
        </w:rPr>
      </w:pPr>
      <w:r w:rsidRPr="005015BA">
        <w:rPr>
          <w:sz w:val="14"/>
        </w:rPr>
        <w:t>Like most federal activities</w:t>
      </w:r>
      <w:r w:rsidRPr="005015BA">
        <w:rPr>
          <w:b/>
          <w:u w:val="single"/>
        </w:rPr>
        <w:t>, Department of Education programs must first be authorized by Congress through legislation that is signed into law by the president</w:t>
      </w:r>
      <w:r w:rsidRPr="005015BA">
        <w:rPr>
          <w:sz w:val="14"/>
        </w:rPr>
        <w:t xml:space="preserve">. </w:t>
      </w:r>
      <w:r w:rsidRPr="005015BA">
        <w:rPr>
          <w:b/>
          <w:u w:val="single"/>
        </w:rPr>
        <w:t>The Department then develops regulations that determine exactly how a program will be operated</w:t>
      </w:r>
      <w:r w:rsidRPr="005015BA">
        <w:rPr>
          <w:sz w:val="14"/>
        </w:rPr>
        <w:t xml:space="preserve">. These regulations are published in the Federal Register for public comment and reviewed by Congress. Congress must also vote to appropriate the money that each program will receive annually. </w:t>
      </w:r>
      <w:r w:rsidRPr="005015BA">
        <w:rPr>
          <w:b/>
          <w:u w:val="single"/>
        </w:rPr>
        <w:t>The Department distributes financial aid to eligible applicants throughout the nation for early childhood, elementary, secondary</w:t>
      </w:r>
      <w:r w:rsidRPr="005015BA">
        <w:rPr>
          <w:sz w:val="14"/>
        </w:rPr>
        <w:t xml:space="preserve"> and postsecondary </w:t>
      </w:r>
      <w:r w:rsidRPr="005015BA">
        <w:rPr>
          <w:b/>
          <w:u w:val="single"/>
        </w:rPr>
        <w:t>education programs</w:t>
      </w:r>
      <w:r w:rsidRPr="005015BA">
        <w:rPr>
          <w:sz w:val="14"/>
        </w:rPr>
        <w:t xml:space="preserve">. Federal programs benefit all students, and special programs exist to serve individuals with disabilities, those who live in poverty, American Indians, immigrants and those with limited English proficiency. </w:t>
      </w:r>
      <w:r w:rsidRPr="005015BA">
        <w:rPr>
          <w:b/>
          <w:u w:val="single"/>
        </w:rPr>
        <w:t xml:space="preserve">Federal funds for education are distributed using three methods: a set formula, competition and financial need determination. </w:t>
      </w:r>
      <w:r w:rsidRPr="005015BA">
        <w:rPr>
          <w:sz w:val="14"/>
        </w:rPr>
        <w:t xml:space="preserve">By formula: </w:t>
      </w:r>
      <w:r w:rsidRPr="005015BA">
        <w:rPr>
          <w:b/>
          <w:u w:val="single"/>
        </w:rPr>
        <w:t>Some programs follow a formula prescribed in the bill approved by Congress authorizing a program. Such a program might be set up so that qualified agencies receive an amount of money that is determined by the number of students meeting certain criteria</w:t>
      </w:r>
      <w:r w:rsidRPr="005015BA">
        <w:rPr>
          <w:sz w:val="14"/>
        </w:rPr>
        <w:t xml:space="preserve"> in that state or school district. For example, under the Individuals with Disabilities Education Act, the Department allocates money to the states to help them provide a free, appropriate public education for children with disabilities based on the number of children reported by each state as having special developmental or educational needs. By competition: </w:t>
      </w:r>
      <w:r w:rsidRPr="005015BA">
        <w:rPr>
          <w:b/>
          <w:u w:val="single"/>
        </w:rPr>
        <w:t xml:space="preserve">Federal money also is awarded on the merit of competitive applications. Applicants are ranked in order of merit and the most qualified applications are awarded funds. </w:t>
      </w:r>
      <w:r w:rsidRPr="005015BA">
        <w:rPr>
          <w:sz w:val="14"/>
        </w:rPr>
        <w:t xml:space="preserve">Those eligible for such funding include state and local education agencies or school districts; education partnerships (programs jointly sponsored by education institutions and the private sector); colleges and universities; individual researchers; and community-based organizations such as nonprofit agencies. By financial need determination: </w:t>
      </w:r>
      <w:r w:rsidRPr="005015BA">
        <w:rPr>
          <w:b/>
          <w:u w:val="single"/>
        </w:rPr>
        <w:t>The third basis on which federal money is awarded is financial need</w:t>
      </w:r>
      <w:r w:rsidRPr="005015BA">
        <w:rPr>
          <w:sz w:val="14"/>
        </w:rPr>
        <w:t>. For example, postsecondary students applying for grants, loans and fellowships must prove family financial need according to established guidelines.</w:t>
      </w:r>
    </w:p>
    <w:p w14:paraId="32985E50" w14:textId="77777777" w:rsidR="00B456E3" w:rsidRPr="00707DBD" w:rsidRDefault="00B456E3" w:rsidP="00665267"/>
    <w:p w14:paraId="53F73DB4" w14:textId="77777777" w:rsidR="00665267" w:rsidRPr="00665267" w:rsidRDefault="00665267" w:rsidP="00665267"/>
    <w:p w14:paraId="45662E25" w14:textId="1EFBF745" w:rsidR="004E3F5A" w:rsidRPr="004E3F5A" w:rsidRDefault="00665267" w:rsidP="004E3F5A">
      <w:pPr>
        <w:pStyle w:val="Heading3"/>
      </w:pPr>
      <w:r>
        <w:lastRenderedPageBreak/>
        <w:t xml:space="preserve">Increase = Net </w:t>
      </w:r>
    </w:p>
    <w:p w14:paraId="2983D7C3" w14:textId="77777777" w:rsidR="00B214F9" w:rsidRPr="009B6470" w:rsidRDefault="00B214F9" w:rsidP="00B214F9">
      <w:pPr>
        <w:pStyle w:val="Heading4"/>
      </w:pPr>
      <w:r>
        <w:t>“</w:t>
      </w:r>
      <w:r w:rsidRPr="009B6470">
        <w:t>Increase</w:t>
      </w:r>
      <w:r>
        <w:t>”</w:t>
      </w:r>
      <w:r w:rsidRPr="009B6470">
        <w:t xml:space="preserve"> means a net increase</w:t>
      </w:r>
    </w:p>
    <w:p w14:paraId="41F91E65" w14:textId="77777777" w:rsidR="00B214F9" w:rsidRPr="009B6470" w:rsidRDefault="00B214F9" w:rsidP="00B214F9">
      <w:r w:rsidRPr="009B6470">
        <w:rPr>
          <w:rStyle w:val="Heading2Char2"/>
        </w:rPr>
        <w:t>Rogers 5</w:t>
      </w:r>
      <w:r w:rsidRPr="009B6470">
        <w:t xml:space="preserve"> (Judge</w:t>
      </w:r>
      <w:r>
        <w:t xml:space="preserve"> – New York</w:t>
      </w:r>
      <w:r w:rsidRPr="009B6470">
        <w:t>, et al., Petitioners v. U.S. Environmental Protection Agency, Respondent, NSR Manufacturers Roundtable, et al., Intervenors, 2005 U.S. App. LEXIS 12378, **; 60 ERC (BNA) 1791, 6/24, Lexis)</w:t>
      </w:r>
    </w:p>
    <w:p w14:paraId="0D0FD845" w14:textId="77777777" w:rsidR="00B214F9" w:rsidRDefault="00B214F9" w:rsidP="00B214F9">
      <w:pPr>
        <w:rPr>
          <w:sz w:val="16"/>
        </w:rPr>
      </w:pPr>
      <w:r w:rsidRPr="00C45AC7">
        <w:rPr>
          <w:sz w:val="16"/>
        </w:rPr>
        <w:t xml:space="preserve">[**48]  Statutory Interpretation. </w:t>
      </w:r>
      <w:hyperlink r:id="rId8" w:anchor="clscc16" w:history="1">
        <w:r w:rsidRPr="00C45AC7">
          <w:rPr>
            <w:sz w:val="16"/>
          </w:rPr>
          <w:t>HN16</w:t>
        </w:r>
      </w:hyperlink>
      <w:r w:rsidRPr="00C45AC7">
        <w:rPr>
          <w:sz w:val="16"/>
        </w:rPr>
        <w:t xml:space="preserve">While the CAA defines a "modification" as any physical or operational change that "increases" emissions, it is silent on how to calculate such "increases" in emissions. </w:t>
      </w:r>
      <w:hyperlink r:id="rId9" w:history="1">
        <w:r w:rsidRPr="00C45AC7">
          <w:rPr>
            <w:sz w:val="16"/>
          </w:rPr>
          <w:t>42 U.S.C. § 7411(a)(4)</w:t>
        </w:r>
      </w:hyperlink>
      <w:r w:rsidRPr="00C45AC7">
        <w:rPr>
          <w:sz w:val="16"/>
        </w:rPr>
        <w:t xml:space="preserve">. According to government petitioners, the lack of a statutory definition does not render the term "increases" ambiguous, but merely compels the court to give the term its "ordinary meaning." See </w:t>
      </w:r>
      <w:hyperlink r:id="rId10" w:history="1">
        <w:r w:rsidRPr="00C45AC7">
          <w:rPr>
            <w:sz w:val="16"/>
          </w:rPr>
          <w:t xml:space="preserve">Engine </w:t>
        </w:r>
        <w:proofErr w:type="spellStart"/>
        <w:r w:rsidRPr="00C45AC7">
          <w:rPr>
            <w:sz w:val="16"/>
          </w:rPr>
          <w:t>Mfrs.Ass'nv.S.Coast</w:t>
        </w:r>
        <w:proofErr w:type="spellEnd"/>
        <w:r w:rsidRPr="00C45AC7">
          <w:rPr>
            <w:sz w:val="16"/>
          </w:rPr>
          <w:t xml:space="preserve"> </w:t>
        </w:r>
        <w:proofErr w:type="spellStart"/>
        <w:r w:rsidRPr="00C45AC7">
          <w:rPr>
            <w:sz w:val="16"/>
          </w:rPr>
          <w:t>AirQualityMgmt.Dist</w:t>
        </w:r>
        <w:proofErr w:type="spellEnd"/>
        <w:r w:rsidRPr="00C45AC7">
          <w:rPr>
            <w:sz w:val="16"/>
          </w:rPr>
          <w:t>., 541 U.S. 246, 124 S. Ct. 1756, 1761, 158 L. Ed. 2d 529(2004)</w:t>
        </w:r>
      </w:hyperlink>
      <w:r w:rsidRPr="00C45AC7">
        <w:rPr>
          <w:sz w:val="16"/>
        </w:rPr>
        <w:t xml:space="preserve">; </w:t>
      </w:r>
      <w:hyperlink r:id="rId11" w:history="1">
        <w:r w:rsidRPr="00C45AC7">
          <w:rPr>
            <w:sz w:val="16"/>
          </w:rPr>
          <w:t>Bluewater Network, 370 F.3d at 13</w:t>
        </w:r>
      </w:hyperlink>
      <w:r w:rsidRPr="00C45AC7">
        <w:rPr>
          <w:sz w:val="16"/>
        </w:rPr>
        <w:t xml:space="preserve">; </w:t>
      </w:r>
      <w:hyperlink r:id="rId12" w:history="1">
        <w:r w:rsidRPr="00C45AC7">
          <w:rPr>
            <w:sz w:val="16"/>
          </w:rPr>
          <w:t xml:space="preserve">Am. </w:t>
        </w:r>
        <w:proofErr w:type="spellStart"/>
        <w:r w:rsidRPr="00C45AC7">
          <w:rPr>
            <w:sz w:val="16"/>
          </w:rPr>
          <w:t>Fed'n</w:t>
        </w:r>
        <w:proofErr w:type="spellEnd"/>
        <w:r w:rsidRPr="00C45AC7">
          <w:rPr>
            <w:sz w:val="16"/>
          </w:rPr>
          <w:t xml:space="preserve"> of Gov't Employees v. Glickman, 342 U.S. App. D.C. 7, 215 F.3d 7, 10 [*23]  (D.C. Cir. 2000)</w:t>
        </w:r>
      </w:hyperlink>
      <w:r w:rsidRPr="00C45AC7">
        <w:rPr>
          <w:sz w:val="16"/>
        </w:rPr>
        <w:t xml:space="preserve">. Relying on two "real world" analogies, government petitioners contend that </w:t>
      </w:r>
      <w:r w:rsidRPr="005B7664">
        <w:rPr>
          <w:rStyle w:val="TitleChar"/>
          <w:highlight w:val="cyan"/>
        </w:rPr>
        <w:t>the ordinary meaning of "increases" requires the baseline to be calculated from a period immediately preceding the change</w:t>
      </w:r>
      <w:r w:rsidRPr="00C45AC7">
        <w:rPr>
          <w:sz w:val="16"/>
        </w:rPr>
        <w:t>. They maintain, for example, that in determining whether a high-pressure weather system "increases" the local temperature, the relevant baseline is the temperature immediately preceding the arrival of the weather system, not the temperature five or ten years ago. Similarly,  [**49</w:t>
      </w:r>
      <w:proofErr w:type="gramStart"/>
      <w:r w:rsidRPr="00C45AC7">
        <w:rPr>
          <w:sz w:val="16"/>
        </w:rPr>
        <w:t>]  in</w:t>
      </w:r>
      <w:proofErr w:type="gramEnd"/>
      <w:r w:rsidRPr="00C45AC7">
        <w:rPr>
          <w:sz w:val="16"/>
        </w:rPr>
        <w:t xml:space="preserve"> determining whether a new engine "increases" the value of a car, the relevant baseline is the value of the car immediately preceding the replacement of the engine, not the value of the car five or ten years ago when the engine was in perfect condition.</w:t>
      </w:r>
    </w:p>
    <w:p w14:paraId="33E87ECC" w14:textId="77777777" w:rsidR="00B214F9" w:rsidRPr="00A16892" w:rsidRDefault="00B214F9" w:rsidP="00B214F9">
      <w:pPr>
        <w:rPr>
          <w:sz w:val="16"/>
        </w:rPr>
      </w:pPr>
    </w:p>
    <w:p w14:paraId="795526A2" w14:textId="77777777" w:rsidR="00B214F9" w:rsidRPr="001B775E" w:rsidRDefault="00B214F9" w:rsidP="00B214F9">
      <w:pPr>
        <w:pStyle w:val="Heading4"/>
      </w:pPr>
      <w:r>
        <w:t>“</w:t>
      </w:r>
      <w:r w:rsidRPr="001B775E">
        <w:t>Increase</w:t>
      </w:r>
      <w:r>
        <w:t>”</w:t>
      </w:r>
      <w:r w:rsidRPr="001B775E">
        <w:t xml:space="preserve"> means net increase</w:t>
      </w:r>
    </w:p>
    <w:p w14:paraId="52B7FC7A" w14:textId="77777777" w:rsidR="00B214F9" w:rsidRPr="001B775E" w:rsidRDefault="00B214F9" w:rsidP="00B214F9">
      <w:pPr>
        <w:rPr>
          <w:rFonts w:ascii="Garamond" w:hAnsi="Garamond"/>
          <w:b/>
          <w:bCs/>
          <w:color w:val="0D0D0D"/>
        </w:rPr>
      </w:pPr>
      <w:r w:rsidRPr="00A16892">
        <w:rPr>
          <w:rStyle w:val="Style13ptBold"/>
        </w:rPr>
        <w:t>Words and Phrases 8</w:t>
      </w:r>
      <w:r w:rsidRPr="001B775E">
        <w:rPr>
          <w:rFonts w:ascii="Garamond" w:hAnsi="Garamond"/>
          <w:b/>
          <w:bCs/>
          <w:color w:val="0D0D0D"/>
        </w:rPr>
        <w:t xml:space="preserve"> </w:t>
      </w:r>
      <w:r w:rsidRPr="0048008E">
        <w:t>(v. 20a, p. 264-265)</w:t>
      </w:r>
    </w:p>
    <w:p w14:paraId="775DB640" w14:textId="77777777" w:rsidR="00B214F9" w:rsidRDefault="00B214F9" w:rsidP="00B214F9">
      <w:pPr>
        <w:rPr>
          <w:sz w:val="16"/>
        </w:rPr>
      </w:pPr>
      <w:r w:rsidRPr="00C45AC7">
        <w:rPr>
          <w:sz w:val="16"/>
        </w:rPr>
        <w:t xml:space="preserve">Cal.App.2 Dist. 1991.  </w:t>
      </w:r>
      <w:r w:rsidRPr="005B7664">
        <w:rPr>
          <w:highlight w:val="cyan"/>
          <w:u w:val="single"/>
        </w:rPr>
        <w:t>Term “increase</w:t>
      </w:r>
      <w:r w:rsidRPr="00C45AC7">
        <w:rPr>
          <w:sz w:val="16"/>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5B7664">
        <w:rPr>
          <w:highlight w:val="cyan"/>
          <w:u w:val="single"/>
        </w:rPr>
        <w:t>refers to “net increase</w:t>
      </w:r>
      <w:r w:rsidRPr="001B775E">
        <w:rPr>
          <w:u w:val="single"/>
        </w:rPr>
        <w:t>” in power plant’s total generating capacity</w:t>
      </w:r>
      <w:r w:rsidRPr="00C45AC7">
        <w:rPr>
          <w:sz w:val="16"/>
        </w:rPr>
        <w:t xml:space="preserve">; in deciding whether there has been the requisite 50-megawatt increase as a result of new units being incorporated into a plant, </w:t>
      </w:r>
      <w:r w:rsidRPr="001B775E">
        <w:rPr>
          <w:u w:val="single"/>
        </w:rPr>
        <w:t>Energy Commission cannot ignore decreases in capacity caused by retirement or deactivation of other units at plant</w:t>
      </w:r>
      <w:r w:rsidRPr="00C45AC7">
        <w:rPr>
          <w:sz w:val="16"/>
        </w:rPr>
        <w:t xml:space="preserve">.  </w:t>
      </w:r>
      <w:proofErr w:type="gramStart"/>
      <w:r w:rsidRPr="00C45AC7">
        <w:rPr>
          <w:sz w:val="16"/>
        </w:rPr>
        <w:t xml:space="preserve">West’s </w:t>
      </w:r>
      <w:proofErr w:type="spellStart"/>
      <w:r w:rsidRPr="00C45AC7">
        <w:rPr>
          <w:sz w:val="16"/>
        </w:rPr>
        <w:t>Ann.Cal.Pub.Res.Code</w:t>
      </w:r>
      <w:proofErr w:type="spellEnd"/>
      <w:r w:rsidRPr="00C45AC7">
        <w:rPr>
          <w:sz w:val="16"/>
        </w:rPr>
        <w:t xml:space="preserve"> § 25123.</w:t>
      </w:r>
      <w:proofErr w:type="gramEnd"/>
    </w:p>
    <w:p w14:paraId="61259E99" w14:textId="77777777" w:rsidR="00B214F9" w:rsidRPr="00A16892" w:rsidRDefault="00B214F9" w:rsidP="00B214F9">
      <w:pPr>
        <w:rPr>
          <w:sz w:val="16"/>
        </w:rPr>
      </w:pPr>
    </w:p>
    <w:p w14:paraId="3ED61893" w14:textId="77777777" w:rsidR="00665267" w:rsidRDefault="00665267" w:rsidP="00B214F9">
      <w:pPr>
        <w:rPr>
          <w:sz w:val="16"/>
        </w:rPr>
      </w:pPr>
    </w:p>
    <w:p w14:paraId="4207A09C" w14:textId="54DCE53B" w:rsidR="00791D49" w:rsidRDefault="005F2367" w:rsidP="00665267">
      <w:pPr>
        <w:pStyle w:val="Heading3"/>
      </w:pPr>
      <w:r>
        <w:lastRenderedPageBreak/>
        <w:t>Violation</w:t>
      </w:r>
      <w:r>
        <w:t xml:space="preserve"> </w:t>
      </w:r>
      <w:r w:rsidR="00791D49">
        <w:t xml:space="preserve">– Efficiency/Regulation </w:t>
      </w:r>
    </w:p>
    <w:p w14:paraId="0329913C" w14:textId="77777777" w:rsidR="00791D49" w:rsidRPr="00707DBD" w:rsidRDefault="00791D49" w:rsidP="00791D49">
      <w:pPr>
        <w:pStyle w:val="Heading4"/>
        <w:rPr>
          <w:rFonts w:cs="Times New Roman"/>
        </w:rPr>
      </w:pPr>
      <w:r>
        <w:rPr>
          <w:rFonts w:cs="Times New Roman"/>
        </w:rPr>
        <w:t xml:space="preserve">Funding requires a net-increase---that’s distinct from reducing oversight, streamlining </w:t>
      </w:r>
      <w:proofErr w:type="spellStart"/>
      <w:r>
        <w:rPr>
          <w:rFonts w:cs="Times New Roman"/>
        </w:rPr>
        <w:t>regs</w:t>
      </w:r>
      <w:proofErr w:type="spellEnd"/>
      <w:r>
        <w:rPr>
          <w:rFonts w:cs="Times New Roman"/>
        </w:rPr>
        <w:t>, or devolution</w:t>
      </w:r>
    </w:p>
    <w:p w14:paraId="6CB55EA5" w14:textId="77777777" w:rsidR="00791D49" w:rsidRPr="00707DBD" w:rsidRDefault="00791D49" w:rsidP="00791D49">
      <w:r w:rsidRPr="00707DBD">
        <w:rPr>
          <w:rStyle w:val="Style13ptBold"/>
        </w:rPr>
        <w:t xml:space="preserve">Lips and Watkins 08 </w:t>
      </w:r>
      <w:r w:rsidRPr="00707DBD">
        <w:t xml:space="preserve">(Dan and </w:t>
      </w:r>
      <w:proofErr w:type="spellStart"/>
      <w:r w:rsidRPr="00707DBD">
        <w:t>Shanea</w:t>
      </w:r>
      <w:proofErr w:type="spellEnd"/>
      <w:r w:rsidRPr="00707DBD">
        <w:t>, *senior policy analyst at the Heritage Foundation and **Policy Analyst in Empirical Studies at the Heritage Foundation, “Does Spending More on Education Improve Academic Achievement?”, http://www.heritage.org/education/report/does-spending-more-education-improve-academic-achievement, 9/8/2008, NRG)</w:t>
      </w:r>
    </w:p>
    <w:p w14:paraId="04FCD476" w14:textId="77777777" w:rsidR="00791D49" w:rsidRDefault="00791D49" w:rsidP="00791D49">
      <w:r w:rsidRPr="00707DBD">
        <w:t xml:space="preserve">What </w:t>
      </w:r>
      <w:r w:rsidRPr="005B7664">
        <w:rPr>
          <w:rStyle w:val="StyleUnderline"/>
          <w:highlight w:val="cyan"/>
        </w:rPr>
        <w:t>Federal and State Policymakers</w:t>
      </w:r>
      <w:r w:rsidRPr="00707DBD">
        <w:t xml:space="preserve"> Should Do </w:t>
      </w:r>
      <w:r w:rsidRPr="00707DBD">
        <w:rPr>
          <w:rStyle w:val="StyleUnderline"/>
        </w:rPr>
        <w:t>Federal and state policymakers</w:t>
      </w:r>
      <w:r w:rsidRPr="00707DBD">
        <w:t xml:space="preserve"> should resist proposals to </w:t>
      </w:r>
      <w:r w:rsidRPr="005B7664">
        <w:rPr>
          <w:rStyle w:val="Emphasis"/>
          <w:highlight w:val="cyan"/>
        </w:rPr>
        <w:t>increase funding for public education</w:t>
      </w:r>
      <w:r w:rsidRPr="00707DBD">
        <w:rPr>
          <w:rStyle w:val="Emphasis"/>
        </w:rPr>
        <w:t>.</w:t>
      </w:r>
      <w:r w:rsidRPr="00707DBD">
        <w:t xml:space="preserve"> Historical trends and other evidence suggest that simply increasing funding </w:t>
      </w:r>
      <w:r w:rsidRPr="005B7664">
        <w:rPr>
          <w:rStyle w:val="StyleUnderline"/>
          <w:highlight w:val="cyan"/>
        </w:rPr>
        <w:t>for public elementary and secondary Education</w:t>
      </w:r>
      <w:r w:rsidRPr="00707DBD">
        <w:t xml:space="preserve"> has not led to corresponding improvement in academic achievement. </w:t>
      </w:r>
      <w:r w:rsidRPr="005B7664">
        <w:rPr>
          <w:rStyle w:val="Emphasis"/>
          <w:highlight w:val="cyan"/>
        </w:rPr>
        <w:t>Instead of simply increasing funding</w:t>
      </w:r>
      <w:r w:rsidRPr="005B7664">
        <w:rPr>
          <w:rStyle w:val="StyleUnderline"/>
          <w:highlight w:val="cyan"/>
        </w:rPr>
        <w:t xml:space="preserve"> for Education</w:t>
      </w:r>
      <w:r w:rsidRPr="00707DBD">
        <w:rPr>
          <w:rStyle w:val="StyleUnderline"/>
        </w:rPr>
        <w:t xml:space="preserve">, </w:t>
      </w:r>
      <w:r w:rsidRPr="005B7664">
        <w:rPr>
          <w:rStyle w:val="StyleUnderline"/>
          <w:highlight w:val="cyan"/>
        </w:rPr>
        <w:t>policymakers and school leaders should implement education reforms that improve resource allocation</w:t>
      </w:r>
      <w:r w:rsidRPr="00707DBD">
        <w:rPr>
          <w:rStyle w:val="StyleUnderline"/>
        </w:rPr>
        <w:t xml:space="preserve">. </w:t>
      </w:r>
      <w:r w:rsidRPr="00707DBD">
        <w:t xml:space="preserve">Members of Congress and federal policymakers should embrace </w:t>
      </w:r>
      <w:r w:rsidRPr="005B7664">
        <w:rPr>
          <w:rStyle w:val="StyleUnderline"/>
          <w:highlight w:val="cyan"/>
        </w:rPr>
        <w:t>reform</w:t>
      </w:r>
      <w:r w:rsidRPr="00707DBD">
        <w:rPr>
          <w:rStyle w:val="StyleUnderline"/>
        </w:rPr>
        <w:t>s</w:t>
      </w:r>
      <w:r w:rsidRPr="00707DBD">
        <w:t xml:space="preserve"> that </w:t>
      </w:r>
      <w:r w:rsidRPr="005B7664">
        <w:rPr>
          <w:rStyle w:val="Emphasis"/>
          <w:highlight w:val="cyan"/>
        </w:rPr>
        <w:t>reduce bureaucracy, streamline regulations, and transfer greater authority over funding to the state and local levels</w:t>
      </w:r>
      <w:r w:rsidRPr="00707DBD">
        <w:rPr>
          <w:rStyle w:val="Emphasis"/>
        </w:rPr>
        <w:t>.</w:t>
      </w:r>
      <w:r w:rsidRPr="00707DBD">
        <w:t xml:space="preserve"> </w:t>
      </w:r>
    </w:p>
    <w:p w14:paraId="315E2120" w14:textId="77777777" w:rsidR="00791D49" w:rsidRPr="00791D49" w:rsidRDefault="00791D49" w:rsidP="00791D49"/>
    <w:p w14:paraId="3E079242" w14:textId="0C727B97" w:rsidR="00791D49" w:rsidRDefault="00791D49" w:rsidP="00665267">
      <w:pPr>
        <w:pStyle w:val="Heading3"/>
      </w:pPr>
      <w:r>
        <w:lastRenderedPageBreak/>
        <w:t>Violation</w:t>
      </w:r>
      <w:r w:rsidR="005F2367">
        <w:t xml:space="preserve"> – Reallocation </w:t>
      </w:r>
    </w:p>
    <w:p w14:paraId="3432B026" w14:textId="77777777" w:rsidR="00791D49" w:rsidRDefault="00791D49" w:rsidP="00791D49">
      <w:pPr>
        <w:pStyle w:val="Heading4"/>
      </w:pPr>
      <w:r>
        <w:t>Reallocating funds is not a substantial increase</w:t>
      </w:r>
    </w:p>
    <w:p w14:paraId="179C6EC2" w14:textId="77777777" w:rsidR="00791D49" w:rsidRDefault="00791D49" w:rsidP="00791D49">
      <w:proofErr w:type="spellStart"/>
      <w:r>
        <w:rPr>
          <w:b/>
        </w:rPr>
        <w:t>Karem</w:t>
      </w:r>
      <w:proofErr w:type="spellEnd"/>
      <w:r>
        <w:rPr>
          <w:b/>
        </w:rPr>
        <w:t xml:space="preserve">, 17 </w:t>
      </w:r>
      <w:r>
        <w:t xml:space="preserve">- David K. </w:t>
      </w:r>
      <w:proofErr w:type="spellStart"/>
      <w:r>
        <w:t>Karem</w:t>
      </w:r>
      <w:proofErr w:type="spellEnd"/>
      <w:r>
        <w:t xml:space="preserve"> served in the Kentucky General Assembly from 1972-2005, on the State Board of Education from 2009-2016, and on the Southern Regional Education Board (“Rose decision defines Ky. education goals” Courier-Journal, 4/5, </w:t>
      </w:r>
      <w:hyperlink r:id="rId13" w:history="1">
        <w:r w:rsidRPr="000E0A33">
          <w:rPr>
            <w:rStyle w:val="Hyperlink"/>
          </w:rPr>
          <w:t>http://www.courier-journal.com/story/opinion/contributors/2017/02/16/rose-decision-defines-ky-education-goals/98012914/</w:t>
        </w:r>
      </w:hyperlink>
    </w:p>
    <w:p w14:paraId="6751D0DB" w14:textId="77777777" w:rsidR="00791D49" w:rsidRPr="00F740E7" w:rsidRDefault="00791D49" w:rsidP="00791D49"/>
    <w:p w14:paraId="48C64D3B" w14:textId="77777777" w:rsidR="00791D49" w:rsidRDefault="00791D49" w:rsidP="00791D49">
      <w:r w:rsidRPr="005B7664">
        <w:rPr>
          <w:rStyle w:val="StyleUnderline"/>
          <w:highlight w:val="cyan"/>
        </w:rPr>
        <w:t>The Court said the goal of a new system is to ensure its students become “sufficient” in</w:t>
      </w:r>
      <w:r>
        <w:t xml:space="preserve"> these </w:t>
      </w:r>
      <w:r w:rsidRPr="005B7664">
        <w:rPr>
          <w:rStyle w:val="StyleUnderline"/>
          <w:highlight w:val="cyan"/>
        </w:rPr>
        <w:t>seven capacities:</w:t>
      </w:r>
    </w:p>
    <w:p w14:paraId="7A8DAAF2" w14:textId="77777777" w:rsidR="00791D49" w:rsidRDefault="00791D49" w:rsidP="00791D49">
      <w:pPr>
        <w:pStyle w:val="ListParagraph"/>
        <w:numPr>
          <w:ilvl w:val="0"/>
          <w:numId w:val="15"/>
        </w:numPr>
      </w:pPr>
      <w:r>
        <w:t>Oral and written communication skills to enable students to function in a complex and rapidly changing civilization;</w:t>
      </w:r>
    </w:p>
    <w:p w14:paraId="27E3EFF0" w14:textId="77777777" w:rsidR="00791D49" w:rsidRDefault="00791D49" w:rsidP="00791D49">
      <w:pPr>
        <w:pStyle w:val="ListParagraph"/>
        <w:numPr>
          <w:ilvl w:val="0"/>
          <w:numId w:val="15"/>
        </w:numPr>
      </w:pPr>
      <w:r>
        <w:t>Knowledge of economic, social and political systems to enable them to make informed choices;</w:t>
      </w:r>
    </w:p>
    <w:p w14:paraId="6E78A4EC" w14:textId="77777777" w:rsidR="00791D49" w:rsidRDefault="00791D49" w:rsidP="00791D49">
      <w:pPr>
        <w:pStyle w:val="ListParagraph"/>
        <w:numPr>
          <w:ilvl w:val="0"/>
          <w:numId w:val="15"/>
        </w:numPr>
      </w:pPr>
      <w:r>
        <w:t>Understanding of governmental processes to enable the student to understand the issues that affect his or her community, state and nation;</w:t>
      </w:r>
    </w:p>
    <w:p w14:paraId="255BF0AA" w14:textId="77777777" w:rsidR="00791D49" w:rsidRDefault="00791D49" w:rsidP="00791D49">
      <w:pPr>
        <w:pStyle w:val="ListParagraph"/>
        <w:numPr>
          <w:ilvl w:val="0"/>
          <w:numId w:val="15"/>
        </w:numPr>
      </w:pPr>
      <w:r>
        <w:t>Self-knowledge and knowledge of his or her mental and physical wellness;</w:t>
      </w:r>
    </w:p>
    <w:p w14:paraId="532C7835" w14:textId="77777777" w:rsidR="00791D49" w:rsidRDefault="00791D49" w:rsidP="00791D49">
      <w:pPr>
        <w:pStyle w:val="ListParagraph"/>
        <w:numPr>
          <w:ilvl w:val="0"/>
          <w:numId w:val="15"/>
        </w:numPr>
      </w:pPr>
      <w:r>
        <w:t>Grounding in the arts to enable each student to appreciate his or her cultural and historical heritage;</w:t>
      </w:r>
    </w:p>
    <w:p w14:paraId="6C0C69E9" w14:textId="77777777" w:rsidR="00791D49" w:rsidRDefault="00791D49" w:rsidP="00791D49">
      <w:pPr>
        <w:pStyle w:val="ListParagraph"/>
        <w:numPr>
          <w:ilvl w:val="0"/>
          <w:numId w:val="15"/>
        </w:numPr>
      </w:pPr>
      <w:r>
        <w:t>Training or preparation for advanced training in either academic or vocational fields so as to enable each child to choose and pursue life work intelligently; and,</w:t>
      </w:r>
    </w:p>
    <w:p w14:paraId="3347F59F" w14:textId="77777777" w:rsidR="00791D49" w:rsidRDefault="00791D49" w:rsidP="00791D49">
      <w:pPr>
        <w:pStyle w:val="ListParagraph"/>
        <w:numPr>
          <w:ilvl w:val="0"/>
          <w:numId w:val="15"/>
        </w:numPr>
      </w:pPr>
      <w:r>
        <w:t>Academic or vocational skills to enable public school students to compete favorably with their counterparts in surrounding states, in academics or in the job market.</w:t>
      </w:r>
    </w:p>
    <w:p w14:paraId="6AA6B6D7" w14:textId="77777777" w:rsidR="00791D49" w:rsidRDefault="00791D49" w:rsidP="00791D49">
      <w:r>
        <w:t>To help the General Assembly create this new organization, the Court listed the characteristics of an efficient system of schools:</w:t>
      </w:r>
    </w:p>
    <w:p w14:paraId="18C14D65" w14:textId="77777777" w:rsidR="00791D49" w:rsidRDefault="00791D49" w:rsidP="00791D49">
      <w:pPr>
        <w:pStyle w:val="ListParagraph"/>
        <w:numPr>
          <w:ilvl w:val="0"/>
          <w:numId w:val="16"/>
        </w:numPr>
      </w:pPr>
      <w:r>
        <w:t>The establishment, maintenance and funding of common schools in Kentucky is the sole responsibility of the General Assembly.</w:t>
      </w:r>
    </w:p>
    <w:p w14:paraId="4AC2D5C3" w14:textId="77777777" w:rsidR="00791D49" w:rsidRDefault="00791D49" w:rsidP="00791D49">
      <w:pPr>
        <w:pStyle w:val="ListParagraph"/>
        <w:numPr>
          <w:ilvl w:val="0"/>
          <w:numId w:val="16"/>
        </w:numPr>
      </w:pPr>
      <w:r>
        <w:t>Common schools shall be free to all, available to all Kentucky children, substantially uniform throughout the state, provide equal opportunities to all Kentucky children, regardless of place of residence or economic circumstances, monitored by the General Assembly...</w:t>
      </w:r>
    </w:p>
    <w:p w14:paraId="2F8F6AEA" w14:textId="77777777" w:rsidR="00791D49" w:rsidRDefault="00791D49" w:rsidP="00791D49">
      <w:pPr>
        <w:pStyle w:val="ListParagraph"/>
        <w:numPr>
          <w:ilvl w:val="0"/>
          <w:numId w:val="16"/>
        </w:numPr>
      </w:pPr>
      <w:r w:rsidRPr="005B7664">
        <w:rPr>
          <w:rStyle w:val="StyleUnderline"/>
          <w:highlight w:val="cyan"/>
        </w:rPr>
        <w:t>The premise</w:t>
      </w:r>
      <w:r>
        <w:t xml:space="preserve"> for the existence of common schools </w:t>
      </w:r>
      <w:r w:rsidRPr="005B7664">
        <w:rPr>
          <w:rStyle w:val="StyleUnderline"/>
          <w:highlight w:val="cyan"/>
        </w:rPr>
        <w:t>is that all children</w:t>
      </w:r>
      <w:r>
        <w:t xml:space="preserve"> in Kentucky </w:t>
      </w:r>
      <w:r w:rsidRPr="005B7664">
        <w:rPr>
          <w:rStyle w:val="StyleUnderline"/>
          <w:highlight w:val="cyan"/>
        </w:rPr>
        <w:t>have a</w:t>
      </w:r>
      <w:r>
        <w:t xml:space="preserve"> constitutional </w:t>
      </w:r>
      <w:r w:rsidRPr="005B7664">
        <w:rPr>
          <w:rStyle w:val="StyleUnderline"/>
          <w:highlight w:val="cyan"/>
        </w:rPr>
        <w:t xml:space="preserve">right to an </w:t>
      </w:r>
      <w:r w:rsidRPr="005B7664">
        <w:rPr>
          <w:rStyle w:val="Emphasis"/>
          <w:highlight w:val="cyan"/>
        </w:rPr>
        <w:t>adequate</w:t>
      </w:r>
      <w:r w:rsidRPr="005B7664">
        <w:rPr>
          <w:rStyle w:val="StyleUnderline"/>
          <w:highlight w:val="cyan"/>
        </w:rPr>
        <w:t xml:space="preserve"> education</w:t>
      </w:r>
      <w:r>
        <w:t>.</w:t>
      </w:r>
    </w:p>
    <w:p w14:paraId="2C055B04" w14:textId="77777777" w:rsidR="00791D49" w:rsidRDefault="00791D49" w:rsidP="00791D49">
      <w:pPr>
        <w:pStyle w:val="ListParagraph"/>
        <w:numPr>
          <w:ilvl w:val="0"/>
          <w:numId w:val="16"/>
        </w:numPr>
      </w:pPr>
      <w:r>
        <w:t>The General Assembly shall provide funding which is sufficient to provide each child in Kentucky an adequate education.</w:t>
      </w:r>
    </w:p>
    <w:p w14:paraId="64817148" w14:textId="77777777" w:rsidR="00791D49" w:rsidRDefault="00791D49" w:rsidP="00791D49">
      <w:pPr>
        <w:pStyle w:val="ListParagraph"/>
        <w:numPr>
          <w:ilvl w:val="0"/>
          <w:numId w:val="16"/>
        </w:numPr>
      </w:pPr>
      <w:r>
        <w:t>An adequate education is one which has as its goal the development of the seven capacities recited previously.</w:t>
      </w:r>
    </w:p>
    <w:p w14:paraId="54E3C646" w14:textId="77777777" w:rsidR="00791D49" w:rsidRDefault="00791D49" w:rsidP="00791D49">
      <w:r w:rsidRPr="005B7664">
        <w:rPr>
          <w:rStyle w:val="StyleUnderline"/>
          <w:highlight w:val="cyan"/>
        </w:rPr>
        <w:t>To provide for a system that would fulfill this mandate, the Court said “</w:t>
      </w:r>
      <w:r w:rsidRPr="005B7664">
        <w:rPr>
          <w:rStyle w:val="Emphasis"/>
          <w:highlight w:val="cyan"/>
        </w:rPr>
        <w:t>substantial additional monies</w:t>
      </w:r>
      <w:r w:rsidRPr="005B7664">
        <w:rPr>
          <w:rStyle w:val="StyleUnderline"/>
          <w:highlight w:val="cyan"/>
        </w:rPr>
        <w:t>” would be required</w:t>
      </w:r>
      <w:r>
        <w:t xml:space="preserve"> to provide a constitutional system</w:t>
      </w:r>
      <w:r w:rsidRPr="00F740E7">
        <w:rPr>
          <w:rStyle w:val="StyleUnderline"/>
        </w:rPr>
        <w:t xml:space="preserve">, </w:t>
      </w:r>
      <w:r w:rsidRPr="005B7664">
        <w:rPr>
          <w:rStyle w:val="Emphasis"/>
          <w:highlight w:val="cyan"/>
        </w:rPr>
        <w:t>saying reallocation of funds was not an acceptable response</w:t>
      </w:r>
      <w:r w:rsidRPr="005B7664">
        <w:rPr>
          <w:highlight w:val="cyan"/>
        </w:rPr>
        <w:t>.</w:t>
      </w:r>
    </w:p>
    <w:p w14:paraId="0C5501CC" w14:textId="77777777" w:rsidR="00791D49" w:rsidRPr="00791D49" w:rsidRDefault="00791D49" w:rsidP="00791D49"/>
    <w:p w14:paraId="36798C34" w14:textId="4382CF3C" w:rsidR="00665267" w:rsidRDefault="00665267" w:rsidP="00665267">
      <w:pPr>
        <w:pStyle w:val="Heading3"/>
      </w:pPr>
      <w:r>
        <w:lastRenderedPageBreak/>
        <w:t>2nc – Limits</w:t>
      </w:r>
    </w:p>
    <w:p w14:paraId="18E37E85" w14:textId="77777777" w:rsidR="00665267" w:rsidRPr="00707DBD" w:rsidRDefault="00665267" w:rsidP="00665267">
      <w:pPr>
        <w:pStyle w:val="Heading4"/>
        <w:rPr>
          <w:rFonts w:cs="Times New Roman"/>
        </w:rPr>
      </w:pPr>
      <w:r w:rsidRPr="00707DBD">
        <w:rPr>
          <w:rFonts w:cs="Times New Roman"/>
        </w:rPr>
        <w:t>Narrow definitions of increase</w:t>
      </w:r>
      <w:r>
        <w:rPr>
          <w:rFonts w:cs="Times New Roman"/>
        </w:rPr>
        <w:t xml:space="preserve"> are preferable and avoid confusion</w:t>
      </w:r>
    </w:p>
    <w:p w14:paraId="6A798071" w14:textId="77777777" w:rsidR="00665267" w:rsidRPr="00707DBD" w:rsidRDefault="00665267" w:rsidP="00665267">
      <w:pPr>
        <w:rPr>
          <w:rStyle w:val="Style13ptBold"/>
        </w:rPr>
      </w:pPr>
      <w:r w:rsidRPr="00707DBD">
        <w:rPr>
          <w:rStyle w:val="Style13ptBold"/>
        </w:rPr>
        <w:t xml:space="preserve">Coats, 06 </w:t>
      </w:r>
      <w:r w:rsidRPr="00707DBD">
        <w:t>– Judicial official (“Douglas BRUCE, Plaintiff-Appellee, V. CITY OF COLORADO SPRINGS and Kathryn Young, City Clerk, in her official capacity as election officer for the city, defendants-</w:t>
      </w:r>
      <w:proofErr w:type="spellStart"/>
      <w:r w:rsidRPr="00707DBD">
        <w:t>Appelants</w:t>
      </w:r>
      <w:proofErr w:type="spellEnd"/>
      <w:r w:rsidRPr="00707DBD">
        <w:t xml:space="preserve">.”, </w:t>
      </w:r>
      <w:proofErr w:type="spellStart"/>
      <w:r w:rsidRPr="00707DBD">
        <w:t>Supremer</w:t>
      </w:r>
      <w:proofErr w:type="spellEnd"/>
      <w:r w:rsidRPr="00707DBD">
        <w:t xml:space="preserve"> Court of Colorado, 27 February 2006)//SL</w:t>
      </w:r>
    </w:p>
    <w:p w14:paraId="52415DDE" w14:textId="77777777" w:rsidR="00665267" w:rsidRPr="00707DBD" w:rsidRDefault="00665267" w:rsidP="00665267">
      <w:r w:rsidRPr="00707DBD">
        <w:rPr>
          <w:rStyle w:val="StyleUnderline"/>
        </w:rPr>
        <w:t>After examining</w:t>
      </w:r>
      <w:r w:rsidRPr="00707DBD">
        <w:t xml:space="preserve"> the various </w:t>
      </w:r>
      <w:r w:rsidRPr="00707DBD">
        <w:rPr>
          <w:rStyle w:val="StyleUnderline"/>
        </w:rPr>
        <w:t>arguments for an expanded reading of "</w:t>
      </w:r>
      <w:r w:rsidRPr="005B7664">
        <w:rPr>
          <w:rStyle w:val="StyleUnderline"/>
        </w:rPr>
        <w:t>increas</w:t>
      </w:r>
      <w:r w:rsidRPr="00707DBD">
        <w:rPr>
          <w:rStyle w:val="StyleUnderline"/>
        </w:rPr>
        <w:t>e,"</w:t>
      </w:r>
      <w:r w:rsidRPr="00707DBD">
        <w:t xml:space="preserve"> </w:t>
      </w:r>
      <w:r w:rsidRPr="00707DBD">
        <w:rPr>
          <w:rStyle w:val="StyleUnderline"/>
        </w:rPr>
        <w:t>we reject</w:t>
      </w:r>
      <w:r w:rsidRPr="00707DBD">
        <w:t xml:space="preserve"> these </w:t>
      </w:r>
      <w:r w:rsidRPr="00707DBD">
        <w:rPr>
          <w:rStyle w:val="StyleUnderline"/>
        </w:rPr>
        <w:t>arguments in favor of the plain language</w:t>
      </w:r>
      <w:r w:rsidRPr="00707DBD">
        <w:t xml:space="preserve"> of section (3). We are not persuaded by Bruce's suggestion that section (4)(a) serves as a definitional provision for section (3), nor by his assertion that the plain meaning of "increase" should be liberally construed in place of its plain and ordinary meaning. In sum, we find no compelling reason to deviate from the plain language of Amendment 1 entailing the adoption of an expansive definition of the term "increase" to encompass "extension."</w:t>
      </w:r>
    </w:p>
    <w:p w14:paraId="30BB004A" w14:textId="77777777" w:rsidR="00665267" w:rsidRPr="00707DBD" w:rsidRDefault="00665267" w:rsidP="00665267">
      <w:r w:rsidRPr="00707DBD">
        <w:t xml:space="preserve">The election notice provisions serve to inform the voters, and </w:t>
      </w:r>
      <w:r w:rsidRPr="005B7664">
        <w:rPr>
          <w:rStyle w:val="StyleUnderline"/>
          <w:highlight w:val="cyan"/>
        </w:rPr>
        <w:t>an unnecessarily broad definition</w:t>
      </w:r>
      <w:r w:rsidRPr="00707DBD">
        <w:rPr>
          <w:rStyle w:val="StyleUnderline"/>
        </w:rPr>
        <w:t xml:space="preserve"> of "increase" would </w:t>
      </w:r>
      <w:r w:rsidRPr="005B7664">
        <w:rPr>
          <w:rStyle w:val="StyleUnderline"/>
          <w:highlight w:val="cyan"/>
        </w:rPr>
        <w:t xml:space="preserve">lead to </w:t>
      </w:r>
      <w:r w:rsidRPr="005B7664">
        <w:rPr>
          <w:rStyle w:val="Emphasis"/>
          <w:highlight w:val="cyan"/>
        </w:rPr>
        <w:t>potential confusion</w:t>
      </w:r>
      <w:r w:rsidRPr="005B7664">
        <w:rPr>
          <w:rStyle w:val="StyleUnderline"/>
          <w:highlight w:val="cyan"/>
        </w:rPr>
        <w:t xml:space="preserve"> in contravention of that purpose</w:t>
      </w:r>
      <w:r w:rsidRPr="00707DBD">
        <w:t>. *997 Accordingly, we reject the trial court's legal determination that an extension of an expiring tax is equivalent to a tax increase. Consistent with this finding, the additional ballot title requirements of section (3) that apply to tax increases do not apply to Issue 1A. Therefore, we reverse the order of the trial court granting summary judgment for Bruce.</w:t>
      </w:r>
    </w:p>
    <w:p w14:paraId="78D6AB93" w14:textId="77777777" w:rsidR="00665267" w:rsidRPr="00665267" w:rsidRDefault="00665267" w:rsidP="00665267"/>
    <w:p w14:paraId="26D48210" w14:textId="77777777" w:rsidR="005F2367" w:rsidRDefault="005F2367" w:rsidP="00B214F9">
      <w:pPr>
        <w:pStyle w:val="Heading2"/>
      </w:pPr>
    </w:p>
    <w:p w14:paraId="059CE702" w14:textId="3362C7B0" w:rsidR="00B214F9" w:rsidRDefault="005F2367" w:rsidP="00B214F9">
      <w:pPr>
        <w:pStyle w:val="Heading2"/>
      </w:pPr>
      <w:r>
        <w:lastRenderedPageBreak/>
        <w:t xml:space="preserve">* </w:t>
      </w:r>
      <w:r w:rsidR="00B214F9">
        <w:t>Increase – Make Greater</w:t>
      </w:r>
    </w:p>
    <w:p w14:paraId="6F56ED73" w14:textId="77777777" w:rsidR="00FF09AD" w:rsidRPr="00A16892" w:rsidRDefault="00FF09AD" w:rsidP="00B214F9">
      <w:pPr>
        <w:rPr>
          <w:sz w:val="16"/>
        </w:rPr>
      </w:pPr>
    </w:p>
    <w:p w14:paraId="74E037AE" w14:textId="77777777" w:rsidR="00B214F9" w:rsidRPr="0057432F" w:rsidRDefault="00D90502" w:rsidP="00B214F9">
      <w:pPr>
        <w:pStyle w:val="Heading4"/>
      </w:pPr>
      <w:r>
        <w:t xml:space="preserve"> </w:t>
      </w:r>
      <w:r w:rsidR="00B214F9">
        <w:t>“</w:t>
      </w:r>
      <w:r w:rsidR="00B214F9" w:rsidRPr="0057432F">
        <w:t>Incre</w:t>
      </w:r>
      <w:r w:rsidR="00B214F9">
        <w:t>ase” is the opposite of decrease</w:t>
      </w:r>
    </w:p>
    <w:p w14:paraId="58C5056C" w14:textId="77777777" w:rsidR="00B214F9" w:rsidRPr="00753778" w:rsidRDefault="00B214F9" w:rsidP="00B214F9">
      <w:r w:rsidRPr="0058002D">
        <w:rPr>
          <w:rStyle w:val="Style13ptBold"/>
        </w:rPr>
        <w:t>Cambridge 8</w:t>
      </w:r>
      <w:r>
        <w:t xml:space="preserve"> – </w:t>
      </w:r>
      <w:r w:rsidRPr="0058002D">
        <w:t>Cambridge Dictionary, 8 (“increase”, 2008, http://dictionary.cambridge.org/define.asp?key=increase*1+0&amp;dict=A)</w:t>
      </w:r>
    </w:p>
    <w:p w14:paraId="196DD9C7" w14:textId="77777777" w:rsidR="00B214F9" w:rsidRPr="00A23A4A" w:rsidRDefault="00B214F9" w:rsidP="00B214F9">
      <w:pPr>
        <w:rPr>
          <w:rStyle w:val="TitleChar"/>
        </w:rPr>
      </w:pPr>
      <w:r w:rsidRPr="005B7664">
        <w:rPr>
          <w:rStyle w:val="TitleChar"/>
          <w:highlight w:val="cyan"/>
        </w:rPr>
        <w:t>increase</w:t>
      </w:r>
    </w:p>
    <w:p w14:paraId="26485D18" w14:textId="77777777" w:rsidR="00B214F9" w:rsidRPr="0058002D" w:rsidRDefault="005F2367" w:rsidP="00B214F9">
      <w:pPr>
        <w:rPr>
          <w:sz w:val="16"/>
        </w:rPr>
      </w:pPr>
      <w:hyperlink r:id="rId14" w:history="1">
        <w:r w:rsidR="00B214F9" w:rsidRPr="0058002D">
          <w:rPr>
            <w:sz w:val="16"/>
          </w:rPr>
          <w:t>[Show phonetics]</w:t>
        </w:r>
      </w:hyperlink>
    </w:p>
    <w:p w14:paraId="4128253B" w14:textId="77777777" w:rsidR="00B214F9" w:rsidRPr="0058002D" w:rsidRDefault="00B214F9" w:rsidP="00B214F9">
      <w:pPr>
        <w:rPr>
          <w:sz w:val="16"/>
        </w:rPr>
      </w:pPr>
      <w:r w:rsidRPr="0058002D">
        <w:rPr>
          <w:sz w:val="16"/>
        </w:rPr>
        <w:t>verb [I/T] </w:t>
      </w:r>
    </w:p>
    <w:p w14:paraId="3C291529" w14:textId="77777777" w:rsidR="00B214F9" w:rsidRPr="0058002D" w:rsidRDefault="00B214F9" w:rsidP="00B214F9">
      <w:pPr>
        <w:rPr>
          <w:sz w:val="16"/>
        </w:rPr>
      </w:pPr>
      <w:r w:rsidRPr="0058002D">
        <w:rPr>
          <w:sz w:val="16"/>
        </w:rPr>
        <w:t xml:space="preserve">to become or make (something) larger or greater </w:t>
      </w:r>
    </w:p>
    <w:p w14:paraId="0F1D9FBD" w14:textId="77777777" w:rsidR="00B214F9" w:rsidRDefault="00B214F9" w:rsidP="00B214F9">
      <w:pPr>
        <w:rPr>
          <w:sz w:val="16"/>
        </w:rPr>
      </w:pPr>
      <w:r w:rsidRPr="005B7664">
        <w:rPr>
          <w:rStyle w:val="TitleChar"/>
          <w:highlight w:val="cyan"/>
        </w:rPr>
        <w:t xml:space="preserve">The opposite of increase is </w:t>
      </w:r>
      <w:hyperlink r:id="rId15" w:history="1">
        <w:r w:rsidRPr="005B7664">
          <w:rPr>
            <w:rStyle w:val="TitleChar"/>
            <w:highlight w:val="cyan"/>
          </w:rPr>
          <w:t>decrease</w:t>
        </w:r>
      </w:hyperlink>
      <w:r w:rsidRPr="005B7664">
        <w:rPr>
          <w:sz w:val="16"/>
          <w:highlight w:val="cyan"/>
        </w:rPr>
        <w:t>.</w:t>
      </w:r>
      <w:r w:rsidRPr="0058002D">
        <w:rPr>
          <w:sz w:val="16"/>
        </w:rPr>
        <w:t> </w:t>
      </w:r>
    </w:p>
    <w:p w14:paraId="7E85C0F7" w14:textId="77777777" w:rsidR="00FF09AD" w:rsidRPr="00A16892" w:rsidRDefault="00FF09AD" w:rsidP="00B214F9">
      <w:pPr>
        <w:rPr>
          <w:sz w:val="16"/>
        </w:rPr>
      </w:pPr>
    </w:p>
    <w:p w14:paraId="6C48C37B" w14:textId="77777777" w:rsidR="00B214F9" w:rsidRPr="005015BA" w:rsidRDefault="00B214F9" w:rsidP="00B214F9">
      <w:pPr>
        <w:pStyle w:val="Heading4"/>
        <w:rPr>
          <w:lang w:eastAsia="zh-CN"/>
        </w:rPr>
      </w:pPr>
      <w:r w:rsidRPr="005015BA">
        <w:rPr>
          <w:lang w:eastAsia="zh-CN"/>
        </w:rPr>
        <w:t xml:space="preserve">Increase is to make greater </w:t>
      </w:r>
    </w:p>
    <w:p w14:paraId="3E803A59" w14:textId="77777777" w:rsidR="00B214F9" w:rsidRPr="005015BA" w:rsidRDefault="00B214F9" w:rsidP="00B214F9">
      <w:pPr>
        <w:rPr>
          <w:lang w:eastAsia="zh-CN"/>
        </w:rPr>
      </w:pPr>
      <w:r w:rsidRPr="005015BA">
        <w:rPr>
          <w:b/>
          <w:lang w:eastAsia="zh-CN"/>
        </w:rPr>
        <w:t>Merriam-Webster</w:t>
      </w:r>
      <w:r w:rsidRPr="005015BA">
        <w:rPr>
          <w:b/>
          <w:i/>
          <w:lang w:eastAsia="zh-CN"/>
        </w:rPr>
        <w:t xml:space="preserve"> </w:t>
      </w:r>
      <w:r w:rsidRPr="005015BA">
        <w:rPr>
          <w:lang w:eastAsia="zh-CN"/>
        </w:rPr>
        <w:t>(</w:t>
      </w:r>
      <w:hyperlink r:id="rId16" w:history="1">
        <w:r w:rsidRPr="005015BA">
          <w:rPr>
            <w:rStyle w:val="Hyperlink"/>
            <w:lang w:eastAsia="zh-CN"/>
          </w:rPr>
          <w:t>https://www.merriam-webster.com/dictionary/increase</w:t>
        </w:r>
      </w:hyperlink>
      <w:r w:rsidRPr="005015BA">
        <w:rPr>
          <w:lang w:eastAsia="zh-CN"/>
        </w:rPr>
        <w:t xml:space="preserve">) </w:t>
      </w:r>
    </w:p>
    <w:p w14:paraId="584B3B20" w14:textId="77777777" w:rsidR="00B214F9" w:rsidRPr="005015BA" w:rsidRDefault="00B214F9" w:rsidP="00B214F9">
      <w:pPr>
        <w:rPr>
          <w:rStyle w:val="StyleUnderline"/>
        </w:rPr>
      </w:pPr>
      <w:proofErr w:type="gramStart"/>
      <w:r w:rsidRPr="005015BA">
        <w:rPr>
          <w:rStyle w:val="StyleUnderline"/>
        </w:rPr>
        <w:t>transitive</w:t>
      </w:r>
      <w:proofErr w:type="gramEnd"/>
      <w:r w:rsidRPr="005015BA">
        <w:rPr>
          <w:rStyle w:val="StyleUnderline"/>
        </w:rPr>
        <w:t xml:space="preserve"> verb 1 : </w:t>
      </w:r>
      <w:r w:rsidRPr="005B7664">
        <w:rPr>
          <w:rStyle w:val="StyleUnderline"/>
          <w:highlight w:val="cyan"/>
        </w:rPr>
        <w:t>to make greater</w:t>
      </w:r>
      <w:r w:rsidRPr="005015BA">
        <w:rPr>
          <w:rStyle w:val="StyleUnderline"/>
        </w:rPr>
        <w:t xml:space="preserve"> : augment</w:t>
      </w:r>
    </w:p>
    <w:p w14:paraId="59282FD0" w14:textId="77777777" w:rsidR="00B214F9" w:rsidRPr="005015BA" w:rsidRDefault="00B214F9" w:rsidP="00B214F9">
      <w:pPr>
        <w:rPr>
          <w:color w:val="0D0D0D"/>
        </w:rPr>
      </w:pPr>
      <w:r w:rsidRPr="005015BA">
        <w:rPr>
          <w:color w:val="0D0D0D"/>
        </w:rPr>
        <w:t xml:space="preserve"> [**23] coverage at a lower price.</w:t>
      </w:r>
    </w:p>
    <w:p w14:paraId="75BF1BB2" w14:textId="77777777" w:rsidR="00B214F9" w:rsidRPr="00A16892" w:rsidRDefault="00B214F9" w:rsidP="00B214F9">
      <w:pPr>
        <w:rPr>
          <w:color w:val="000000"/>
          <w:sz w:val="16"/>
        </w:rPr>
      </w:pPr>
    </w:p>
    <w:sectPr w:rsidR="00B214F9" w:rsidRPr="00A16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1D65FE5"/>
    <w:multiLevelType w:val="hybridMultilevel"/>
    <w:tmpl w:val="39527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3C182514"/>
    <w:multiLevelType w:val="hybridMultilevel"/>
    <w:tmpl w:val="208E3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3"/>
  </w:num>
  <w:num w:numId="13">
    <w:abstractNumId w:val="11"/>
  </w:num>
  <w:num w:numId="14">
    <w:abstractNumId w:val="15"/>
  </w:num>
  <w:num w:numId="15">
    <w:abstractNumId w:val="1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70253864"/>
    <w:docVar w:name="VerbatimVersion" w:val="5.1"/>
  </w:docVars>
  <w:rsids>
    <w:rsidRoot w:val="00B214F9"/>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A0032"/>
    <w:rsid w:val="002B146A"/>
    <w:rsid w:val="002B5E17"/>
    <w:rsid w:val="00315690"/>
    <w:rsid w:val="00316B75"/>
    <w:rsid w:val="00325646"/>
    <w:rsid w:val="003460F2"/>
    <w:rsid w:val="0038158C"/>
    <w:rsid w:val="003902BA"/>
    <w:rsid w:val="003A09E2"/>
    <w:rsid w:val="00407037"/>
    <w:rsid w:val="004605D6"/>
    <w:rsid w:val="004C60E8"/>
    <w:rsid w:val="004E3579"/>
    <w:rsid w:val="004E3F5A"/>
    <w:rsid w:val="004E728B"/>
    <w:rsid w:val="004F39E0"/>
    <w:rsid w:val="00537BD5"/>
    <w:rsid w:val="0057268A"/>
    <w:rsid w:val="005B7664"/>
    <w:rsid w:val="005D2912"/>
    <w:rsid w:val="005F2367"/>
    <w:rsid w:val="006065BD"/>
    <w:rsid w:val="00645FA9"/>
    <w:rsid w:val="00647866"/>
    <w:rsid w:val="00665003"/>
    <w:rsid w:val="00665267"/>
    <w:rsid w:val="006A2AD0"/>
    <w:rsid w:val="006C2375"/>
    <w:rsid w:val="006D4ECC"/>
    <w:rsid w:val="00722258"/>
    <w:rsid w:val="007243E5"/>
    <w:rsid w:val="00766EA0"/>
    <w:rsid w:val="00791D49"/>
    <w:rsid w:val="007A2226"/>
    <w:rsid w:val="007F5B66"/>
    <w:rsid w:val="00823A1C"/>
    <w:rsid w:val="00845B9D"/>
    <w:rsid w:val="00860984"/>
    <w:rsid w:val="008B3ECB"/>
    <w:rsid w:val="008B4E85"/>
    <w:rsid w:val="008C1B2E"/>
    <w:rsid w:val="008D7AE1"/>
    <w:rsid w:val="0091627E"/>
    <w:rsid w:val="00957B9C"/>
    <w:rsid w:val="0097032B"/>
    <w:rsid w:val="009D2EAD"/>
    <w:rsid w:val="009D54B2"/>
    <w:rsid w:val="009E1922"/>
    <w:rsid w:val="009F7ED2"/>
    <w:rsid w:val="00A33726"/>
    <w:rsid w:val="00A93661"/>
    <w:rsid w:val="00A95652"/>
    <w:rsid w:val="00AA78EA"/>
    <w:rsid w:val="00AC0AB8"/>
    <w:rsid w:val="00B214F9"/>
    <w:rsid w:val="00B33C6D"/>
    <w:rsid w:val="00B4508F"/>
    <w:rsid w:val="00B456E3"/>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90502"/>
    <w:rsid w:val="00DA1C92"/>
    <w:rsid w:val="00DA25D4"/>
    <w:rsid w:val="00DA6538"/>
    <w:rsid w:val="00E15E75"/>
    <w:rsid w:val="00E5262C"/>
    <w:rsid w:val="00EC7DC4"/>
    <w:rsid w:val="00ED30CF"/>
    <w:rsid w:val="00F176EF"/>
    <w:rsid w:val="00F45E10"/>
    <w:rsid w:val="00F6364A"/>
    <w:rsid w:val="00F9113A"/>
    <w:rsid w:val="00FE2546"/>
    <w:rsid w:val="00FF09AD"/>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9D5F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iPriority="6" w:unhideWhenUsed="0"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6"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5F2367"/>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5F236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F236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F236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9"/>
    <w:unhideWhenUsed/>
    <w:qFormat/>
    <w:rsid w:val="005F236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5F23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2367"/>
  </w:style>
  <w:style w:type="character" w:customStyle="1" w:styleId="Heading1Char">
    <w:name w:val="Heading 1 Char"/>
    <w:aliases w:val="Pocket Char"/>
    <w:basedOn w:val="DefaultParagraphFont"/>
    <w:link w:val="Heading1"/>
    <w:uiPriority w:val="9"/>
    <w:rsid w:val="005F236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F236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F2367"/>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5F2367"/>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
    <w:basedOn w:val="DefaultParagraphFont"/>
    <w:link w:val="textbold"/>
    <w:uiPriority w:val="7"/>
    <w:qFormat/>
    <w:rsid w:val="005F236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5F2367"/>
    <w:rPr>
      <w:b/>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1"/>
    <w:qFormat/>
    <w:rsid w:val="005F2367"/>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
    <w:basedOn w:val="DefaultParagraphFont"/>
    <w:uiPriority w:val="99"/>
    <w:unhideWhenUsed/>
    <w:rsid w:val="005F2367"/>
    <w:rPr>
      <w:color w:val="0563C1" w:themeColor="hyperlink"/>
      <w:u w:val="single"/>
    </w:rPr>
  </w:style>
  <w:style w:type="character" w:styleId="FollowedHyperlink">
    <w:name w:val="FollowedHyperlink"/>
    <w:basedOn w:val="DefaultParagraphFont"/>
    <w:uiPriority w:val="99"/>
    <w:semiHidden/>
    <w:unhideWhenUsed/>
    <w:rsid w:val="005B7664"/>
    <w:rPr>
      <w:color w:val="auto"/>
      <w:u w:val="none"/>
    </w:rPr>
  </w:style>
  <w:style w:type="character" w:styleId="IntenseEmphasis">
    <w:name w:val="Intense Emphasis"/>
    <w:aliases w:val="Intense Emphasis11,Intense Emphasis111,Cards + Font: 12 pt Char,Bold Cite Char,S"/>
    <w:basedOn w:val="DefaultParagraphFont"/>
    <w:uiPriority w:val="6"/>
    <w:qFormat/>
    <w:rsid w:val="00B214F9"/>
    <w:rPr>
      <w:b/>
      <w:bCs w:val="0"/>
      <w:sz w:val="24"/>
      <w:u w:val="single"/>
    </w:rPr>
  </w:style>
  <w:style w:type="character" w:customStyle="1" w:styleId="TitleChar">
    <w:name w:val="Title Char"/>
    <w:basedOn w:val="DefaultParagraphFont"/>
    <w:link w:val="Title"/>
    <w:uiPriority w:val="6"/>
    <w:qFormat/>
    <w:rsid w:val="00B214F9"/>
    <w:rPr>
      <w:sz w:val="20"/>
      <w:u w:val="single"/>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B214F9"/>
    <w:rPr>
      <w:rFonts w:cs="Arial"/>
      <w:b/>
      <w:bCs/>
      <w:iCs/>
      <w:szCs w:val="28"/>
      <w:lang w:val="en-US" w:eastAsia="en-US" w:bidi="ar-SA"/>
    </w:rPr>
  </w:style>
  <w:style w:type="paragraph" w:styleId="Title">
    <w:name w:val="Title"/>
    <w:basedOn w:val="Normal"/>
    <w:next w:val="Normal"/>
    <w:link w:val="TitleChar"/>
    <w:uiPriority w:val="6"/>
    <w:qFormat/>
    <w:rsid w:val="00B214F9"/>
    <w:pPr>
      <w:outlineLvl w:val="0"/>
    </w:pPr>
    <w:rPr>
      <w:rFonts w:asciiTheme="minorHAnsi" w:hAnsiTheme="minorHAnsi"/>
      <w:sz w:val="20"/>
      <w:u w:val="single"/>
    </w:rPr>
  </w:style>
  <w:style w:type="character" w:customStyle="1" w:styleId="TitleChar1">
    <w:name w:val="Title Char1"/>
    <w:basedOn w:val="DefaultParagraphFont"/>
    <w:uiPriority w:val="99"/>
    <w:semiHidden/>
    <w:rsid w:val="00B214F9"/>
    <w:rPr>
      <w:rFonts w:asciiTheme="majorHAnsi" w:eastAsiaTheme="majorEastAsia" w:hAnsiTheme="majorHAnsi" w:cstheme="majorBidi"/>
      <w:spacing w:val="-10"/>
      <w:kern w:val="28"/>
      <w:sz w:val="56"/>
      <w:szCs w:val="56"/>
    </w:rPr>
  </w:style>
  <w:style w:type="character" w:customStyle="1" w:styleId="pmterms1">
    <w:name w:val="pmterms1"/>
    <w:basedOn w:val="DefaultParagraphFont"/>
    <w:rsid w:val="00B214F9"/>
  </w:style>
  <w:style w:type="paragraph" w:customStyle="1" w:styleId="textbold">
    <w:name w:val="text bold"/>
    <w:basedOn w:val="Normal"/>
    <w:link w:val="Emphasis"/>
    <w:uiPriority w:val="7"/>
    <w:qFormat/>
    <w:rsid w:val="00B214F9"/>
    <w:pPr>
      <w:ind w:left="720"/>
      <w:jc w:val="both"/>
    </w:pPr>
    <w:rPr>
      <w:rFonts w:eastAsiaTheme="minorHAnsi"/>
      <w:b/>
      <w:iCs/>
      <w:szCs w:val="22"/>
      <w:u w:val="single"/>
    </w:rPr>
  </w:style>
  <w:style w:type="paragraph" w:styleId="DocumentMap">
    <w:name w:val="Document Map"/>
    <w:basedOn w:val="Normal"/>
    <w:link w:val="DocumentMapChar"/>
    <w:uiPriority w:val="99"/>
    <w:semiHidden/>
    <w:unhideWhenUsed/>
    <w:rsid w:val="005F2367"/>
    <w:rPr>
      <w:rFonts w:ascii="Lucida Grande" w:hAnsi="Lucida Grande" w:cs="Lucida Grande"/>
    </w:rPr>
  </w:style>
  <w:style w:type="character" w:customStyle="1" w:styleId="DocumentMapChar">
    <w:name w:val="Document Map Char"/>
    <w:basedOn w:val="DefaultParagraphFont"/>
    <w:link w:val="DocumentMap"/>
    <w:uiPriority w:val="99"/>
    <w:semiHidden/>
    <w:rsid w:val="005F2367"/>
    <w:rPr>
      <w:rFonts w:ascii="Lucida Grande" w:eastAsiaTheme="minorEastAsia" w:hAnsi="Lucida Grande" w:cs="Lucida Grande"/>
      <w:szCs w:val="24"/>
    </w:rPr>
  </w:style>
  <w:style w:type="character" w:customStyle="1" w:styleId="underline">
    <w:name w:val="underline"/>
    <w:basedOn w:val="DefaultParagraphFont"/>
    <w:qFormat/>
    <w:rsid w:val="00665267"/>
    <w:rPr>
      <w:rFonts w:ascii="Times New Roman" w:hAnsi="Times New Roman"/>
      <w:u w:val="single"/>
    </w:rPr>
  </w:style>
  <w:style w:type="paragraph" w:styleId="NoSpacing">
    <w:name w:val="No Spacing"/>
    <w:uiPriority w:val="1"/>
    <w:rsid w:val="005F2367"/>
    <w:pPr>
      <w:spacing w:after="0" w:line="240" w:lineRule="auto"/>
    </w:pPr>
    <w:rPr>
      <w:rFonts w:eastAsiaTheme="minorEastAsia"/>
      <w:sz w:val="24"/>
      <w:szCs w:val="24"/>
    </w:rPr>
  </w:style>
  <w:style w:type="paragraph" w:styleId="ListParagraph">
    <w:name w:val="List Paragraph"/>
    <w:basedOn w:val="Normal"/>
    <w:uiPriority w:val="34"/>
    <w:rsid w:val="005F2367"/>
    <w:pPr>
      <w:ind w:left="720"/>
      <w:contextualSpacing/>
    </w:pPr>
  </w:style>
  <w:style w:type="paragraph" w:styleId="Header">
    <w:name w:val="header"/>
    <w:basedOn w:val="Normal"/>
    <w:link w:val="HeaderChar"/>
    <w:uiPriority w:val="99"/>
    <w:unhideWhenUsed/>
    <w:rsid w:val="005F2367"/>
    <w:pPr>
      <w:tabs>
        <w:tab w:val="center" w:pos="4320"/>
        <w:tab w:val="right" w:pos="8640"/>
      </w:tabs>
    </w:pPr>
  </w:style>
  <w:style w:type="character" w:customStyle="1" w:styleId="HeaderChar">
    <w:name w:val="Header Char"/>
    <w:basedOn w:val="DefaultParagraphFont"/>
    <w:link w:val="Header"/>
    <w:uiPriority w:val="99"/>
    <w:rsid w:val="005F2367"/>
    <w:rPr>
      <w:rFonts w:ascii="Calibri" w:eastAsiaTheme="minorEastAsia" w:hAnsi="Calibri"/>
      <w:szCs w:val="24"/>
    </w:rPr>
  </w:style>
  <w:style w:type="paragraph" w:styleId="Footer">
    <w:name w:val="footer"/>
    <w:basedOn w:val="Normal"/>
    <w:link w:val="FooterChar"/>
    <w:uiPriority w:val="99"/>
    <w:unhideWhenUsed/>
    <w:rsid w:val="005F2367"/>
    <w:pPr>
      <w:tabs>
        <w:tab w:val="center" w:pos="4320"/>
        <w:tab w:val="right" w:pos="8640"/>
      </w:tabs>
    </w:pPr>
  </w:style>
  <w:style w:type="character" w:customStyle="1" w:styleId="FooterChar">
    <w:name w:val="Footer Char"/>
    <w:basedOn w:val="DefaultParagraphFont"/>
    <w:link w:val="Footer"/>
    <w:uiPriority w:val="99"/>
    <w:rsid w:val="005F2367"/>
    <w:rPr>
      <w:rFonts w:ascii="Calibri" w:eastAsiaTheme="minorEastAsia" w:hAnsi="Calibri"/>
      <w:szCs w:val="24"/>
    </w:rPr>
  </w:style>
  <w:style w:type="character" w:styleId="PageNumber">
    <w:name w:val="page number"/>
    <w:basedOn w:val="DefaultParagraphFont"/>
    <w:uiPriority w:val="99"/>
    <w:semiHidden/>
    <w:unhideWhenUsed/>
    <w:rsid w:val="005F236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iPriority="6" w:unhideWhenUsed="0"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6"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5F2367"/>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5F236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F236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F236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9"/>
    <w:unhideWhenUsed/>
    <w:qFormat/>
    <w:rsid w:val="005F236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5F23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2367"/>
  </w:style>
  <w:style w:type="character" w:customStyle="1" w:styleId="Heading1Char">
    <w:name w:val="Heading 1 Char"/>
    <w:aliases w:val="Pocket Char"/>
    <w:basedOn w:val="DefaultParagraphFont"/>
    <w:link w:val="Heading1"/>
    <w:uiPriority w:val="9"/>
    <w:rsid w:val="005F236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F236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F2367"/>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5F2367"/>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
    <w:basedOn w:val="DefaultParagraphFont"/>
    <w:link w:val="textbold"/>
    <w:uiPriority w:val="7"/>
    <w:qFormat/>
    <w:rsid w:val="005F236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5F2367"/>
    <w:rPr>
      <w:b/>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1"/>
    <w:qFormat/>
    <w:rsid w:val="005F2367"/>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
    <w:basedOn w:val="DefaultParagraphFont"/>
    <w:uiPriority w:val="99"/>
    <w:unhideWhenUsed/>
    <w:rsid w:val="005F2367"/>
    <w:rPr>
      <w:color w:val="0563C1" w:themeColor="hyperlink"/>
      <w:u w:val="single"/>
    </w:rPr>
  </w:style>
  <w:style w:type="character" w:styleId="FollowedHyperlink">
    <w:name w:val="FollowedHyperlink"/>
    <w:basedOn w:val="DefaultParagraphFont"/>
    <w:uiPriority w:val="99"/>
    <w:semiHidden/>
    <w:unhideWhenUsed/>
    <w:rsid w:val="005B7664"/>
    <w:rPr>
      <w:color w:val="auto"/>
      <w:u w:val="none"/>
    </w:rPr>
  </w:style>
  <w:style w:type="character" w:styleId="IntenseEmphasis">
    <w:name w:val="Intense Emphasis"/>
    <w:aliases w:val="Intense Emphasis11,Intense Emphasis111,Cards + Font: 12 pt Char,Bold Cite Char,S"/>
    <w:basedOn w:val="DefaultParagraphFont"/>
    <w:uiPriority w:val="6"/>
    <w:qFormat/>
    <w:rsid w:val="00B214F9"/>
    <w:rPr>
      <w:b/>
      <w:bCs w:val="0"/>
      <w:sz w:val="24"/>
      <w:u w:val="single"/>
    </w:rPr>
  </w:style>
  <w:style w:type="character" w:customStyle="1" w:styleId="TitleChar">
    <w:name w:val="Title Char"/>
    <w:basedOn w:val="DefaultParagraphFont"/>
    <w:link w:val="Title"/>
    <w:uiPriority w:val="6"/>
    <w:qFormat/>
    <w:rsid w:val="00B214F9"/>
    <w:rPr>
      <w:sz w:val="20"/>
      <w:u w:val="single"/>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B214F9"/>
    <w:rPr>
      <w:rFonts w:cs="Arial"/>
      <w:b/>
      <w:bCs/>
      <w:iCs/>
      <w:szCs w:val="28"/>
      <w:lang w:val="en-US" w:eastAsia="en-US" w:bidi="ar-SA"/>
    </w:rPr>
  </w:style>
  <w:style w:type="paragraph" w:styleId="Title">
    <w:name w:val="Title"/>
    <w:basedOn w:val="Normal"/>
    <w:next w:val="Normal"/>
    <w:link w:val="TitleChar"/>
    <w:uiPriority w:val="6"/>
    <w:qFormat/>
    <w:rsid w:val="00B214F9"/>
    <w:pPr>
      <w:outlineLvl w:val="0"/>
    </w:pPr>
    <w:rPr>
      <w:rFonts w:asciiTheme="minorHAnsi" w:hAnsiTheme="minorHAnsi"/>
      <w:sz w:val="20"/>
      <w:u w:val="single"/>
    </w:rPr>
  </w:style>
  <w:style w:type="character" w:customStyle="1" w:styleId="TitleChar1">
    <w:name w:val="Title Char1"/>
    <w:basedOn w:val="DefaultParagraphFont"/>
    <w:uiPriority w:val="99"/>
    <w:semiHidden/>
    <w:rsid w:val="00B214F9"/>
    <w:rPr>
      <w:rFonts w:asciiTheme="majorHAnsi" w:eastAsiaTheme="majorEastAsia" w:hAnsiTheme="majorHAnsi" w:cstheme="majorBidi"/>
      <w:spacing w:val="-10"/>
      <w:kern w:val="28"/>
      <w:sz w:val="56"/>
      <w:szCs w:val="56"/>
    </w:rPr>
  </w:style>
  <w:style w:type="character" w:customStyle="1" w:styleId="pmterms1">
    <w:name w:val="pmterms1"/>
    <w:basedOn w:val="DefaultParagraphFont"/>
    <w:rsid w:val="00B214F9"/>
  </w:style>
  <w:style w:type="paragraph" w:customStyle="1" w:styleId="textbold">
    <w:name w:val="text bold"/>
    <w:basedOn w:val="Normal"/>
    <w:link w:val="Emphasis"/>
    <w:uiPriority w:val="7"/>
    <w:qFormat/>
    <w:rsid w:val="00B214F9"/>
    <w:pPr>
      <w:ind w:left="720"/>
      <w:jc w:val="both"/>
    </w:pPr>
    <w:rPr>
      <w:rFonts w:eastAsiaTheme="minorHAnsi"/>
      <w:b/>
      <w:iCs/>
      <w:szCs w:val="22"/>
      <w:u w:val="single"/>
    </w:rPr>
  </w:style>
  <w:style w:type="paragraph" w:styleId="DocumentMap">
    <w:name w:val="Document Map"/>
    <w:basedOn w:val="Normal"/>
    <w:link w:val="DocumentMapChar"/>
    <w:uiPriority w:val="99"/>
    <w:semiHidden/>
    <w:unhideWhenUsed/>
    <w:rsid w:val="005F2367"/>
    <w:rPr>
      <w:rFonts w:ascii="Lucida Grande" w:hAnsi="Lucida Grande" w:cs="Lucida Grande"/>
    </w:rPr>
  </w:style>
  <w:style w:type="character" w:customStyle="1" w:styleId="DocumentMapChar">
    <w:name w:val="Document Map Char"/>
    <w:basedOn w:val="DefaultParagraphFont"/>
    <w:link w:val="DocumentMap"/>
    <w:uiPriority w:val="99"/>
    <w:semiHidden/>
    <w:rsid w:val="005F2367"/>
    <w:rPr>
      <w:rFonts w:ascii="Lucida Grande" w:eastAsiaTheme="minorEastAsia" w:hAnsi="Lucida Grande" w:cs="Lucida Grande"/>
      <w:szCs w:val="24"/>
    </w:rPr>
  </w:style>
  <w:style w:type="character" w:customStyle="1" w:styleId="underline">
    <w:name w:val="underline"/>
    <w:basedOn w:val="DefaultParagraphFont"/>
    <w:qFormat/>
    <w:rsid w:val="00665267"/>
    <w:rPr>
      <w:rFonts w:ascii="Times New Roman" w:hAnsi="Times New Roman"/>
      <w:u w:val="single"/>
    </w:rPr>
  </w:style>
  <w:style w:type="paragraph" w:styleId="NoSpacing">
    <w:name w:val="No Spacing"/>
    <w:uiPriority w:val="1"/>
    <w:rsid w:val="005F2367"/>
    <w:pPr>
      <w:spacing w:after="0" w:line="240" w:lineRule="auto"/>
    </w:pPr>
    <w:rPr>
      <w:rFonts w:eastAsiaTheme="minorEastAsia"/>
      <w:sz w:val="24"/>
      <w:szCs w:val="24"/>
    </w:rPr>
  </w:style>
  <w:style w:type="paragraph" w:styleId="ListParagraph">
    <w:name w:val="List Paragraph"/>
    <w:basedOn w:val="Normal"/>
    <w:uiPriority w:val="34"/>
    <w:rsid w:val="005F2367"/>
    <w:pPr>
      <w:ind w:left="720"/>
      <w:contextualSpacing/>
    </w:pPr>
  </w:style>
  <w:style w:type="paragraph" w:styleId="Header">
    <w:name w:val="header"/>
    <w:basedOn w:val="Normal"/>
    <w:link w:val="HeaderChar"/>
    <w:uiPriority w:val="99"/>
    <w:unhideWhenUsed/>
    <w:rsid w:val="005F2367"/>
    <w:pPr>
      <w:tabs>
        <w:tab w:val="center" w:pos="4320"/>
        <w:tab w:val="right" w:pos="8640"/>
      </w:tabs>
    </w:pPr>
  </w:style>
  <w:style w:type="character" w:customStyle="1" w:styleId="HeaderChar">
    <w:name w:val="Header Char"/>
    <w:basedOn w:val="DefaultParagraphFont"/>
    <w:link w:val="Header"/>
    <w:uiPriority w:val="99"/>
    <w:rsid w:val="005F2367"/>
    <w:rPr>
      <w:rFonts w:ascii="Calibri" w:eastAsiaTheme="minorEastAsia" w:hAnsi="Calibri"/>
      <w:szCs w:val="24"/>
    </w:rPr>
  </w:style>
  <w:style w:type="paragraph" w:styleId="Footer">
    <w:name w:val="footer"/>
    <w:basedOn w:val="Normal"/>
    <w:link w:val="FooterChar"/>
    <w:uiPriority w:val="99"/>
    <w:unhideWhenUsed/>
    <w:rsid w:val="005F2367"/>
    <w:pPr>
      <w:tabs>
        <w:tab w:val="center" w:pos="4320"/>
        <w:tab w:val="right" w:pos="8640"/>
      </w:tabs>
    </w:pPr>
  </w:style>
  <w:style w:type="character" w:customStyle="1" w:styleId="FooterChar">
    <w:name w:val="Footer Char"/>
    <w:basedOn w:val="DefaultParagraphFont"/>
    <w:link w:val="Footer"/>
    <w:uiPriority w:val="99"/>
    <w:rsid w:val="005F2367"/>
    <w:rPr>
      <w:rFonts w:ascii="Calibri" w:eastAsiaTheme="minorEastAsia" w:hAnsi="Calibri"/>
      <w:szCs w:val="24"/>
    </w:rPr>
  </w:style>
  <w:style w:type="character" w:styleId="PageNumber">
    <w:name w:val="page number"/>
    <w:basedOn w:val="DefaultParagraphFont"/>
    <w:uiPriority w:val="99"/>
    <w:semiHidden/>
    <w:unhideWhenUsed/>
    <w:rsid w:val="005F2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12"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13" Type="http://schemas.openxmlformats.org/officeDocument/2006/relationships/hyperlink" Target="http://www.courier-journal.com/story/opinion/contributors/2017/02/16/rose-decision-defines-ky-education-goals/98012914/" TargetMode="External"/><Relationship Id="rId14" Type="http://schemas.openxmlformats.org/officeDocument/2006/relationships/hyperlink" Target="http://dictionary.cambridge.org/define.asp?dict=A&amp;key=increase*1+0&amp;ph=on" TargetMode="External"/><Relationship Id="rId15" Type="http://schemas.openxmlformats.org/officeDocument/2006/relationships/hyperlink" Target="http://dictionary.cambridge.org/define.asp?key=decrease*1+0&amp;dict=a" TargetMode="External"/><Relationship Id="rId16" Type="http://schemas.openxmlformats.org/officeDocument/2006/relationships/hyperlink" Target="https://www.merriam-webster.com/dictionary/increase"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upreme.lp.findlaw.com/supreme_court/briefs/06-84/06-84.mer.ami.mica.pdf" TargetMode="External"/><Relationship Id="rId8"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9"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10"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88151-8B7D-8145-A486-9C71637B9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TotalTime>
  <Pages>18</Pages>
  <Words>3619</Words>
  <Characters>20631</Characters>
  <Application>Microsoft Macintosh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Valerio</dc:creator>
  <cp:keywords>5.1.1</cp:keywords>
  <dc:description/>
  <cp:lastModifiedBy>Mike Shackelford</cp:lastModifiedBy>
  <cp:revision>11</cp:revision>
  <dcterms:created xsi:type="dcterms:W3CDTF">2017-07-19T20:50:00Z</dcterms:created>
  <dcterms:modified xsi:type="dcterms:W3CDTF">2017-07-24T02:43:00Z</dcterms:modified>
</cp:coreProperties>
</file>