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CBA" w:rsidRDefault="00991CBA" w:rsidP="00991CBA">
      <w:pPr>
        <w:pStyle w:val="Heading1"/>
        <w:rPr>
          <w:lang w:eastAsia="zh-CN"/>
        </w:rPr>
      </w:pPr>
      <w:r>
        <w:rPr>
          <w:lang w:eastAsia="zh-CN"/>
        </w:rPr>
        <w:t>Neg</w:t>
      </w:r>
      <w:bookmarkStart w:id="0" w:name="_GoBack"/>
      <w:bookmarkEnd w:id="0"/>
    </w:p>
    <w:p w:rsidR="00991CBA" w:rsidRPr="005015BA" w:rsidRDefault="00991CBA" w:rsidP="00991CBA">
      <w:pPr>
        <w:rPr>
          <w:lang w:eastAsia="zh-CN"/>
        </w:rPr>
      </w:pPr>
      <w:r w:rsidRPr="005015BA">
        <w:rPr>
          <w:lang w:eastAsia="zh-CN"/>
        </w:rPr>
        <w:t xml:space="preserve">The United States federal government should substantially increase its funding and/or regulation of elementary and/or secondary education in the United States. </w:t>
      </w:r>
    </w:p>
    <w:p w:rsidR="00991CBA" w:rsidRDefault="00991CBA" w:rsidP="00991CBA">
      <w:pPr>
        <w:pStyle w:val="Heading2"/>
      </w:pPr>
      <w:r>
        <w:t xml:space="preserve">T – Regulate = Curriculum </w:t>
      </w:r>
    </w:p>
    <w:p w:rsidR="00991CBA" w:rsidRPr="005B6292" w:rsidRDefault="00991CBA" w:rsidP="00991CBA">
      <w:pPr>
        <w:pStyle w:val="Heading3"/>
      </w:pPr>
      <w:r>
        <w:t xml:space="preserve">1NC </w:t>
      </w:r>
    </w:p>
    <w:p w:rsidR="00991CBA" w:rsidRDefault="00991CBA" w:rsidP="00991CBA">
      <w:pPr>
        <w:pStyle w:val="Heading4"/>
        <w:rPr>
          <w:rFonts w:cs="Times New Roman"/>
        </w:rPr>
      </w:pPr>
      <w:r>
        <w:rPr>
          <w:rFonts w:cs="Times New Roman"/>
        </w:rPr>
        <w:t xml:space="preserve">Interp: The plan must regulate </w:t>
      </w:r>
      <w:r>
        <w:rPr>
          <w:rFonts w:cs="Times New Roman"/>
          <w:u w:val="single"/>
        </w:rPr>
        <w:t>subject-matter in classrooms</w:t>
      </w:r>
      <w:r>
        <w:rPr>
          <w:rFonts w:cs="Times New Roman"/>
        </w:rPr>
        <w:t xml:space="preserve">---anything broader includes </w:t>
      </w:r>
      <w:r>
        <w:rPr>
          <w:rFonts w:cs="Times New Roman"/>
          <w:u w:val="single"/>
        </w:rPr>
        <w:t>all</w:t>
      </w:r>
      <w:r>
        <w:rPr>
          <w:rFonts w:cs="Times New Roman"/>
        </w:rPr>
        <w:t xml:space="preserve"> socialization</w:t>
      </w:r>
    </w:p>
    <w:p w:rsidR="00991CBA" w:rsidRDefault="00991CBA" w:rsidP="00991CBA">
      <w:r>
        <w:rPr>
          <w:rStyle w:val="Style13ptBold"/>
        </w:rPr>
        <w:t>Ikonen 99</w:t>
      </w:r>
      <w:r>
        <w:t xml:space="preserve"> (PhD, faculty of education (Risto, “What is this Thing called Education? - An Attempt to reveal the True Nature of the Science of Education,” http://www.leeds.ac.uk/educol/documents/00001354.htm)</w:t>
      </w:r>
    </w:p>
    <w:p w:rsidR="00991CBA" w:rsidRDefault="00991CBA" w:rsidP="00991CBA">
      <w:r>
        <w:t>[3] Michael Naish (1984, 151) argues that ‘</w:t>
      </w:r>
      <w:r>
        <w:rPr>
          <w:rStyle w:val="StyleUnderline"/>
        </w:rPr>
        <w:t>education’ is</w:t>
      </w:r>
      <w:r>
        <w:t xml:space="preserve"> a legitimatizing word: "</w:t>
      </w:r>
      <w:r>
        <w:rPr>
          <w:rStyle w:val="StyleUnderline"/>
        </w:rPr>
        <w:t xml:space="preserve">the teaching of a </w:t>
      </w:r>
      <w:r>
        <w:rPr>
          <w:rStyle w:val="Emphasis"/>
        </w:rPr>
        <w:t>particular subject</w:t>
      </w:r>
      <w:r>
        <w:t xml:space="preserve"> or range of topics may be the more legitimated the more widely it is believed to fall under that term [i.e. education]". This is exactly what I mean with the manifesto-like character of the word ‘</w:t>
      </w:r>
      <w:r>
        <w:rPr>
          <w:rStyle w:val="StyleUnderline"/>
        </w:rPr>
        <w:t>education’</w:t>
      </w:r>
      <w:r>
        <w:t xml:space="preserve">: it </w:t>
      </w:r>
      <w:r>
        <w:rPr>
          <w:rStyle w:val="StyleUnderline"/>
        </w:rPr>
        <w:t xml:space="preserve">is not just a name, it is an ultimately </w:t>
      </w:r>
      <w:r>
        <w:rPr>
          <w:rStyle w:val="Emphasis"/>
        </w:rPr>
        <w:t>concentrated</w:t>
      </w:r>
      <w:r>
        <w:rPr>
          <w:rStyle w:val="StyleUnderline"/>
        </w:rPr>
        <w:t xml:space="preserve"> piece of information</w:t>
      </w:r>
      <w:r>
        <w:t>. [4] Actually, the same idea can be found in Frankena (1973, 73), when he writes that education must foster disposition and use methods "that are desirable and morally unobjectionable, or at least regarded as such, otherwise it is not education" (emphasis mine). - Obviously this notion should lead to a conclusion that the characteristics of the phenomenon of ‘education’ have to be sought from the name-giving process, not from the things that are named as education. [5] Frankena (1973, 75) writes that Plato, Kant, Dewey or Chinese ---"all mean by ‘</w:t>
      </w:r>
      <w:r>
        <w:rPr>
          <w:rStyle w:val="StyleUnderline"/>
        </w:rPr>
        <w:t>education’</w:t>
      </w:r>
      <w:r>
        <w:t xml:space="preserve"> (or its equivalents in their languages) the same thing, i.e. </w:t>
      </w:r>
      <w:r>
        <w:rPr>
          <w:rStyle w:val="StyleUnderline"/>
        </w:rPr>
        <w:t>a process, involving an educator and an educated</w:t>
      </w:r>
      <w:r>
        <w:t>, of forming ’desirable dispositions by desirable methods’" (emphasis mine). [6] In The New Encyclopaedia Britannica (15th edition, Vol. 4) ‘</w:t>
      </w:r>
      <w:r>
        <w:rPr>
          <w:rStyle w:val="StyleUnderline"/>
        </w:rPr>
        <w:t>education’ is defined as a discipline that is concerned --- "mainly with methods of teaching and learning in schools</w:t>
      </w:r>
      <w:r>
        <w:t xml:space="preserve"> or schoollike environments </w:t>
      </w:r>
      <w:r>
        <w:rPr>
          <w:rStyle w:val="StyleUnderline"/>
        </w:rPr>
        <w:t>as opposed to various informal means of socialization</w:t>
      </w:r>
      <w:r>
        <w:t xml:space="preserve">". - </w:t>
      </w:r>
      <w:r>
        <w:rPr>
          <w:rStyle w:val="StyleUnderline"/>
        </w:rPr>
        <w:t>The connection to schooling is obvious</w:t>
      </w:r>
      <w:r>
        <w:t>.</w:t>
      </w:r>
    </w:p>
    <w:p w:rsidR="00991CBA" w:rsidRDefault="00991CBA" w:rsidP="00991CBA"/>
    <w:p w:rsidR="00991CBA" w:rsidRDefault="00991CBA" w:rsidP="00991CBA">
      <w:pPr>
        <w:pStyle w:val="Heading4"/>
      </w:pPr>
      <w:r>
        <w:t xml:space="preserve">Violation – the plan regulates </w:t>
      </w:r>
      <w:r>
        <w:rPr>
          <w:u w:val="single"/>
        </w:rPr>
        <w:t>schools</w:t>
      </w:r>
      <w:r>
        <w:t xml:space="preserve">, not the content of education </w:t>
      </w:r>
    </w:p>
    <w:p w:rsidR="00991CBA" w:rsidRDefault="00991CBA" w:rsidP="00991CBA"/>
    <w:p w:rsidR="00991CBA" w:rsidRDefault="00991CBA" w:rsidP="00991CBA">
      <w:pPr>
        <w:pStyle w:val="Heading4"/>
      </w:pPr>
      <w:r>
        <w:t xml:space="preserve">Limits – it makes the topic </w:t>
      </w:r>
      <w:r>
        <w:rPr>
          <w:u w:val="single"/>
        </w:rPr>
        <w:t>unworkably large</w:t>
      </w:r>
      <w:r>
        <w:t xml:space="preserve"> by exploding aff ground to anything tangentially related to the education process and destroys negative prep by giving the aff free reign of any industry even tangentially related to public schools – which is all of them</w:t>
      </w:r>
    </w:p>
    <w:p w:rsidR="00991CBA" w:rsidRDefault="00991CBA" w:rsidP="00991CBA">
      <w:pPr>
        <w:pStyle w:val="Heading3"/>
      </w:pPr>
      <w:r>
        <w:t>2NC – Precision – Impact</w:t>
      </w:r>
    </w:p>
    <w:p w:rsidR="00991CBA" w:rsidRPr="005015BA" w:rsidRDefault="00991CBA" w:rsidP="00991CBA">
      <w:pPr>
        <w:pStyle w:val="Heading4"/>
      </w:pPr>
      <w:r w:rsidRPr="005015BA">
        <w:t>Strict clarity on the definition of “regulation” is key to topic and legal education</w:t>
      </w:r>
    </w:p>
    <w:p w:rsidR="00991CBA" w:rsidRPr="005015BA" w:rsidRDefault="00991CBA" w:rsidP="00991CBA">
      <w:r w:rsidRPr="005015BA">
        <w:rPr>
          <w:rStyle w:val="Style13ptBold"/>
        </w:rPr>
        <w:t>Orbach 12 –</w:t>
      </w:r>
      <w:r w:rsidRPr="005015BA">
        <w:t xml:space="preserve"> Barak Orbach, Professor of Law at the University of Arizona College of Law, “What Is Regulation?”, Yale Journal on Regulation, http://yalejreg.com/what-is-regulation/</w:t>
      </w:r>
    </w:p>
    <w:p w:rsidR="00991CBA" w:rsidRPr="005015BA" w:rsidRDefault="00991CBA" w:rsidP="00991CBA">
      <w:pPr>
        <w:rPr>
          <w:rStyle w:val="StyleUnderline"/>
        </w:rPr>
      </w:pPr>
      <w:r w:rsidRPr="005015BA">
        <w:rPr>
          <w:rStyle w:val="StyleUnderline"/>
        </w:rPr>
        <w:t>People hold strong views about regulation, but do they know what “regulation” means?</w:t>
      </w:r>
      <w:r w:rsidRPr="005015BA">
        <w:t xml:space="preserve"> National Federation of Independent Business (NFIB) is a landmark in regulation jurisprudence, yet the NFIB Court was divided over the meaning of the term “to regulate.” Long ago, John Stuart Mill observed that “we do not [always] understand the grounds of our opinion. But when we turn to . . . morals, religion, politics, social relations, and the business of life, three-fourths of the arguments for every disputed opinion consist in dispelling the appearances which favor some opinion different from it.” The controversy and confusion about regulation illustrate the phenomenon. </w:t>
      </w:r>
      <w:r w:rsidRPr="005015BA">
        <w:rPr>
          <w:rStyle w:val="StyleUnderline"/>
        </w:rPr>
        <w:t>This Essay explores the meaning of the term “regulation.”</w:t>
      </w:r>
    </w:p>
    <w:p w:rsidR="00991CBA" w:rsidRPr="005015BA" w:rsidRDefault="00991CBA" w:rsidP="00991CBA">
      <w:r w:rsidRPr="005015BA">
        <w:t>People hold strong views about regulation, but do they know what “regulation” means? National Federation of Independent Business (“NFIB”)1 is a milestone in regulation jurisprudence, yet the NFIB Court was divided over the meaning of the term “to regulate.” Disagreeing on whether Congress has authority to mandate minimum health insurance coverage, the Justices presented two opposite, yet firm views about whether the phrase “to regulate” can mean to require activities.2 This fundamental disagreement led the Justices to a debate about the question whether a health insurance mandate is equivalent to “address[ing] the diet problem by ordering everyone to buy vegetables.”3</w:t>
      </w:r>
    </w:p>
    <w:p w:rsidR="00991CBA" w:rsidRPr="005015BA" w:rsidRDefault="00991CBA" w:rsidP="00991CBA">
      <w:r w:rsidRPr="005015BA">
        <w:t xml:space="preserve">During the past century, </w:t>
      </w:r>
      <w:r w:rsidRPr="005015BA">
        <w:rPr>
          <w:rStyle w:val="StyleUnderline"/>
        </w:rPr>
        <w:t>substantial resources have been invested in the politics and scholarship of regulation</w:t>
      </w:r>
      <w:r w:rsidRPr="005015BA">
        <w:t xml:space="preserve"> (see Figure 1).4 </w:t>
      </w:r>
      <w:r w:rsidRPr="005015BA">
        <w:rPr>
          <w:rStyle w:val="StyleUnderline"/>
        </w:rPr>
        <w:t xml:space="preserve">Nonetheless, the term “regulation” appears to escape a </w:t>
      </w:r>
      <w:r w:rsidRPr="005015BA">
        <w:rPr>
          <w:rStyle w:val="Emphasis"/>
        </w:rPr>
        <w:t>clear definition</w:t>
      </w:r>
      <w:r w:rsidRPr="005015BA">
        <w:t xml:space="preserve">. 5 Although </w:t>
      </w:r>
      <w:r w:rsidRPr="005015BA">
        <w:rPr>
          <w:rStyle w:val="StyleUnderline"/>
        </w:rPr>
        <w:t>regulation</w:t>
      </w:r>
      <w:r w:rsidRPr="005015BA">
        <w:t xml:space="preserve"> has been one of the most controversial topics in law and politics, it </w:t>
      </w:r>
      <w:r w:rsidRPr="005015BA">
        <w:rPr>
          <w:rStyle w:val="StyleUnderline"/>
        </w:rPr>
        <w:t>has</w:t>
      </w:r>
      <w:r w:rsidRPr="005015BA">
        <w:t xml:space="preserve"> also </w:t>
      </w:r>
      <w:r w:rsidRPr="005015BA">
        <w:rPr>
          <w:rStyle w:val="StyleUnderline"/>
        </w:rPr>
        <w:t xml:space="preserve">been </w:t>
      </w:r>
      <w:r w:rsidRPr="005015BA">
        <w:rPr>
          <w:rStyle w:val="Emphasis"/>
        </w:rPr>
        <w:t>one of the most misunderstood concepts</w:t>
      </w:r>
      <w:r w:rsidRPr="005015BA">
        <w:rPr>
          <w:rStyle w:val="StyleUnderline"/>
        </w:rPr>
        <w:t xml:space="preserve"> in modern legal thinking</w:t>
      </w:r>
      <w:r w:rsidRPr="005015BA">
        <w:t>.</w:t>
      </w:r>
    </w:p>
    <w:p w:rsidR="00991CBA" w:rsidRPr="005015BA" w:rsidRDefault="00991CBA" w:rsidP="00991CBA">
      <w:r w:rsidRPr="005015BA">
        <w:rPr>
          <w:rStyle w:val="StyleUnderline"/>
        </w:rPr>
        <w:t xml:space="preserve">The evasive nature of the term “regulation” is largely a product of confusion between two unrelated matters—the abstract concept of regulation and opinions about the desirable scope of regulatory powers or desirable regulatory policies. People intuitively understand the word “regulation” to mean government intervention in liberty and choices—through legal rules that define the legally available options and through legal rules that manipulate incentives. But too often, ideologies and preexisting beliefs dictate perceptions as to what intervention means and whether intervention is needed. This pattern results in </w:t>
      </w:r>
      <w:r w:rsidRPr="005015BA">
        <w:rPr>
          <w:rStyle w:val="Emphasis"/>
        </w:rPr>
        <w:t>inconsistent preferences</w:t>
      </w:r>
      <w:r w:rsidRPr="005015BA">
        <w:rPr>
          <w:rStyle w:val="StyleUnderline"/>
        </w:rPr>
        <w:t xml:space="preserve"> for regulation and </w:t>
      </w:r>
      <w:r w:rsidRPr="005015BA">
        <w:rPr>
          <w:rStyle w:val="Emphasis"/>
        </w:rPr>
        <w:t>obscures the understanding of the term</w:t>
      </w:r>
      <w:r w:rsidRPr="005015BA">
        <w:t>. It is not uncommon that individuals who express contempt of government regulation are proponents of intrusive regulation that serves their values,8 while individuals who advocate for government regulation reject notions of regulatory tradeoffs.9 The Supreme Court’s debate over the meaning of the phrase “to regulate” in NFIB illuminates the phenomenon.10 Scholars who grappled with the meaning of the term “regulation” produced various definitions for the meaning of intervention or followed the path of using their own personal beliefs to explain the concept, indirectly creating informal definitions.</w:t>
      </w:r>
    </w:p>
    <w:p w:rsidR="00991CBA" w:rsidRPr="005015BA" w:rsidRDefault="00991CBA" w:rsidP="00991CBA">
      <w:r w:rsidRPr="005015BA">
        <w:t>A few examples of the confusion between perceptions of regulation and the understanding of the concept as government intervention may be helpful.</w:t>
      </w:r>
    </w:p>
    <w:p w:rsidR="00991CBA" w:rsidRPr="005B6292" w:rsidRDefault="00991CBA" w:rsidP="00991CBA">
      <w:pPr>
        <w:pStyle w:val="Heading4"/>
      </w:pPr>
      <w:r w:rsidRPr="005B6292">
        <w:t>Precision key – otherwise the aff gets manipulated by administrators and ruled unconstitutional – void for vagueness</w:t>
      </w:r>
    </w:p>
    <w:p w:rsidR="00991CBA" w:rsidRDefault="00991CBA" w:rsidP="00991CBA">
      <w:pPr>
        <w:rPr>
          <w:b/>
          <w:bCs/>
          <w:sz w:val="26"/>
        </w:rPr>
      </w:pPr>
      <w:r>
        <w:rPr>
          <w:rStyle w:val="Style13ptBold"/>
        </w:rPr>
        <w:t xml:space="preserve">Lachman 91 </w:t>
      </w:r>
      <w:r>
        <w:t>[Branton G., Western State University College of Law J.D. Candidate, Spring 1991, Western State University Law Review, “Home Education and Fundamental Rights: Can Johnny's Parents Teach Johnny?,” Page 8)</w:t>
      </w:r>
    </w:p>
    <w:p w:rsidR="00991CBA" w:rsidRDefault="00991CBA" w:rsidP="00991CBA">
      <w:r>
        <w:rPr>
          <w:rStyle w:val="StyleUnderline"/>
        </w:rPr>
        <w:t>The Due Process Clause of the fourteenth amendment provides protection from laws or regulations that are vague or involve overreaching administrative discretion</w:t>
      </w:r>
      <w:r>
        <w:t xml:space="preserve">. n114 </w:t>
      </w:r>
      <w:r>
        <w:rPr>
          <w:rStyle w:val="StyleUnderline"/>
        </w:rPr>
        <w:t>Compulsory education statutes must be</w:t>
      </w:r>
      <w:r>
        <w:t xml:space="preserve"> [*744] </w:t>
      </w:r>
      <w:r>
        <w:rPr>
          <w:rStyle w:val="StyleUnderline"/>
        </w:rPr>
        <w:t>measured against the Due Process Clause</w:t>
      </w:r>
      <w:r>
        <w:t xml:space="preserve"> since they often require attendance at "public [or] private . . . schools," n115 "equivalent instruction" n116 or that home instruction be performed "by a person qualified to teach." n117 </w:t>
      </w:r>
      <w:r>
        <w:rPr>
          <w:rStyle w:val="StyleUnderline"/>
        </w:rPr>
        <w:t>Because the penalty for violation is typically criminal</w:t>
      </w:r>
      <w:r>
        <w:t xml:space="preserve">, n118 compulsory </w:t>
      </w:r>
      <w:r>
        <w:rPr>
          <w:rStyle w:val="StyleUnderline"/>
        </w:rPr>
        <w:t>education statutes must be carefully examined to ensure compliance with due process. A statute with no definition of "private school," "equivalent education," "persons qualified to teach," etc. would on its face be considered impermissibly vague by not giving a "person of ordinary intelligence a reasonable opportunity to know what is prohibited, so that he may act accordingly.</w:t>
      </w:r>
      <w:r>
        <w:t xml:space="preserve">" n119 For example, the court in State v. Popanz n120 dismissed criminal actions against parents involved in home education and struck down that portion of the statute applied against them because it did not define a "private school." n121 </w:t>
      </w:r>
      <w:r>
        <w:rPr>
          <w:rStyle w:val="StyleUnderline"/>
        </w:rPr>
        <w:t>Lack of precise definitions may also cause compulsory education statutes to violate due process by leaving their meaning to the unchecked discretion of public school officials</w:t>
      </w:r>
      <w:r>
        <w:t>. n122</w:t>
      </w:r>
    </w:p>
    <w:p w:rsidR="00991CBA" w:rsidRDefault="00991CBA" w:rsidP="00991CBA"/>
    <w:p w:rsidR="00991CBA" w:rsidRDefault="00991CBA" w:rsidP="00991CBA"/>
    <w:p w:rsidR="00991CBA" w:rsidRPr="00FA54EA" w:rsidRDefault="00991CBA" w:rsidP="00991CBA"/>
    <w:p w:rsidR="00991CBA" w:rsidRDefault="00991CBA" w:rsidP="00991CBA">
      <w:pPr>
        <w:pStyle w:val="Heading3"/>
      </w:pPr>
      <w:r>
        <w:t xml:space="preserve">2NC – Interp </w:t>
      </w:r>
    </w:p>
    <w:p w:rsidR="00991CBA" w:rsidRPr="005B6292" w:rsidRDefault="00991CBA" w:rsidP="00991CBA">
      <w:pPr>
        <w:pStyle w:val="Heading4"/>
      </w:pPr>
      <w:r>
        <w:t xml:space="preserve">It must implicate the </w:t>
      </w:r>
      <w:r>
        <w:rPr>
          <w:u w:val="single"/>
        </w:rPr>
        <w:t>education itself</w:t>
      </w:r>
      <w:r>
        <w:t xml:space="preserve"> – anything else is to broad </w:t>
      </w:r>
    </w:p>
    <w:p w:rsidR="00991CBA" w:rsidRDefault="00991CBA" w:rsidP="00991CBA">
      <w:r>
        <w:rPr>
          <w:rStyle w:val="Style13ptBold"/>
        </w:rPr>
        <w:t>Rao 14</w:t>
      </w:r>
      <w:r>
        <w:t xml:space="preserve"> (Manjula P. Professor, Regional Institute of Education, Mysore, Basics in Education” ed. by Ashok K. Srivastava. National Council of Educational Research and Training, </w:t>
      </w:r>
      <w:hyperlink r:id="rId7" w:history="1">
        <w:r>
          <w:rPr>
            <w:rStyle w:val="Hyperlink"/>
          </w:rPr>
          <w:t>http://www.ncert.nic.in/pdf_files/basic_in_education.pdf</w:t>
        </w:r>
      </w:hyperlink>
      <w:r>
        <w:rPr>
          <w:rStyle w:val="Hyperlink"/>
        </w:rPr>
        <w:t>)</w:t>
      </w:r>
    </w:p>
    <w:p w:rsidR="00991CBA" w:rsidRPr="005B6292" w:rsidRDefault="00991CBA" w:rsidP="00991CBA">
      <w:r>
        <w:t xml:space="preserve">Narrow Meaning of Education You must have come across people who consider that instruction imparted in schools and higher education institutions is nothing but education. </w:t>
      </w:r>
      <w:r>
        <w:rPr>
          <w:rStyle w:val="StyleUnderline"/>
        </w:rPr>
        <w:t>The aims of education</w:t>
      </w:r>
      <w:r>
        <w:t xml:space="preserve"> in these contexts </w:t>
      </w:r>
      <w:r>
        <w:rPr>
          <w:rStyle w:val="StyleUnderline"/>
        </w:rPr>
        <w:t>are measured in terms of degrees or certification or promotion. There is a deliberate effort made with a definite purpose to develop certain amount of knowledge, skills, attitudes and habits in these institutions. This is a narrow concept of education, which is confined only to a few specific, deliberate, and planned efforts that have a bearing on the development of the individual.</w:t>
      </w:r>
      <w:r>
        <w:t xml:space="preserve"> The educator, in the narrow sense, aims at producing the literate or a professional person such as an engineer, a doctor, a teacher, a businessman and so on. Here, </w:t>
      </w:r>
      <w:r>
        <w:rPr>
          <w:rStyle w:val="StyleUnderline"/>
        </w:rPr>
        <w:t>the individual is deliberately ‘taught to think’ as predetermined by the educators. Thus, in a narrow sense, education is nothing, but a purposeful activity, deliberately planned for the optimum development of an individual’s potentials.</w:t>
      </w:r>
      <w:r>
        <w:t xml:space="preserve"> </w:t>
      </w:r>
      <w:r>
        <w:rPr>
          <w:rStyle w:val="StyleUnderline"/>
        </w:rPr>
        <w:t xml:space="preserve">“Education in the narrow sense does not include self culture and the general influences of one’s surroundings, but only those special influences which are consciously and designedly brought to bear upon the youngster by the adult persons of the community </w:t>
      </w:r>
      <w:r>
        <w:t>whether through the family, the church or the state.” — Thomas Raymont (1906)</w:t>
      </w:r>
    </w:p>
    <w:p w:rsidR="00991CBA" w:rsidRPr="005B6292" w:rsidRDefault="00991CBA" w:rsidP="00991CBA">
      <w:pPr>
        <w:pStyle w:val="Heading2"/>
      </w:pPr>
      <w:r>
        <w:t xml:space="preserve">T – Funding = Curriculum </w:t>
      </w:r>
    </w:p>
    <w:p w:rsidR="00991CBA" w:rsidRDefault="00991CBA" w:rsidP="00991CBA">
      <w:pPr>
        <w:pStyle w:val="Heading3"/>
      </w:pPr>
      <w:r>
        <w:t>1NC</w:t>
      </w:r>
    </w:p>
    <w:p w:rsidR="00991CBA" w:rsidRPr="00FA54EA" w:rsidRDefault="00991CBA" w:rsidP="00991CBA">
      <w:pPr>
        <w:pStyle w:val="Heading4"/>
      </w:pPr>
      <w:r>
        <w:t xml:space="preserve">Interp – education funding must be targeted at the </w:t>
      </w:r>
      <w:r>
        <w:rPr>
          <w:u w:val="single"/>
        </w:rPr>
        <w:t>content of the education</w:t>
      </w:r>
      <w:r>
        <w:t xml:space="preserve"> – a narrow definition is key to accuracy </w:t>
      </w:r>
    </w:p>
    <w:p w:rsidR="00991CBA" w:rsidRDefault="00991CBA" w:rsidP="00991CBA">
      <w:r>
        <w:rPr>
          <w:rStyle w:val="Style13ptBold"/>
        </w:rPr>
        <w:t>Rao 14</w:t>
      </w:r>
      <w:r>
        <w:t xml:space="preserve"> (Manjula P. Professor, Regional Institute of Education, Mysore, Basics in Education” ed. by Ashok K. Srivastava. National Council of Educational Research and Training, </w:t>
      </w:r>
      <w:hyperlink r:id="rId8" w:history="1">
        <w:r>
          <w:rPr>
            <w:rStyle w:val="Hyperlink"/>
          </w:rPr>
          <w:t>http://www.ncert.nic.in/pdf_files/basic_in_education.pdf</w:t>
        </w:r>
      </w:hyperlink>
      <w:r>
        <w:rPr>
          <w:rStyle w:val="Hyperlink"/>
        </w:rPr>
        <w:t>)</w:t>
      </w:r>
    </w:p>
    <w:p w:rsidR="00991CBA" w:rsidRDefault="00991CBA" w:rsidP="00991CBA">
      <w:r>
        <w:t xml:space="preserve">Narrow Meaning of Education You must have come across people who consider that instruction imparted in schools and higher education institutions is nothing but education. </w:t>
      </w:r>
      <w:r>
        <w:rPr>
          <w:rStyle w:val="StyleUnderline"/>
        </w:rPr>
        <w:t>The aims of education</w:t>
      </w:r>
      <w:r>
        <w:t xml:space="preserve"> in these contexts </w:t>
      </w:r>
      <w:r>
        <w:rPr>
          <w:rStyle w:val="StyleUnderline"/>
        </w:rPr>
        <w:t>are measured in terms of degrees or certification or promotion. There is a deliberate effort made with a definite purpose to develop certain amount of knowledge, skills, attitudes and habits in these institutions. This is a narrow concept of education, which is confined only to a few specific, deliberate, and planned efforts that have a bearing on the development of the individual.</w:t>
      </w:r>
      <w:r>
        <w:t xml:space="preserve"> The educator, in the narrow sense, aims at producing the literate or a professional person such as an engineer, a doctor, a teacher, a businessman and so on. Here, </w:t>
      </w:r>
      <w:r>
        <w:rPr>
          <w:rStyle w:val="StyleUnderline"/>
        </w:rPr>
        <w:t>the individual is deliberately ‘taught to think’ as predetermined by the educators. Thus, in a narrow sense, education is nothing, but a purposeful activity, deliberately planned for the optimum development of an individual’s potentials.</w:t>
      </w:r>
      <w:r>
        <w:t xml:space="preserve"> </w:t>
      </w:r>
      <w:r>
        <w:rPr>
          <w:rStyle w:val="StyleUnderline"/>
        </w:rPr>
        <w:t xml:space="preserve">“Education in the narrow sense does not include self culture and the general influences of one’s surroundings, but only those special influences which are consciously and designedly brought to bear upon the youngster by the adult persons of the community </w:t>
      </w:r>
      <w:r>
        <w:t>whether through the family, the church or the state.” — Thomas Raymont (1906)</w:t>
      </w:r>
    </w:p>
    <w:p w:rsidR="00991CBA" w:rsidRDefault="00991CBA" w:rsidP="00991CBA"/>
    <w:p w:rsidR="00991CBA" w:rsidRDefault="00991CBA" w:rsidP="00991CBA">
      <w:pPr>
        <w:pStyle w:val="Heading4"/>
      </w:pPr>
      <w:r>
        <w:t xml:space="preserve">Violation – the 1ac funds </w:t>
      </w:r>
      <w:r>
        <w:rPr>
          <w:u w:val="single"/>
        </w:rPr>
        <w:t>schools</w:t>
      </w:r>
      <w:r>
        <w:t xml:space="preserve">, not </w:t>
      </w:r>
      <w:r>
        <w:rPr>
          <w:u w:val="single"/>
        </w:rPr>
        <w:t>education</w:t>
      </w:r>
      <w:r>
        <w:t xml:space="preserve"> – it is an entire second topic </w:t>
      </w:r>
    </w:p>
    <w:p w:rsidR="00991CBA" w:rsidRDefault="00991CBA" w:rsidP="00991CBA"/>
    <w:p w:rsidR="00991CBA" w:rsidRPr="005B6292" w:rsidRDefault="00991CBA" w:rsidP="00991CBA">
      <w:pPr>
        <w:pStyle w:val="Heading4"/>
      </w:pPr>
      <w:r>
        <w:t xml:space="preserve">Limits – allowing school funding explodes the resolution to include any possible change to schools – their interpretation makes nuclear sub construction in schools topic – it decimates negative preparation and destroys clash </w:t>
      </w:r>
    </w:p>
    <w:p w:rsidR="00991CBA" w:rsidRDefault="00991CBA" w:rsidP="00991CBA">
      <w:pPr>
        <w:pStyle w:val="Heading3"/>
      </w:pPr>
      <w:r>
        <w:t xml:space="preserve">2NC – Interp </w:t>
      </w:r>
    </w:p>
    <w:p w:rsidR="00991CBA" w:rsidRPr="00FA54EA" w:rsidRDefault="00991CBA" w:rsidP="00991CBA">
      <w:pPr>
        <w:pStyle w:val="Heading4"/>
      </w:pPr>
      <w:r w:rsidRPr="005B6292">
        <w:t>Education is distinct from schooling</w:t>
      </w:r>
      <w:r>
        <w:t xml:space="preserve"> – that clarification is </w:t>
      </w:r>
      <w:r>
        <w:rPr>
          <w:u w:val="single"/>
        </w:rPr>
        <w:t>crucial</w:t>
      </w:r>
      <w:r>
        <w:t xml:space="preserve"> to accurate debate </w:t>
      </w:r>
    </w:p>
    <w:p w:rsidR="00991CBA" w:rsidRDefault="00991CBA" w:rsidP="00991CBA">
      <w:r>
        <w:rPr>
          <w:rStyle w:val="Style13ptBold"/>
        </w:rPr>
        <w:t>Carr 3</w:t>
      </w:r>
      <w:r>
        <w:t xml:space="preserve"> (David, Professor of Ethics and Education at the University of Birmingham, UK, Rival Conceptions of Practice in Education and Teaching” Journal of Philosophy of Education, Vol. 37, No. 2, 2003, http://exordio.qfb.umich.mx/archivos%20PDF%20de%20trabajo%20UMSNH/Aphilosofia/educaci%C3%B3n%20filosofia/libro%20dos/Rival%20Conceptions%20of%20Practice%20in%20Education%20and%20Teaching.pdf)</w:t>
      </w:r>
    </w:p>
    <w:p w:rsidR="00991CBA" w:rsidRDefault="00991CBA" w:rsidP="00991CBA">
      <w:r>
        <w:t>However, perhaps</w:t>
      </w:r>
      <w:r>
        <w:rPr>
          <w:rStyle w:val="StyleUnderline"/>
        </w:rPr>
        <w:t xml:space="preserve"> the most problematic assumption behind the idea that education is a practice</w:t>
      </w:r>
      <w:r>
        <w:t xml:space="preserve"> in the manner of science, law or medicine </w:t>
      </w:r>
      <w:r>
        <w:rPr>
          <w:rStyle w:val="StyleUnderline"/>
        </w:rPr>
        <w:t>to which some independent body</w:t>
      </w:r>
      <w:r>
        <w:t xml:space="preserve"> of clarificatory philosophy or theory </w:t>
      </w:r>
      <w:r>
        <w:rPr>
          <w:rStyle w:val="StyleUnderline"/>
        </w:rPr>
        <w:t>needs to be applied</w:t>
      </w:r>
      <w:r>
        <w:t>—and hence for any clear view of the theoretical status of educational philosophy and the nature of education and teaching as practices—</w:t>
      </w:r>
      <w:r>
        <w:rPr>
          <w:rStyle w:val="StyleUnderline"/>
        </w:rPr>
        <w:t>may be the idea that the education and teaching that philosophers of education see it as their job to investigate are respectively public institutions and professional roles</w:t>
      </w:r>
      <w:r>
        <w:t xml:space="preserve">. This is perhaps generally not altogether surprising since most contemporary philosophers of education are professionally employed in educational institutions as teachers of others (who are often enough themselves employed as professional teachers). It is also understandable insofar as education and teaching as institutions and professional roles are clearly of major social, political and economic importance and concern in advanced societies like our own. But we may also need to be reminded—not least for the general health and flourishing of these very roles and institutions—that this is not the only way in which we might think about the place of education and teaching in human affairs, and that such emphases may indeed take us in some rather problematic directions. Indeed, it seems not to have been the way in which the founding father of philosophy Socrates thought about education—or even that of the architects of post-war analytical philosophy of education when they spoke of the ‘intrinsic’ value of education. At all events, </w:t>
      </w:r>
      <w:r>
        <w:rPr>
          <w:rStyle w:val="StyleUnderline"/>
        </w:rPr>
        <w:t>it may be useful to begin by recognising</w:t>
      </w:r>
      <w:r>
        <w:t xml:space="preserve"> (however we do this) </w:t>
      </w:r>
      <w:r>
        <w:rPr>
          <w:rStyle w:val="StyleUnderline"/>
        </w:rPr>
        <w:t xml:space="preserve">some distinction between education and schooling. Schools are social institutions that occupy space </w:t>
      </w:r>
      <w:r>
        <w:t xml:space="preserve">and are appropriately organised and regulated, </w:t>
      </w:r>
      <w:r>
        <w:rPr>
          <w:rStyle w:val="StyleUnderline"/>
        </w:rPr>
        <w:t>but education is not in and of itself any such thing and does not need any such institution to take place. It therefore makes perfect sense to speak,</w:t>
      </w:r>
      <w:r>
        <w:t xml:space="preserve"> as radical educationalists have done (one may disagree with them, but they are not talking obvious nonsense) </w:t>
      </w:r>
      <w:r>
        <w:rPr>
          <w:rStyle w:val="StyleUnderline"/>
        </w:rPr>
        <w:t>of schools in which little or no education goes on, or of persons as educated although they have never been to school.</w:t>
      </w:r>
      <w:r>
        <w:t xml:space="preserve"> But, of course, any such distinction between education and schooling introduces significant ambiguity into talk of teaching. On the one hand, teaching is an episodic activity in which one can engage more or less successfully, for a given period of time, within or outside some institutional context: on the other, it is a socially accountable professional and institutional role which carries certain public institutional duties or responsibilities, and in which individuals engage to earn their living. One reason, I suspect, why </w:t>
      </w:r>
      <w:r>
        <w:rPr>
          <w:rStyle w:val="StyleUnderline"/>
        </w:rPr>
        <w:t>it is hard to get a clear view of the nature of teaching as a practice</w:t>
      </w:r>
      <w:r>
        <w:t xml:space="preserve"> (in the MacIntyrean or any other sense) is </w:t>
      </w:r>
      <w:r>
        <w:rPr>
          <w:rStyle w:val="StyleUnderline"/>
        </w:rPr>
        <w:t>because a certain contemporary tendency to construe teaching in the latter sense of social or professional role obscures our vision of the wider noninstitutional human and moral significance of both teaching and education</w:t>
      </w:r>
      <w:r>
        <w:t>.</w:t>
      </w:r>
    </w:p>
    <w:p w:rsidR="00991CBA" w:rsidRPr="00FA54EA" w:rsidRDefault="00991CBA" w:rsidP="00991CBA"/>
    <w:p w:rsidR="00991CBA" w:rsidRDefault="00991CBA" w:rsidP="00991CBA">
      <w:pPr>
        <w:pStyle w:val="Heading3"/>
      </w:pPr>
      <w:r>
        <w:t xml:space="preserve">2NC – Precision – Impact </w:t>
      </w:r>
    </w:p>
    <w:p w:rsidR="00991CBA" w:rsidRPr="005B6292" w:rsidRDefault="00991CBA" w:rsidP="00991CBA">
      <w:pPr>
        <w:pStyle w:val="Heading4"/>
      </w:pPr>
      <w:r w:rsidRPr="005B6292">
        <w:t xml:space="preserve">Without a narrow legal definition, education can literally mean anything. </w:t>
      </w:r>
    </w:p>
    <w:p w:rsidR="00991CBA" w:rsidRDefault="00991CBA" w:rsidP="00991CBA">
      <w:r>
        <w:rPr>
          <w:rStyle w:val="Style13ptBold"/>
        </w:rPr>
        <w:t>Clarke 61</w:t>
      </w:r>
      <w:r>
        <w:t xml:space="preserve"> [Iowa Supreme Court Judge, Wade, 5-2-61, Supreme Court of Iowa, “COMMUNITY DRAMA ASSOCIATION OF DES MOINES, Appellee, v. IOWA STATE TAX COMMISSION (members), Appellants,” Page 6]</w:t>
      </w:r>
    </w:p>
    <w:p w:rsidR="00991CBA" w:rsidRDefault="00991CBA" w:rsidP="00991CBA">
      <w:r>
        <w:t xml:space="preserve">X. </w:t>
      </w:r>
      <w:r>
        <w:rPr>
          <w:rStyle w:val="StyleUnderline"/>
        </w:rPr>
        <w:t>The broad definition of the word "education" finds support in our cases</w:t>
      </w:r>
      <w:r>
        <w:t xml:space="preserve">. In re Petty, 241 Iowa 506, [***13] 511, 41 N.W.2d 672, 675, quotes with approval: "* * * [HN3] </w:t>
      </w:r>
      <w:r>
        <w:rPr>
          <w:rStyle w:val="StyleUnderline"/>
        </w:rPr>
        <w:t>education is defined as a broad and comprehensive term with a variable and indefinite meaning, and in its broadest significance comprehends the acquisition of all knowledge tending to develop and train the</w:t>
      </w:r>
      <w:r>
        <w:t xml:space="preserve"> [*862] </w:t>
      </w:r>
      <w:r>
        <w:rPr>
          <w:rStyle w:val="StyleUnderline"/>
        </w:rPr>
        <w:t>individual. '"Education" is a broad term, and includes all knowledge, if we take it in its full, and not in its legal or popular, sense. Whatever we learn by observation, by conversation, or by other means, away from what has been implanted by nature, is education. In fact, everything not known intuitively and instinctively is education</w:t>
      </w:r>
      <w:r>
        <w:t xml:space="preserve"> * * *.' * * * </w:t>
      </w:r>
      <w:r>
        <w:rPr>
          <w:rStyle w:val="StyleUnderline"/>
        </w:rPr>
        <w:t>It has been defined as 'the process of developing and training the powers and capabilities of human beings</w:t>
      </w:r>
      <w:r>
        <w:t>.'"</w:t>
      </w:r>
    </w:p>
    <w:p w:rsidR="00991CBA" w:rsidRDefault="00991CBA" w:rsidP="00991CBA"/>
    <w:p w:rsidR="00991CBA" w:rsidRDefault="00991CBA" w:rsidP="00991CBA">
      <w:pPr>
        <w:pStyle w:val="Heading2"/>
      </w:pPr>
      <w:r>
        <w:t xml:space="preserve">T – Increase = Existing Regs </w:t>
      </w:r>
    </w:p>
    <w:p w:rsidR="00991CBA" w:rsidRDefault="00991CBA" w:rsidP="00991CBA">
      <w:pPr>
        <w:pStyle w:val="Heading3"/>
      </w:pPr>
      <w:r>
        <w:t xml:space="preserve">1NC </w:t>
      </w:r>
    </w:p>
    <w:p w:rsidR="00991CBA" w:rsidRPr="005015BA" w:rsidRDefault="00991CBA" w:rsidP="00991CBA">
      <w:pPr>
        <w:pStyle w:val="Heading4"/>
        <w:rPr>
          <w:rFonts w:asciiTheme="minorHAnsi" w:hAnsiTheme="minorHAnsi" w:cstheme="minorHAnsi"/>
        </w:rPr>
      </w:pPr>
      <w:r>
        <w:t xml:space="preserve">Interp – </w:t>
      </w:r>
      <w:r w:rsidRPr="005015BA">
        <w:rPr>
          <w:rFonts w:asciiTheme="minorHAnsi" w:hAnsiTheme="minorHAnsi" w:cstheme="minorHAnsi"/>
        </w:rPr>
        <w:t>“Increase” requires a pre-existing policy.</w:t>
      </w:r>
    </w:p>
    <w:p w:rsidR="00991CBA" w:rsidRPr="005015BA" w:rsidRDefault="00991CBA" w:rsidP="00991CBA">
      <w:pPr>
        <w:jc w:val="both"/>
        <w:rPr>
          <w:rFonts w:asciiTheme="minorHAnsi" w:hAnsiTheme="minorHAnsi" w:cstheme="minorHAnsi"/>
          <w:sz w:val="20"/>
          <w:szCs w:val="20"/>
        </w:rPr>
      </w:pPr>
      <w:r w:rsidRPr="005015BA">
        <w:rPr>
          <w:rFonts w:asciiTheme="minorHAnsi" w:hAnsiTheme="minorHAnsi" w:cstheme="minorHAnsi"/>
          <w:b/>
          <w:sz w:val="20"/>
          <w:szCs w:val="20"/>
        </w:rPr>
        <w:t>Buckley et al 06</w:t>
      </w:r>
      <w:r w:rsidRPr="005015BA">
        <w:rPr>
          <w:rFonts w:asciiTheme="minorHAnsi" w:hAnsiTheme="minorHAnsi" w:cstheme="minorHAnsi"/>
          <w:sz w:val="20"/>
          <w:szCs w:val="20"/>
        </w:rPr>
        <w:t xml:space="preserve"> (Jeremiah Buckley, Joseph Kolar and Matthew Previn, attorneys with Buckley Kolar LLP, Amicus Curiae in Support of Petitioners – “Safeco Ins. Co of America v. Burr” - http://supreme.lp.findlaw.com/supreme_court/briefs/06-84/06-84.mer.ami.mica.pdf - November 13, 2006)</w:t>
      </w:r>
    </w:p>
    <w:p w:rsidR="00991CBA" w:rsidRPr="005015BA" w:rsidRDefault="00991CBA" w:rsidP="00991CBA">
      <w:pPr>
        <w:jc w:val="both"/>
        <w:rPr>
          <w:rFonts w:asciiTheme="minorHAnsi" w:hAnsiTheme="minorHAnsi" w:cstheme="minorHAnsi"/>
          <w:b/>
        </w:rPr>
      </w:pPr>
      <w:r w:rsidRPr="005015BA">
        <w:rPr>
          <w:rFonts w:asciiTheme="minorHAnsi" w:hAnsiTheme="minorHAnsi" w:cstheme="minorHAnsi"/>
        </w:rPr>
        <w:t xml:space="preserve">First, </w:t>
      </w:r>
      <w:r w:rsidRPr="005015BA">
        <w:rPr>
          <w:rFonts w:asciiTheme="minorHAnsi" w:hAnsiTheme="minorHAnsi" w:cstheme="minorHAnsi"/>
          <w:b/>
          <w:u w:val="single"/>
        </w:rPr>
        <w:t>the court said that the ordinary meaning of the word “increase” is “to make something greater,”</w:t>
      </w:r>
      <w:r w:rsidRPr="005015BA">
        <w:rPr>
          <w:rFonts w:asciiTheme="minorHAnsi" w:hAnsiTheme="minorHAnsi" w:cstheme="minorHAnsi"/>
        </w:rPr>
        <w:t xml:space="preserve"> which it believed should not “be limited to cases in which a company raises the rate that an individual has previously been charged.” 435 F.3d at 1091. Yet the definition offered by the Ninth Circuit compels the opposite conclusion. </w:t>
      </w:r>
      <w:r w:rsidRPr="005015BA">
        <w:rPr>
          <w:rFonts w:asciiTheme="minorHAnsi" w:hAnsiTheme="minorHAnsi" w:cstheme="minorHAnsi"/>
          <w:b/>
          <w:u w:val="single"/>
        </w:rPr>
        <w:t>Because “increase” means “to make something greater,” there must necessarily have been an existing premium, to which Edo’s actual premium may be compared, to determine whether an  “increase” occurred. Congress</w:t>
      </w:r>
      <w:r w:rsidRPr="005015BA">
        <w:rPr>
          <w:rFonts w:asciiTheme="minorHAnsi" w:hAnsiTheme="minorHAnsi" w:cstheme="minorHAnsi"/>
        </w:rPr>
        <w:t xml:space="preserve"> could have provided that “adverse action” in the insurance context means charging an amount greater than the optimal premium, but instead </w:t>
      </w:r>
      <w:r w:rsidRPr="005015BA">
        <w:rPr>
          <w:rFonts w:asciiTheme="minorHAnsi" w:hAnsiTheme="minorHAnsi" w:cstheme="minorHAnsi"/>
          <w:b/>
          <w:u w:val="single"/>
        </w:rPr>
        <w:t>chose to define adverse action in terms of an “increase.” That definitional choice must be respected, not ignored.</w:t>
      </w:r>
      <w:r w:rsidRPr="005015BA">
        <w:rPr>
          <w:rFonts w:asciiTheme="minorHAnsi" w:hAnsiTheme="minorHAnsi" w:cstheme="minorHAnsi"/>
        </w:rPr>
        <w:t xml:space="preserve"> See Colautti v. Franklin, 439 U.S. 379, 392-93 n.10 (1979) (“[a] definition which declares what a term ‘means’ . . . excludes any meaning that is not stated”).</w:t>
      </w:r>
    </w:p>
    <w:p w:rsidR="00991CBA" w:rsidRDefault="00991CBA" w:rsidP="00991CBA">
      <w:pPr>
        <w:pStyle w:val="Heading4"/>
      </w:pPr>
      <w:r>
        <w:t xml:space="preserve">Violation – the aff is a </w:t>
      </w:r>
      <w:r>
        <w:rPr>
          <w:u w:val="single"/>
        </w:rPr>
        <w:t>new regulation</w:t>
      </w:r>
      <w:r>
        <w:t xml:space="preserve"> – that distinction matters </w:t>
      </w:r>
    </w:p>
    <w:p w:rsidR="00991CBA" w:rsidRDefault="00991CBA" w:rsidP="00991CBA"/>
    <w:p w:rsidR="00991CBA" w:rsidRPr="005B6292" w:rsidRDefault="00991CBA" w:rsidP="00991CBA">
      <w:pPr>
        <w:pStyle w:val="Heading4"/>
      </w:pPr>
      <w:r>
        <w:t xml:space="preserve">Limits – allowing limitless new restrictions changes the topic </w:t>
      </w:r>
      <w:r>
        <w:rPr>
          <w:u w:val="single"/>
        </w:rPr>
        <w:t>radically</w:t>
      </w:r>
      <w:r>
        <w:t xml:space="preserve"> by allowing limits regulation affs and an infinite number of tiny industry-friendly advantages that explode the negative research burden and make the topic </w:t>
      </w:r>
      <w:r>
        <w:rPr>
          <w:u w:val="single"/>
        </w:rPr>
        <w:t>too large</w:t>
      </w:r>
      <w:r>
        <w:t xml:space="preserve"> to debate thoroughly </w:t>
      </w:r>
    </w:p>
    <w:p w:rsidR="00991CBA" w:rsidRDefault="00991CBA" w:rsidP="00991CBA"/>
    <w:p w:rsidR="00991CBA" w:rsidRDefault="00991CBA" w:rsidP="00991CBA">
      <w:pPr>
        <w:pStyle w:val="Heading4"/>
      </w:pPr>
      <w:r>
        <w:t xml:space="preserve">Ground – neg ground is contingent on </w:t>
      </w:r>
      <w:r>
        <w:rPr>
          <w:u w:val="single"/>
        </w:rPr>
        <w:t>existing policies</w:t>
      </w:r>
      <w:r>
        <w:t xml:space="preserve"> being modified – there aren’t CP solvency advocates and politics links for laws that </w:t>
      </w:r>
      <w:r>
        <w:rPr>
          <w:u w:val="single"/>
        </w:rPr>
        <w:t>don’t exist</w:t>
      </w:r>
      <w:r>
        <w:t xml:space="preserve"> so sticking them to already-present regulations is key to negative preparation </w:t>
      </w:r>
    </w:p>
    <w:p w:rsidR="00991CBA" w:rsidRDefault="00991CBA" w:rsidP="00991CBA">
      <w:pPr>
        <w:pStyle w:val="Heading3"/>
      </w:pPr>
      <w:r>
        <w:t xml:space="preserve">2NC – Interp – Existing </w:t>
      </w:r>
    </w:p>
    <w:p w:rsidR="00991CBA" w:rsidRPr="005015BA" w:rsidRDefault="00991CBA" w:rsidP="00991CBA">
      <w:pPr>
        <w:pStyle w:val="Heading4"/>
      </w:pPr>
      <w:r>
        <w:t>It must be pre-existing</w:t>
      </w:r>
    </w:p>
    <w:p w:rsidR="00991CBA" w:rsidRPr="005015BA" w:rsidRDefault="00991CBA" w:rsidP="00991CBA">
      <w:pPr>
        <w:rPr>
          <w:rStyle w:val="Style13ptBold"/>
        </w:rPr>
      </w:pPr>
      <w:r w:rsidRPr="005015BA">
        <w:rPr>
          <w:rStyle w:val="Style13ptBold"/>
        </w:rPr>
        <w:t>Brown, Oregon District Court US Federal Judge, 3</w:t>
      </w:r>
    </w:p>
    <w:p w:rsidR="00991CBA" w:rsidRPr="005015BA" w:rsidRDefault="00991CBA" w:rsidP="00991CBA">
      <w:pPr>
        <w:rPr>
          <w:color w:val="0D0D0D"/>
        </w:rPr>
      </w:pPr>
      <w:r w:rsidRPr="005015BA">
        <w:rPr>
          <w:color w:val="0D0D0D"/>
        </w:rPr>
        <w:t>[Anna J., 7-17-03, CourtListener, “Elena Mark and Paul Gustafson, Plaintiffs, v. Valley Insurance Company and Valley Property and Casualty, Defendants”, Lexis]</w:t>
      </w:r>
    </w:p>
    <w:p w:rsidR="00991CBA" w:rsidRPr="005015BA" w:rsidRDefault="00991CBA" w:rsidP="00991CBA">
      <w:pPr>
        <w:rPr>
          <w:color w:val="0D0D0D"/>
          <w:szCs w:val="24"/>
        </w:rPr>
      </w:pPr>
      <w:r w:rsidRPr="005015BA">
        <w:rPr>
          <w:color w:val="0D0D0D"/>
          <w:szCs w:val="24"/>
        </w:rPr>
        <w:t xml:space="preserve">FCRA does not define the term "increase." </w:t>
      </w:r>
      <w:r w:rsidRPr="005015BA">
        <w:rPr>
          <w:rStyle w:val="IntenseEmphasis"/>
        </w:rPr>
        <w:t>The plain and ordinary meaning of the verb "to increase" is to make something greater</w:t>
      </w:r>
      <w:r w:rsidRPr="005015BA">
        <w:rPr>
          <w:color w:val="0D0D0D"/>
          <w:szCs w:val="24"/>
        </w:rPr>
        <w:t xml:space="preserve"> or larger. 4 Merriam-Webster's</w:t>
      </w:r>
      <w:r>
        <w:rPr>
          <w:color w:val="0D0D0D"/>
          <w:szCs w:val="24"/>
        </w:rPr>
        <w:t xml:space="preserve"> </w:t>
      </w:r>
      <w:r w:rsidRPr="005015BA">
        <w:rPr>
          <w:color w:val="0D0D0D"/>
          <w:szCs w:val="24"/>
        </w:rPr>
        <w:t>[**22]</w:t>
      </w:r>
      <w:r>
        <w:rPr>
          <w:color w:val="0D0D0D"/>
          <w:szCs w:val="24"/>
        </w:rPr>
        <w:t xml:space="preserve"> </w:t>
      </w:r>
      <w:r w:rsidRPr="005015BA">
        <w:rPr>
          <w:color w:val="0D0D0D"/>
          <w:szCs w:val="24"/>
        </w:rPr>
        <w:t>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r>
        <w:rPr>
          <w:color w:val="0D0D0D"/>
          <w:szCs w:val="24"/>
        </w:rPr>
        <w:t xml:space="preserve"> </w:t>
      </w:r>
      <w:r w:rsidRPr="005015BA">
        <w:rPr>
          <w:rStyle w:val="IntenseEmphasis"/>
        </w:rPr>
        <w:t>An insurer cannot "make greater" something that did not exist previously. The statutory definition of adverse action, therefore, clearly anticipates an insurer must have made an initial charge or demand for payment before the insurer can increase that charge</w:t>
      </w:r>
      <w:r w:rsidRPr="005015BA">
        <w:rPr>
          <w:color w:val="0D0D0D"/>
          <w:szCs w:val="24"/>
        </w:rPr>
        <w:t>. In other words, an insurer cannot increase the charge for insurance unless the insurer previously set and demanded payment of the premium for that insured's insurance [**23] coverage at a lower price.</w:t>
      </w:r>
    </w:p>
    <w:p w:rsidR="00991CBA" w:rsidRPr="00FA54EA" w:rsidRDefault="00991CBA" w:rsidP="00991CBA"/>
    <w:p w:rsidR="00991CBA" w:rsidRDefault="00991CBA" w:rsidP="00991CBA">
      <w:pPr>
        <w:pStyle w:val="Heading3"/>
      </w:pPr>
      <w:r>
        <w:t>2NC – Interp – Regulation = New</w:t>
      </w:r>
    </w:p>
    <w:p w:rsidR="00991CBA" w:rsidRPr="005015BA" w:rsidRDefault="00991CBA" w:rsidP="00991CBA">
      <w:pPr>
        <w:pStyle w:val="Heading4"/>
      </w:pPr>
      <w:r w:rsidRPr="005015BA">
        <w:t xml:space="preserve">Regulation is prescribed – that means you can’t remove old regs </w:t>
      </w:r>
    </w:p>
    <w:p w:rsidR="00991CBA" w:rsidRPr="005015BA" w:rsidRDefault="00991CBA" w:rsidP="00991CBA">
      <w:r w:rsidRPr="005015BA">
        <w:rPr>
          <w:b/>
        </w:rPr>
        <w:t>Dictionary no date</w:t>
      </w:r>
      <w:r w:rsidRPr="005015BA">
        <w:t xml:space="preserve"> (Dictionary.com, “regulation,” </w:t>
      </w:r>
      <w:hyperlink r:id="rId9" w:history="1">
        <w:r w:rsidRPr="005015BA">
          <w:rPr>
            <w:rStyle w:val="Hyperlink"/>
          </w:rPr>
          <w:t>http://www.dictionary.com/browse/regulation</w:t>
        </w:r>
      </w:hyperlink>
      <w:r w:rsidRPr="005015BA">
        <w:t xml:space="preserve">) </w:t>
      </w:r>
    </w:p>
    <w:p w:rsidR="00991CBA" w:rsidRPr="005015BA" w:rsidRDefault="00991CBA" w:rsidP="00991CBA">
      <w:r w:rsidRPr="005015BA">
        <w:t xml:space="preserve">noun 1. </w:t>
      </w:r>
      <w:r w:rsidRPr="005015BA">
        <w:rPr>
          <w:rStyle w:val="StyleUnderline"/>
        </w:rPr>
        <w:t xml:space="preserve">a law, rule, or other order prescribed by authority, especially to regulate conduct. </w:t>
      </w:r>
      <w:r w:rsidRPr="005015BA">
        <w:t>2. the act of regulating or the state of being regulated.</w:t>
      </w:r>
    </w:p>
    <w:p w:rsidR="00991CBA" w:rsidRPr="007D48F3" w:rsidRDefault="00991CBA" w:rsidP="00991CBA"/>
    <w:p w:rsidR="00991CBA" w:rsidRDefault="00991CBA" w:rsidP="00991CBA">
      <w:pPr>
        <w:pStyle w:val="Heading1"/>
      </w:pPr>
      <w:r>
        <w:t xml:space="preserve">Aff </w:t>
      </w:r>
    </w:p>
    <w:p w:rsidR="00991CBA" w:rsidRDefault="00991CBA" w:rsidP="00991CBA">
      <w:pPr>
        <w:pStyle w:val="Heading2"/>
      </w:pPr>
      <w:r>
        <w:t xml:space="preserve">A2 Regulate = Curriculum </w:t>
      </w:r>
    </w:p>
    <w:p w:rsidR="00991CBA" w:rsidRDefault="00991CBA" w:rsidP="00991CBA">
      <w:pPr>
        <w:pStyle w:val="Heading3"/>
      </w:pPr>
      <w:r>
        <w:t xml:space="preserve">C/I – Safety </w:t>
      </w:r>
    </w:p>
    <w:p w:rsidR="00991CBA" w:rsidRPr="005015BA" w:rsidRDefault="00991CBA" w:rsidP="00991CBA">
      <w:pPr>
        <w:pStyle w:val="Heading4"/>
        <w:rPr>
          <w:rStyle w:val="Style13ptBold"/>
          <w:b/>
        </w:rPr>
      </w:pPr>
      <w:r w:rsidRPr="005015BA">
        <w:rPr>
          <w:rStyle w:val="Style13ptBold"/>
          <w:b/>
        </w:rPr>
        <w:t>Educational regulations are regulations that are related to education and student safety.</w:t>
      </w:r>
    </w:p>
    <w:p w:rsidR="00991CBA" w:rsidRPr="005015BA" w:rsidRDefault="00991CBA" w:rsidP="00991CBA">
      <w:pPr>
        <w:spacing w:after="0" w:line="360" w:lineRule="auto"/>
        <w:rPr>
          <w:rFonts w:ascii="Times New Roman" w:eastAsia="Times New Roman" w:hAnsi="Times New Roman" w:cs="Times New Roman"/>
          <w:sz w:val="24"/>
        </w:rPr>
      </w:pPr>
      <w:r w:rsidRPr="005015BA">
        <w:rPr>
          <w:rStyle w:val="Style13ptBold"/>
        </w:rPr>
        <w:t>American Council on Education 15</w:t>
      </w:r>
      <w:r w:rsidRPr="005015BA">
        <w:rPr>
          <w:rFonts w:ascii="Arial" w:eastAsia="Times New Roman" w:hAnsi="Arial" w:cs="Arial"/>
          <w:color w:val="000000"/>
        </w:rPr>
        <w:t xml:space="preserve"> </w:t>
      </w:r>
      <w:r w:rsidRPr="005015BA">
        <w:rPr>
          <w:sz w:val="20"/>
          <w:szCs w:val="20"/>
        </w:rPr>
        <w:t>(“Recalibrating Regulation of Colleges and Universities,” ACE, p. 5) EYC</w:t>
      </w:r>
    </w:p>
    <w:p w:rsidR="00991CBA" w:rsidRPr="005015BA" w:rsidRDefault="00991CBA" w:rsidP="00991CBA">
      <w:pPr>
        <w:spacing w:line="240" w:lineRule="auto"/>
      </w:pPr>
      <w:r w:rsidRPr="005015BA">
        <w:t xml:space="preserve">To help policy makers think about the most effective and efficient way to regulate higher education, the Task Force developed </w:t>
      </w:r>
      <w:r w:rsidRPr="005015BA">
        <w:rPr>
          <w:b/>
          <w:u w:val="single"/>
        </w:rPr>
        <w:t xml:space="preserve">the </w:t>
      </w:r>
      <w:r w:rsidRPr="005015BA">
        <w:rPr>
          <w:rStyle w:val="StyleUnderline"/>
        </w:rPr>
        <w:t>following</w:t>
      </w:r>
      <w:r w:rsidRPr="005015BA">
        <w:t xml:space="preserve"> Guiding </w:t>
      </w:r>
      <w:r w:rsidRPr="005015BA">
        <w:rPr>
          <w:rStyle w:val="StyleUnderline"/>
        </w:rPr>
        <w:t>Principles to govern the development</w:t>
      </w:r>
      <w:r w:rsidRPr="005015BA">
        <w:t xml:space="preserve">, implementation, and enforcement </w:t>
      </w:r>
      <w:r w:rsidRPr="005015BA">
        <w:rPr>
          <w:rStyle w:val="StyleUnderline"/>
        </w:rPr>
        <w:t>of regulations by the Department [of Education</w:t>
      </w:r>
      <w:r w:rsidRPr="005015BA">
        <w:t xml:space="preserve">]: • </w:t>
      </w:r>
      <w:r w:rsidRPr="005015BA">
        <w:rPr>
          <w:rStyle w:val="StyleUnderline"/>
        </w:rPr>
        <w:t xml:space="preserve">Regulations should be related to education, student safety, and stewardship of federal funds. • Regulations should be clear and comprehensible. </w:t>
      </w:r>
      <w:r w:rsidRPr="005015BA">
        <w:t xml:space="preserve">• </w:t>
      </w:r>
      <w:r w:rsidRPr="005015BA">
        <w:rPr>
          <w:rStyle w:val="StyleUnderline"/>
        </w:rPr>
        <w:t>Regulations should not stray from clearly stated legislative intent</w:t>
      </w:r>
      <w:r w:rsidRPr="005015BA">
        <w:t>. • Costs and burdens of regulations should be accurately estimated. • Clear safe harbors should be created. • The Department should recognize good faith efforts by institutions. • The Department should complete program reviews and investigations in a timely manner. • Penalties should be imposed at a level appropriate to the violation. • Disclosure requirements should focus on issues of widespread interest. • All substantive policies should be subject to the “notice-and-comment” requirements of the Administrative Procedure Act. • Regulations that consistently create compliance challenges should be revised. • The Department should take all necessary steps to facilitate compliance by institutions. The Task Force believes that adherence to these principles would help improve regulation of higher education, and urges their adoption.</w:t>
      </w:r>
    </w:p>
    <w:p w:rsidR="00991CBA" w:rsidRPr="005015BA" w:rsidRDefault="00991CBA" w:rsidP="00991CBA">
      <w:pPr>
        <w:spacing w:line="240" w:lineRule="auto"/>
      </w:pPr>
    </w:p>
    <w:p w:rsidR="00991CBA" w:rsidRPr="005015BA" w:rsidRDefault="00991CBA" w:rsidP="00991CBA">
      <w:pPr>
        <w:pStyle w:val="Heading3"/>
      </w:pPr>
      <w:r>
        <w:t xml:space="preserve">C/I – School Actions </w:t>
      </w:r>
    </w:p>
    <w:p w:rsidR="00991CBA" w:rsidRPr="005015BA" w:rsidRDefault="00991CBA" w:rsidP="00991CBA">
      <w:pPr>
        <w:pStyle w:val="Heading4"/>
      </w:pPr>
      <w:r w:rsidRPr="005015BA">
        <w:t xml:space="preserve">Education </w:t>
      </w:r>
      <w:r>
        <w:t>regulation policy</w:t>
      </w:r>
      <w:r w:rsidRPr="005015BA">
        <w:t xml:space="preserve"> involves mainly contracting, acquisition of fixed assets, teacher training, and requirements for reporting information </w:t>
      </w:r>
    </w:p>
    <w:p w:rsidR="00991CBA" w:rsidRPr="005015BA" w:rsidRDefault="00991CBA" w:rsidP="00991CBA">
      <w:r w:rsidRPr="005015BA">
        <w:rPr>
          <w:rStyle w:val="Style13ptBold"/>
        </w:rPr>
        <w:t>The National Center for Public Policy and Higher Education nd</w:t>
      </w:r>
      <w:r w:rsidRPr="005015BA">
        <w:t xml:space="preserve"> (The National Center for Public Policy and Higher Education was established in 1998 to promote the public interest regarding opportunity, affordability and quality in American higher education. As an independent, nonprofit, nonpartisan organization, the Center provides action-oriented analyses of state and federal policies affecting education beyond high school, “The Policy Structure”, </w:t>
      </w:r>
      <w:hyperlink r:id="rId10" w:history="1">
        <w:r w:rsidRPr="005015BA">
          <w:rPr>
            <w:rStyle w:val="Hyperlink"/>
          </w:rPr>
          <w:t>http://www.highereducation.org/reports/challenges/challenges4.shtml)</w:t>
        </w:r>
      </w:hyperlink>
      <w:r w:rsidRPr="005015BA">
        <w:t xml:space="preserve"> ACT</w:t>
      </w:r>
    </w:p>
    <w:p w:rsidR="00991CBA" w:rsidRPr="005015BA" w:rsidRDefault="00991CBA" w:rsidP="00991CBA">
      <w:r w:rsidRPr="005015BA">
        <w:rPr>
          <w:rStyle w:val="StyleUnderline"/>
        </w:rPr>
        <w:t xml:space="preserve">As state entities, public colleges and universities must usually comply with rules and regulations that govern other state agencies. </w:t>
      </w:r>
      <w:r w:rsidRPr="005015BA">
        <w:t xml:space="preserve">At the very least, the institutions are subject to those applying to other nonprofit entities. Since </w:t>
      </w:r>
      <w:r w:rsidRPr="005015BA">
        <w:rPr>
          <w:rStyle w:val="StyleUnderline"/>
        </w:rPr>
        <w:t>governments have tended to rely extensively on regulatory approaches rather than incentive systems to provide guidance</w:t>
      </w:r>
      <w:r w:rsidRPr="005015BA">
        <w:t xml:space="preserve">, most public postsecondary institutions must cope with multiple regulatory requirements on an everyday basis. The extent to which colleges and universities are exempt from such regulation varies considerably from state to state. In some states, colleges and universities must conform to the regulations imposed on all state agencies. In others, educational institutions are treated largely as public-benefit corporations, and are subject to fewer regulations. </w:t>
      </w:r>
      <w:r w:rsidRPr="005015BA">
        <w:rPr>
          <w:rStyle w:val="StyleUnderline"/>
        </w:rPr>
        <w:t>In most states, regulations primarily address contracting, acquisition of fixed assets, and requirements for reporting information to state government.</w:t>
      </w:r>
      <w:r>
        <w:rPr>
          <w:rStyle w:val="StyleUnderline"/>
        </w:rPr>
        <w:t xml:space="preserve"> </w:t>
      </w:r>
      <w:r w:rsidRPr="005015BA">
        <w:t xml:space="preserve">The list of potential </w:t>
      </w:r>
      <w:r w:rsidRPr="005015BA">
        <w:rPr>
          <w:rStyle w:val="StyleUnderline"/>
        </w:rPr>
        <w:t>regulatory involvement</w:t>
      </w:r>
      <w:r w:rsidRPr="005015BA">
        <w:t xml:space="preserve">--as experienced by some institutions in some states--is much longer, however, </w:t>
      </w:r>
      <w:r w:rsidRPr="005015BA">
        <w:rPr>
          <w:rStyle w:val="StyleUnderline"/>
        </w:rPr>
        <w:t>covering such specifics as:</w:t>
      </w:r>
      <w:r>
        <w:t xml:space="preserve"> </w:t>
      </w:r>
      <w:r w:rsidRPr="005015BA">
        <w:rPr>
          <w:rStyle w:val="StyleUnderline"/>
        </w:rPr>
        <w:t>the number of personnel to be hired,</w:t>
      </w:r>
      <w:r>
        <w:rPr>
          <w:rStyle w:val="StyleUnderline"/>
        </w:rPr>
        <w:t xml:space="preserve"> </w:t>
      </w:r>
      <w:r w:rsidRPr="005015BA">
        <w:rPr>
          <w:rStyle w:val="StyleUnderline"/>
        </w:rPr>
        <w:t>compensation of employees,</w:t>
      </w:r>
      <w:r>
        <w:rPr>
          <w:rStyle w:val="StyleUnderline"/>
        </w:rPr>
        <w:t xml:space="preserve"> </w:t>
      </w:r>
      <w:r w:rsidRPr="005015BA">
        <w:rPr>
          <w:rStyle w:val="StyleUnderline"/>
        </w:rPr>
        <w:t>reimbursement for travel expenses,</w:t>
      </w:r>
      <w:r>
        <w:rPr>
          <w:rStyle w:val="StyleUnderline"/>
        </w:rPr>
        <w:t xml:space="preserve"> </w:t>
      </w:r>
      <w:r w:rsidRPr="005015BA">
        <w:rPr>
          <w:rStyle w:val="StyleUnderline"/>
        </w:rPr>
        <w:t>reallocation of funds among line items and established budget accounts,</w:t>
      </w:r>
      <w:r>
        <w:rPr>
          <w:rStyle w:val="StyleUnderline"/>
        </w:rPr>
        <w:t xml:space="preserve"> </w:t>
      </w:r>
      <w:r w:rsidRPr="005015BA">
        <w:rPr>
          <w:rStyle w:val="StyleUnderline"/>
        </w:rPr>
        <w:t>procedures for purchasing goods and services,</w:t>
      </w:r>
      <w:r>
        <w:rPr>
          <w:rStyle w:val="StyleUnderline"/>
        </w:rPr>
        <w:t xml:space="preserve"> </w:t>
      </w:r>
      <w:r w:rsidRPr="005015BA">
        <w:rPr>
          <w:rStyle w:val="StyleUnderline"/>
        </w:rPr>
        <w:t>limitations on the use of consultants, and</w:t>
      </w:r>
      <w:r>
        <w:rPr>
          <w:rStyle w:val="StyleUnderline"/>
        </w:rPr>
        <w:t xml:space="preserve"> </w:t>
      </w:r>
      <w:r w:rsidRPr="005015BA">
        <w:rPr>
          <w:rStyle w:val="StyleUnderline"/>
        </w:rPr>
        <w:t>limitations on out-of-state travel.</w:t>
      </w:r>
      <w:r>
        <w:rPr>
          <w:rStyle w:val="StyleUnderline"/>
        </w:rPr>
        <w:t xml:space="preserve"> </w:t>
      </w:r>
      <w:r w:rsidRPr="005015BA">
        <w:t xml:space="preserve">These kinds of regulations can combine to create an operational straight-jacket for institutions, making change very difficult. For colleges and universities to adopt new ways of doing business that respond to client needs and that emphasize innovative solutions to emerging problems, they must be freed of much of the red tape that entangles them. But </w:t>
      </w:r>
      <w:r w:rsidRPr="005015BA">
        <w:rPr>
          <w:rStyle w:val="StyleUnderline"/>
        </w:rPr>
        <w:t>policymakers are loathe to eliminate regulation absent an alternative that assures them equivalent leverage. Regulation is their most familiar tool and no proven alternative yet exists</w:t>
      </w:r>
      <w:r w:rsidRPr="005015BA">
        <w:t xml:space="preserve"> to ensure that institutions attend to priorities set outside the academe.</w:t>
      </w:r>
    </w:p>
    <w:p w:rsidR="00991CBA" w:rsidRPr="00FA54EA" w:rsidRDefault="00991CBA" w:rsidP="00991CBA"/>
    <w:p w:rsidR="00991CBA" w:rsidRPr="005015BA" w:rsidRDefault="00991CBA" w:rsidP="00991CBA"/>
    <w:p w:rsidR="00991CBA" w:rsidRDefault="00991CBA" w:rsidP="00991CBA">
      <w:pPr>
        <w:pStyle w:val="Heading3"/>
        <w:rPr>
          <w:rStyle w:val="Style13ptBold"/>
          <w:rFonts w:asciiTheme="minorHAnsi" w:hAnsiTheme="minorHAnsi" w:cstheme="minorHAnsi"/>
          <w:b/>
          <w:sz w:val="32"/>
          <w:szCs w:val="32"/>
          <w:u w:val="single"/>
        </w:rPr>
      </w:pPr>
      <w:r>
        <w:rPr>
          <w:rStyle w:val="Style13ptBold"/>
          <w:rFonts w:asciiTheme="minorHAnsi" w:hAnsiTheme="minorHAnsi" w:cstheme="minorHAnsi"/>
          <w:b/>
          <w:sz w:val="32"/>
          <w:szCs w:val="32"/>
          <w:u w:val="single"/>
        </w:rPr>
        <w:t xml:space="preserve">C/I – Arbitrary </w:t>
      </w:r>
    </w:p>
    <w:p w:rsidR="00991CBA" w:rsidRPr="005015BA" w:rsidRDefault="00991CBA" w:rsidP="00991CBA">
      <w:pPr>
        <w:pStyle w:val="Heading4"/>
      </w:pPr>
      <w:r w:rsidRPr="005015BA">
        <w:t xml:space="preserve">Regulation has </w:t>
      </w:r>
      <w:r w:rsidRPr="005015BA">
        <w:rPr>
          <w:u w:val="single"/>
        </w:rPr>
        <w:t>zero predictable</w:t>
      </w:r>
      <w:r w:rsidRPr="005015BA">
        <w:t xml:space="preserve"> definition – you should prefer reasonability </w:t>
      </w:r>
    </w:p>
    <w:p w:rsidR="00991CBA" w:rsidRPr="005015BA" w:rsidRDefault="00991CBA" w:rsidP="00991CBA">
      <w:pPr>
        <w:rPr>
          <w:rStyle w:val="Style13ptBold"/>
        </w:rPr>
      </w:pPr>
      <w:r w:rsidRPr="005015BA">
        <w:rPr>
          <w:rStyle w:val="Style13ptBold"/>
        </w:rPr>
        <w:t xml:space="preserve">Harley and Lawrence 06 </w:t>
      </w:r>
      <w:r w:rsidRPr="005015BA">
        <w:t>(Diane Harley, Ph.D., is a Principal Investigator and Senior Researcher at the Center for Studies in Higher Education, Shannon Lawrence is a Researcher at the CSHE, “The Regulation of E-learning,” CSHE, p. 6) EYC</w:t>
      </w:r>
    </w:p>
    <w:p w:rsidR="00991CBA" w:rsidRPr="005015BA" w:rsidRDefault="00991CBA" w:rsidP="00991CBA">
      <w:pPr>
        <w:rPr>
          <w:rStyle w:val="Style13ptBold"/>
          <w:b w:val="0"/>
          <w:sz w:val="22"/>
        </w:rPr>
      </w:pPr>
      <w:r w:rsidRPr="005015BA">
        <w:rPr>
          <w:rStyle w:val="Style13ptBold"/>
          <w:b w:val="0"/>
          <w:sz w:val="22"/>
        </w:rPr>
        <w:t xml:space="preserve">Though </w:t>
      </w:r>
      <w:r w:rsidRPr="005015BA">
        <w:rPr>
          <w:rStyle w:val="StyleUnderline"/>
        </w:rPr>
        <w:t>no single definition of regulation was agreed upon</w:t>
      </w:r>
      <w:r w:rsidRPr="005015BA">
        <w:rPr>
          <w:rStyle w:val="Style13ptBold"/>
          <w:b w:val="0"/>
          <w:sz w:val="22"/>
        </w:rPr>
        <w:t xml:space="preserve"> during our meetings, various opinions emerged. Regulation was described as an edict that limits the free market, sometimes in efficiency enhancing ways, sometimes in ways that are adverse to efficiency. In the context of e-learning, </w:t>
      </w:r>
      <w:r w:rsidRPr="005015BA">
        <w:rPr>
          <w:rStyle w:val="StyleUnderline"/>
        </w:rPr>
        <w:t>regulation can refer to internal and/or external forces of constraint that deal with systems, institutions, faculty, students, and so forth. Constraint can have a positive affect on a new area of development, but it can also hinder innovation. It was agreed that regulation cannot be treated as a binary issue.</w:t>
      </w:r>
      <w:r w:rsidRPr="005015BA">
        <w:rPr>
          <w:rStyle w:val="Style13ptBold"/>
          <w:b w:val="0"/>
          <w:sz w:val="22"/>
        </w:rPr>
        <w:t xml:space="preserve"> Higher education is reorganizing itself globally in a number of ways, and that reorganization will involve some external regulation and self-regulation in varying combinations.</w:t>
      </w:r>
    </w:p>
    <w:p w:rsidR="00991CBA" w:rsidRPr="005015BA" w:rsidRDefault="00991CBA" w:rsidP="00991CBA">
      <w:pPr>
        <w:pStyle w:val="Heading4"/>
      </w:pPr>
      <w:r w:rsidRPr="005015BA">
        <w:t>Education regulations include factors outside of curricula that effect how a student’s ability to learn</w:t>
      </w:r>
    </w:p>
    <w:p w:rsidR="00991CBA" w:rsidRPr="005015BA" w:rsidRDefault="00991CBA" w:rsidP="00991CBA">
      <w:r w:rsidRPr="005015BA">
        <w:rPr>
          <w:rStyle w:val="Style13ptBold"/>
        </w:rPr>
        <w:t xml:space="preserve">UNICEF 2000 </w:t>
      </w:r>
      <w:r w:rsidRPr="005015BA">
        <w:t>[United Nations Children's Fund, a United Nations subset based in the US, in their report “Defining Quality in Education”, June 2000; https://www.unicef.org/education/files/QualityEducation.PDF]</w:t>
      </w:r>
    </w:p>
    <w:p w:rsidR="00991CBA" w:rsidRPr="005015BA" w:rsidRDefault="00991CBA" w:rsidP="00991CBA">
      <w:r w:rsidRPr="005015BA">
        <w:rPr>
          <w:rStyle w:val="StyleUnderline"/>
        </w:rPr>
        <w:t>Quality education includes: „ Learners who are healthy, well-nourished and ready to participate and learn</w:t>
      </w:r>
      <w:r w:rsidRPr="005015BA">
        <w:t>, and supported in learning by their families and communities; „</w:t>
      </w:r>
      <w:r w:rsidRPr="005015BA">
        <w:rPr>
          <w:rStyle w:val="StyleUnderline"/>
        </w:rPr>
        <w:t xml:space="preserve"> Environments that are healthy, safe, protective and gender-sensitive, and provide adequate resources and facilities</w:t>
      </w:r>
      <w:r w:rsidRPr="005015BA">
        <w:t>; „</w:t>
      </w:r>
      <w:r w:rsidRPr="005015BA">
        <w:rPr>
          <w:rStyle w:val="StyleUnderline"/>
        </w:rPr>
        <w:t xml:space="preserve"> Content that is reflected in relevant curricula</w:t>
      </w:r>
      <w:r w:rsidRPr="005015BA">
        <w:t xml:space="preserve"> and materials for the acquisition of basic skills</w:t>
      </w:r>
      <w:r w:rsidRPr="005015BA">
        <w:rPr>
          <w:rStyle w:val="StyleUnderline"/>
        </w:rPr>
        <w:t>, especially in the areas of literacy, numeracy and skills for life, and knowledge in such areas as gender, health, nutrition, HIV/AIDS prevention and peace</w:t>
      </w:r>
      <w:r w:rsidRPr="005015BA">
        <w:t>. „</w:t>
      </w:r>
      <w:r w:rsidRPr="005015BA">
        <w:rPr>
          <w:rStyle w:val="StyleUnderline"/>
        </w:rPr>
        <w:t xml:space="preserve"> Processes through which trained teachers use</w:t>
      </w:r>
      <w:r w:rsidRPr="005015BA">
        <w:t xml:space="preserve"> child-centred </w:t>
      </w:r>
      <w:r w:rsidRPr="005015BA">
        <w:rPr>
          <w:rStyle w:val="StyleUnderline"/>
        </w:rPr>
        <w:t>teaching approaches</w:t>
      </w:r>
      <w:r w:rsidRPr="005015BA">
        <w:t xml:space="preserve"> in well-managed classrooms and schools and skilful assessment to facilitate learning and reduce disparities. Outcomes that encompass knowledge, skills and attitudes, and are linked to national goals for education and positive participation in society.</w:t>
      </w:r>
    </w:p>
    <w:p w:rsidR="00991CBA" w:rsidRPr="007D48F3" w:rsidRDefault="00991CBA" w:rsidP="00991CBA"/>
    <w:p w:rsidR="00991CBA" w:rsidRPr="005015BA" w:rsidRDefault="00991CBA" w:rsidP="00991CBA">
      <w:pPr>
        <w:pStyle w:val="Heading3"/>
        <w:rPr>
          <w:rStyle w:val="Style13ptBold"/>
          <w:rFonts w:asciiTheme="minorHAnsi" w:hAnsiTheme="minorHAnsi" w:cstheme="minorHAnsi"/>
          <w:b/>
          <w:sz w:val="32"/>
          <w:szCs w:val="32"/>
          <w:u w:val="single"/>
        </w:rPr>
      </w:pPr>
      <w:r w:rsidRPr="005015BA">
        <w:rPr>
          <w:rStyle w:val="Style13ptBold"/>
          <w:rFonts w:asciiTheme="minorHAnsi" w:hAnsiTheme="minorHAnsi" w:cstheme="minorHAnsi"/>
          <w:b/>
          <w:sz w:val="32"/>
          <w:szCs w:val="32"/>
          <w:u w:val="single"/>
        </w:rPr>
        <w:t xml:space="preserve">We Meet – Charters </w:t>
      </w:r>
    </w:p>
    <w:p w:rsidR="00991CBA" w:rsidRPr="005015BA" w:rsidRDefault="00991CBA" w:rsidP="00991CBA">
      <w:pPr>
        <w:pStyle w:val="Heading4"/>
        <w:rPr>
          <w:rFonts w:asciiTheme="minorHAnsi" w:hAnsiTheme="minorHAnsi" w:cstheme="minorHAnsi"/>
        </w:rPr>
      </w:pPr>
      <w:r w:rsidRPr="005015BA">
        <w:rPr>
          <w:rFonts w:asciiTheme="minorHAnsi" w:hAnsiTheme="minorHAnsi" w:cstheme="minorHAnsi"/>
        </w:rPr>
        <w:t xml:space="preserve">Funding includes charters and voucher schools – it’s the most real world </w:t>
      </w:r>
    </w:p>
    <w:p w:rsidR="00991CBA" w:rsidRPr="005015BA" w:rsidRDefault="00991CBA" w:rsidP="00991CBA">
      <w:pPr>
        <w:rPr>
          <w:rStyle w:val="Style13ptBold"/>
          <w:rFonts w:asciiTheme="minorHAnsi" w:hAnsiTheme="minorHAnsi" w:cstheme="minorHAnsi"/>
          <w:b w:val="0"/>
        </w:rPr>
      </w:pPr>
      <w:r w:rsidRPr="005015BA">
        <w:rPr>
          <w:rStyle w:val="Style13ptBold"/>
          <w:rFonts w:asciiTheme="minorHAnsi" w:hAnsiTheme="minorHAnsi" w:cstheme="minorHAnsi"/>
        </w:rPr>
        <w:t>Danilova 5/23</w:t>
      </w:r>
      <w:r w:rsidRPr="005015BA">
        <w:rPr>
          <w:rStyle w:val="Style13ptBold"/>
          <w:rFonts w:asciiTheme="minorHAnsi" w:hAnsiTheme="minorHAnsi" w:cstheme="minorHAnsi"/>
          <w:b w:val="0"/>
        </w:rPr>
        <w:t xml:space="preserve"> (Maria, Education Reporter for Associated Press, “Donald Trump’s 2018 Budget Slashes Education Department Funding by 13.5%”, TIME, </w:t>
      </w:r>
      <w:hyperlink r:id="rId11" w:history="1">
        <w:r w:rsidRPr="005015BA">
          <w:rPr>
            <w:rStyle w:val="Hyperlink"/>
            <w:rFonts w:asciiTheme="minorHAnsi" w:hAnsiTheme="minorHAnsi" w:cstheme="minorHAnsi"/>
            <w:sz w:val="26"/>
          </w:rPr>
          <w:t>http://time.com/4791618/donald-trump-budget-education-funding/</w:t>
        </w:r>
      </w:hyperlink>
      <w:r w:rsidRPr="005015BA">
        <w:rPr>
          <w:rStyle w:val="Style13ptBold"/>
          <w:rFonts w:asciiTheme="minorHAnsi" w:hAnsiTheme="minorHAnsi" w:cstheme="minorHAnsi"/>
          <w:b w:val="0"/>
        </w:rPr>
        <w:t>) AB</w:t>
      </w:r>
    </w:p>
    <w:p w:rsidR="00991CBA" w:rsidRDefault="00991CBA" w:rsidP="00991CBA">
      <w:r w:rsidRPr="005015BA">
        <w:rPr>
          <w:rStyle w:val="StyleUnderline"/>
        </w:rPr>
        <w:t>For elementary and secondary education</w:t>
      </w:r>
      <w:r w:rsidRPr="005015BA">
        <w:t xml:space="preserve">, </w:t>
      </w:r>
      <w:r w:rsidRPr="005015BA">
        <w:rPr>
          <w:rStyle w:val="Emphasis"/>
        </w:rPr>
        <w:t>the budget seeks to expand charter and voucher-type programs for private schools around the country</w:t>
      </w:r>
      <w:r w:rsidRPr="005015BA">
        <w:t xml:space="preserve">. It calls for an additional $1 billion in funds to encourage school districts to advance choice options, $250 million in scholarships to low-income families to attend private schools and $167 million to start or expand charter schools. However, </w:t>
      </w:r>
      <w:r w:rsidRPr="005015BA">
        <w:rPr>
          <w:rStyle w:val="StyleUnderline"/>
        </w:rPr>
        <w:t>the budget stops short of launching a sweeping $20 billion school choice project that Trump talked about on the campaign trail</w:t>
      </w:r>
      <w:r w:rsidRPr="005015BA">
        <w:t xml:space="preserve">. </w:t>
      </w:r>
      <w:r w:rsidRPr="005015BA">
        <w:rPr>
          <w:rStyle w:val="StyleUnderline"/>
        </w:rPr>
        <w:t>The American Federation of Children</w:t>
      </w:r>
      <w:r w:rsidRPr="005015BA">
        <w:t xml:space="preserve">, a school choice advocacy group, which DeVos used to head, </w:t>
      </w:r>
      <w:r w:rsidRPr="005015BA">
        <w:rPr>
          <w:rStyle w:val="StyleUnderline"/>
        </w:rPr>
        <w:t>praised the increase in school choice funding</w:t>
      </w:r>
      <w:r w:rsidRPr="005015BA">
        <w:t xml:space="preserve">. </w:t>
      </w:r>
      <w:r w:rsidRPr="005015BA">
        <w:rPr>
          <w:rStyle w:val="Emphasis"/>
        </w:rPr>
        <w:t>"We're pleased to see the administration put funding muscle behind their pledge to facilitate an expansion of school choice options across the country,"</w:t>
      </w:r>
      <w:r w:rsidRPr="005015BA">
        <w:t xml:space="preserve"> the group said in a statement</w:t>
      </w:r>
    </w:p>
    <w:p w:rsidR="00991CBA" w:rsidRPr="0031695F" w:rsidRDefault="00991CBA" w:rsidP="00991CBA"/>
    <w:p w:rsidR="00991CBA" w:rsidRPr="00FA54EA" w:rsidRDefault="00991CBA" w:rsidP="00991CBA">
      <w:pPr>
        <w:pStyle w:val="Heading2"/>
      </w:pPr>
      <w:r>
        <w:t xml:space="preserve">A2 Funding = Curriculum </w:t>
      </w:r>
    </w:p>
    <w:p w:rsidR="00991CBA" w:rsidRDefault="00991CBA" w:rsidP="00991CBA">
      <w:pPr>
        <w:pStyle w:val="Heading3"/>
      </w:pPr>
      <w:r>
        <w:t>C/I – Targeted Funding</w:t>
      </w:r>
    </w:p>
    <w:p w:rsidR="00991CBA" w:rsidRPr="005015BA" w:rsidRDefault="00991CBA" w:rsidP="00991CBA">
      <w:pPr>
        <w:pStyle w:val="Heading4"/>
      </w:pPr>
      <w:r>
        <w:t>Funding is only money</w:t>
      </w:r>
    </w:p>
    <w:p w:rsidR="00991CBA" w:rsidRPr="007D48F3" w:rsidRDefault="00991CBA" w:rsidP="00991CBA">
      <w:r w:rsidRPr="007D48F3">
        <w:rPr>
          <w:rStyle w:val="Style13ptBold"/>
          <w:sz w:val="22"/>
        </w:rPr>
        <w:t xml:space="preserve">Butler 5 </w:t>
      </w:r>
      <w:r w:rsidRPr="007D48F3">
        <w:t xml:space="preserve"> (Louis B. Butler, Jr., Judge on the Supreme Court of Wisconsin, “Joan Solie and Ann Baxter, Plaintiffs-Respondents, v. Employee Trust Funds Board and The Department of Employee Trust Funds, Defendants-Appellants”)</w:t>
      </w:r>
    </w:p>
    <w:p w:rsidR="00991CBA" w:rsidRPr="005015BA" w:rsidRDefault="00991CBA" w:rsidP="00991CBA">
      <w:r w:rsidRPr="005015BA">
        <w:rPr>
          <w:rStyle w:val="StyleUnderline"/>
        </w:rPr>
        <w:t>The pertinent statutes do not define the terms "fund</w:t>
      </w:r>
      <w:r w:rsidRPr="005015BA">
        <w:t xml:space="preserve">" or "credit." </w:t>
      </w:r>
      <w:r w:rsidRPr="005015BA">
        <w:rPr>
          <w:rStyle w:val="StyleUnderline"/>
        </w:rPr>
        <w:t>However, if these terms are accorded their common, ordinary meaning when read in the context in which they appear</w:t>
      </w:r>
      <w:r w:rsidRPr="005015BA">
        <w:t xml:space="preserve"> in chapter 42, </w:t>
      </w:r>
      <w:r w:rsidRPr="005015BA">
        <w:rPr>
          <w:rStyle w:val="StyleUnderline"/>
        </w:rPr>
        <w:t>it is clear that the</w:t>
      </w:r>
      <w:r w:rsidRPr="005015BA">
        <w:t xml:space="preserve"> retirement deposit </w:t>
      </w:r>
      <w:r w:rsidRPr="005015BA">
        <w:rPr>
          <w:rStyle w:val="StyleUnderline"/>
        </w:rPr>
        <w:t xml:space="preserve">"fund" is comprised </w:t>
      </w:r>
      <w:r w:rsidRPr="005015BA">
        <w:rPr>
          <w:rStyle w:val="Emphasis"/>
        </w:rPr>
        <w:t>solely</w:t>
      </w:r>
      <w:r w:rsidRPr="005015BA">
        <w:rPr>
          <w:rStyle w:val="StyleUnderline"/>
        </w:rPr>
        <w:t xml:space="preserve"> of </w:t>
      </w:r>
      <w:r w:rsidRPr="005015BA">
        <w:rPr>
          <w:rStyle w:val="Emphasis"/>
        </w:rPr>
        <w:t>money</w:t>
      </w:r>
      <w:r w:rsidRPr="005015BA">
        <w:t xml:space="preserve"> and that a "credit" refers to a positive balance in a teacher's retirement deposit fund account. See Wis. Citizens Concerned for Cranes and Doves, 2004 WI 40, 270 Wis. 2d 318, P6,  [**649]  677 N.W.2d 612 (unless specifically defined, nontechnical words in a statute are accorded their common everyday meaning and are read in the context of the statute in which they appear) (citing Wis. Stat. § 990.01(1) (1999-2000)).</w:t>
      </w:r>
    </w:p>
    <w:p w:rsidR="00991CBA" w:rsidRPr="005015BA" w:rsidRDefault="00991CBA" w:rsidP="00991CBA">
      <w:r w:rsidRPr="005015BA">
        <w:t xml:space="preserve"> [*P60]  </w:t>
      </w:r>
      <w:r w:rsidRPr="005015BA">
        <w:rPr>
          <w:rStyle w:val="StyleUnderline"/>
        </w:rPr>
        <w:t>The ordinary definition of "fund" is "[a] sum of money or other resources set aside for a specific purpose: a pension fund."</w:t>
      </w:r>
      <w:r w:rsidRPr="005015BA">
        <w:t xml:space="preserve"> The American Heritage Dictionary of the English Language 735 (3d. ed. 1992)(emphasis in original). </w:t>
      </w:r>
      <w:r w:rsidRPr="005015BA">
        <w:rPr>
          <w:rStyle w:val="StyleUnderline"/>
        </w:rPr>
        <w:t>See also Black's Law</w:t>
      </w:r>
      <w:r w:rsidRPr="005015BA">
        <w:t xml:space="preserve"> Dictionary 682 (7th ed. 1999)(</w:t>
      </w:r>
      <w:r w:rsidRPr="005015BA">
        <w:rPr>
          <w:rStyle w:val="StyleUnderline"/>
        </w:rPr>
        <w:t>defining "fund" as "[a] sum of money</w:t>
      </w:r>
      <w:r w:rsidRPr="005015BA">
        <w:t xml:space="preserve"> or other liquid assets </w:t>
      </w:r>
      <w:r w:rsidRPr="005015BA">
        <w:rPr>
          <w:rStyle w:val="StyleUnderline"/>
        </w:rPr>
        <w:t>established for a specific purpose</w:t>
      </w:r>
      <w:r w:rsidRPr="005015BA">
        <w:t>"). This definition of "fund" comports with the context in which the term is utilized in chapter 42. The retirement deposit fund is a sum of money set aside for teachers' retirement.</w:t>
      </w:r>
    </w:p>
    <w:p w:rsidR="00991CBA" w:rsidRPr="005015BA" w:rsidRDefault="00991CBA" w:rsidP="00991CBA">
      <w:r w:rsidRPr="005015BA">
        <w:t xml:space="preserve"> [***480]  [*P61]  Chapter 42 indicates that the term "fund" is utilized in a financial context. Wisconsin Stat. § 42.33(1) provides, in pertinent part: "The state teachers retirement board shall at all times maintain assets: . . . (b) In the 'Retirement Deposit Fund' equal to the liabilities for member deposits and for state deposits for members of the separate group and the combined group and interest accretions[.]" See also Wis. Stat. § 42.243(5)(c); Wis. Stat. § 42.243(6)(c); Wis. Stat. § 42.45(1)(d); Wis. Stat. § 42.46(1); Wis. Stat. § 42.475 (all describing a member's account in the state retirement fund being credited with member contributions, state deposits, and interest and discussing the withdrawal, payment, and maintenance of such monies).</w:t>
      </w:r>
    </w:p>
    <w:p w:rsidR="00991CBA" w:rsidRPr="005015BA" w:rsidRDefault="00991CBA" w:rsidP="00991CBA">
      <w:r w:rsidRPr="005015BA">
        <w:t xml:space="preserve"> [*P62]  In addition, Schmidt, 153 Wis. 2d at 46, explicitly stated that a teacher who signed a combined group waiver "only waived his right to money which accumulated in his retirement fund through state deposits." (Emphasis added.) Likewise, Wis. Admin. Code § TR 4.01 [**650]  (Sept., 1964) specifically distinguishes between "years of teaching experience" being "counted as within the system" and "required deposits" being "paid into the fund," by stating that years of teaching experience are not to be counted within the system until any required deposits plus interest are paid into the fund.</w:t>
      </w:r>
    </w:p>
    <w:p w:rsidR="00991CBA" w:rsidRPr="005015BA" w:rsidRDefault="00991CBA" w:rsidP="00991CBA">
      <w:r w:rsidRPr="005015BA">
        <w:t xml:space="preserve"> [*P63]  In short, the "retirement deposit fund" is a fund comprised of monetary deposits established for the purpose of teacher retirement.</w:t>
      </w:r>
    </w:p>
    <w:p w:rsidR="00991CBA" w:rsidRPr="005015BA" w:rsidRDefault="00991CBA" w:rsidP="00991CBA">
      <w:r w:rsidRPr="005015BA">
        <w:t xml:space="preserve"> [*P64]  Given that § 42.33(1) specifically states that the retirement deposit fund's assets are teacher deposits, state deposits, and accrued interest, the majority's conclusion that "it is reasonable to construe the retirement deposit fund as encompassing more than simply a lockbox for money[]" is entirely unfounded and anything but reasonable. Majority op., P36. The majority's conclusion that a repository of money earmarked for a particular purpose (a fund) can be comprised of something other than money is inexplicable in light of the statutory language. Notably, </w:t>
      </w:r>
      <w:r w:rsidRPr="005015BA">
        <w:rPr>
          <w:rStyle w:val="StyleUnderline"/>
        </w:rPr>
        <w:t xml:space="preserve">the majority cites to no statute, administrative rule, or case for the proposition that the "retirement deposit fund" may contain something </w:t>
      </w:r>
      <w:r w:rsidRPr="005015BA">
        <w:rPr>
          <w:rStyle w:val="Emphasis"/>
        </w:rPr>
        <w:t>other than money</w:t>
      </w:r>
      <w:r w:rsidRPr="005015BA">
        <w:t>. It simply declares it to be so. Simply put, nowhere does chapter 42 speak of the retirement deposit fund being credited with, consisting of, or containing anything other than money.</w:t>
      </w:r>
    </w:p>
    <w:p w:rsidR="00991CBA" w:rsidRPr="005015BA" w:rsidRDefault="00991CBA" w:rsidP="00991CBA"/>
    <w:p w:rsidR="00991CBA" w:rsidRDefault="00991CBA" w:rsidP="00991CBA">
      <w:pPr>
        <w:pStyle w:val="Heading3"/>
      </w:pPr>
      <w:r>
        <w:t>A2 Curriculum – Arbitrary</w:t>
      </w:r>
    </w:p>
    <w:p w:rsidR="00991CBA" w:rsidRPr="00824029" w:rsidRDefault="00991CBA" w:rsidP="00991CBA">
      <w:pPr>
        <w:pStyle w:val="Heading4"/>
      </w:pPr>
      <w:r>
        <w:t xml:space="preserve">Funding is a </w:t>
      </w:r>
      <w:r>
        <w:rPr>
          <w:u w:val="single"/>
        </w:rPr>
        <w:t>massive term</w:t>
      </w:r>
      <w:r>
        <w:t xml:space="preserve"> – arbitrary definitions are the worst of all worlds </w:t>
      </w:r>
    </w:p>
    <w:p w:rsidR="00991CBA" w:rsidRPr="005015BA" w:rsidRDefault="00991CBA" w:rsidP="00991CBA">
      <w:r w:rsidRPr="005015BA">
        <w:rPr>
          <w:rStyle w:val="Style13ptBold"/>
        </w:rPr>
        <w:t>Casper 17</w:t>
      </w:r>
      <w:r w:rsidRPr="005015BA">
        <w:t xml:space="preserve"> </w:t>
      </w:r>
      <w:r>
        <w:t>(</w:t>
      </w:r>
      <w:r w:rsidRPr="005015BA">
        <w:t>Denise J. Casper, United States District Judge, “TERUMO AMERICAS HOLDING, INC. V. TURESKI”, Civil Action No. 14-13838-DJC (D. Mass. May. 1, 2017), https://casetext.com/case/terumo-americas-holding-inc-v-tureski-1</w:t>
      </w:r>
      <w:r>
        <w:t>)</w:t>
      </w:r>
    </w:p>
    <w:p w:rsidR="00991CBA" w:rsidRPr="005015BA" w:rsidRDefault="00991CBA" w:rsidP="00991CBA">
      <w:r w:rsidRPr="00824029">
        <w:rPr>
          <w:rStyle w:val="TitleChar"/>
          <w:b/>
        </w:rPr>
        <w:t>The term "funding"</w:t>
      </w:r>
      <w:r w:rsidRPr="005015BA">
        <w:t xml:space="preserve"> as used in Section 1.6—or otherwise—</w:t>
      </w:r>
      <w:r w:rsidRPr="00824029">
        <w:rPr>
          <w:rStyle w:val="TitleChar"/>
          <w:b/>
        </w:rPr>
        <w:t xml:space="preserve">is not defined in the Agreement. "Under </w:t>
      </w:r>
      <w:r w:rsidRPr="005015BA">
        <w:rPr>
          <w:rStyle w:val="Emphasis"/>
        </w:rPr>
        <w:t>well-settled case law</w:t>
      </w:r>
      <w:r w:rsidRPr="005015BA">
        <w:t xml:space="preserve">, Delaware </w:t>
      </w:r>
      <w:r w:rsidRPr="00824029">
        <w:rPr>
          <w:rStyle w:val="TitleChar"/>
          <w:b/>
        </w:rPr>
        <w:t>courts look to dictionaries for assistance in determining the plain meaning of terms which are not defined</w:t>
      </w:r>
      <w:r w:rsidRPr="005015BA">
        <w:t xml:space="preserve"> in a contract." Lorillard Tobacco Co. v. Am. Legacy Found., 903 A.2d 728, 738 (Del. 2006). "This is </w:t>
      </w:r>
      <w:r w:rsidRPr="00824029">
        <w:rPr>
          <w:rStyle w:val="TitleChar"/>
          <w:b/>
        </w:rPr>
        <w:t xml:space="preserve">because dictionaries are the </w:t>
      </w:r>
      <w:r w:rsidRPr="005015BA">
        <w:rPr>
          <w:rStyle w:val="Emphasis"/>
        </w:rPr>
        <w:t>customary reference source</w:t>
      </w:r>
      <w:r w:rsidRPr="00824029">
        <w:rPr>
          <w:rStyle w:val="TitleChar"/>
          <w:b/>
        </w:rPr>
        <w:t xml:space="preserve"> that a reasonable person</w:t>
      </w:r>
      <w:r w:rsidRPr="005015BA">
        <w:t xml:space="preserve"> in the position of a party to a contract </w:t>
      </w:r>
      <w:r w:rsidRPr="00824029">
        <w:rPr>
          <w:rStyle w:val="TitleChar"/>
          <w:b/>
        </w:rPr>
        <w:t xml:space="preserve">would use to ascertain the </w:t>
      </w:r>
      <w:r w:rsidRPr="005015BA">
        <w:rPr>
          <w:rStyle w:val="Emphasis"/>
        </w:rPr>
        <w:t>ordinary meaning</w:t>
      </w:r>
      <w:r w:rsidRPr="005015BA">
        <w:t xml:space="preserve"> of words not defined in the contract." Id. "There may be more than one dictionary definition, and parties may disagree on the meaning of the definition as applied to their case, but if merely applying a definition in the dictionary suffices to create ambiguity, no term would be unambiguous." Id. at 740 (internal quotation marks and citation omitted).</w:t>
      </w:r>
      <w:r>
        <w:t xml:space="preserve"> </w:t>
      </w:r>
      <w:r w:rsidRPr="005015BA">
        <w:t xml:space="preserve">Neither party asserts that "funding" has a "'gloss' in the [relevant] industry" and thus under Delaware law </w:t>
      </w:r>
      <w:r w:rsidRPr="00824029">
        <w:rPr>
          <w:rStyle w:val="TitleChar"/>
          <w:b/>
        </w:rPr>
        <w:t xml:space="preserve">the term "should be construed in accordance with its </w:t>
      </w:r>
      <w:r w:rsidRPr="005015BA">
        <w:rPr>
          <w:rStyle w:val="Emphasis"/>
        </w:rPr>
        <w:t>ordinary dictionary meaning</w:t>
      </w:r>
      <w:r w:rsidRPr="00824029">
        <w:rPr>
          <w:rStyle w:val="TitleChar"/>
          <w:b/>
        </w:rPr>
        <w:t>."</w:t>
      </w:r>
      <w:r w:rsidRPr="005015BA">
        <w:t xml:space="preserve"> See Lorillard Tobacco Co., 903 A.2d at 740 (internal quotation mark and citation omitted). While Tureski argues that he and "others were well aware, through personal experience and general industry knowledge, that the total all-inclusive costs for a clinical trial from start to completion was typically tens (or even hundreds) of millions of dollars," D. 140 at 17-18, this does indicate that the term "funding," as used in the Agreement, has a specific meaning in the industry.</w:t>
      </w:r>
      <w:r>
        <w:t xml:space="preserve"> </w:t>
      </w:r>
      <w:r w:rsidRPr="00824029">
        <w:rPr>
          <w:rStyle w:val="TitleChar"/>
          <w:b/>
        </w:rPr>
        <w:t>According to Black's Law</w:t>
      </w:r>
      <w:r w:rsidRPr="005015BA">
        <w:t xml:space="preserve"> Dictionary, </w:t>
      </w:r>
      <w:r w:rsidRPr="00824029">
        <w:rPr>
          <w:rStyle w:val="TitleChar"/>
          <w:b/>
        </w:rPr>
        <w:t>funding is defined a</w:t>
      </w:r>
      <w:r w:rsidRPr="005015BA">
        <w:t xml:space="preserve">s "3. </w:t>
      </w:r>
      <w:r w:rsidRPr="00824029">
        <w:rPr>
          <w:rStyle w:val="TitleChar"/>
          <w:b/>
        </w:rPr>
        <w:t xml:space="preserve">The provision or allocation of </w:t>
      </w:r>
      <w:r w:rsidRPr="005015BA">
        <w:rPr>
          <w:rStyle w:val="Emphasis"/>
        </w:rPr>
        <w:t>money</w:t>
      </w:r>
      <w:r w:rsidRPr="00824029">
        <w:rPr>
          <w:rStyle w:val="TitleChar"/>
          <w:b/>
        </w:rPr>
        <w:t xml:space="preserve"> for a specific purpose</w:t>
      </w:r>
      <w:r w:rsidRPr="005015BA">
        <w:t xml:space="preserve">, such as for a pension plan, by putting the money into a reserve fund or investments" </w:t>
      </w:r>
      <w:r w:rsidRPr="00824029">
        <w:rPr>
          <w:rStyle w:val="TitleChar"/>
          <w:b/>
        </w:rPr>
        <w:t>and</w:t>
      </w:r>
      <w:r w:rsidRPr="005015BA">
        <w:t xml:space="preserve"> "4. </w:t>
      </w:r>
      <w:r w:rsidRPr="00824029">
        <w:rPr>
          <w:rStyle w:val="TitleChar"/>
          <w:b/>
        </w:rPr>
        <w:t xml:space="preserve">The provision of </w:t>
      </w:r>
      <w:r w:rsidRPr="005015BA">
        <w:rPr>
          <w:rStyle w:val="Emphasis"/>
        </w:rPr>
        <w:t>financial resources</w:t>
      </w:r>
      <w:r w:rsidRPr="00824029">
        <w:rPr>
          <w:rStyle w:val="TitleChar"/>
          <w:b/>
        </w:rPr>
        <w:t xml:space="preserve"> to finance a particular activity or project</w:t>
      </w:r>
      <w:r w:rsidRPr="005015BA">
        <w:t xml:space="preserve">, such as a research study." Funding, Black's Law Dictionary (10th ed. 2014). </w:t>
      </w:r>
      <w:r w:rsidRPr="00824029">
        <w:rPr>
          <w:rStyle w:val="TitleChar"/>
          <w:b/>
        </w:rPr>
        <w:t>The Oxford English Dictionary defines funding as</w:t>
      </w:r>
      <w:r w:rsidRPr="005015BA">
        <w:t xml:space="preserve"> "1. </w:t>
      </w:r>
      <w:r w:rsidRPr="00824029">
        <w:rPr>
          <w:rStyle w:val="TitleChar"/>
          <w:b/>
        </w:rPr>
        <w:t>Money provided</w:t>
      </w:r>
      <w:r w:rsidRPr="005015BA">
        <w:t xml:space="preserve">, especially by an organization or government, </w:t>
      </w:r>
      <w:r w:rsidRPr="00824029">
        <w:rPr>
          <w:rStyle w:val="TitleChar"/>
          <w:b/>
        </w:rPr>
        <w:t>for a particular purpose</w:t>
      </w:r>
      <w:r w:rsidRPr="005015BA">
        <w:t xml:space="preserve">." Funding, Oxford English Dictionary, https://en.oxforddictionaries.com/definition/funding (last accessed on May 1, 2016). The Cambridge American Content Dictionary defines funding as "money made available for a particular purpose," funding, Cambridge American Content Dictionary, http://dictionary.cambridge.org/us/dictionary/english/funding (last accessed on May 1, 2017) </w:t>
      </w:r>
      <w:r w:rsidRPr="00824029">
        <w:rPr>
          <w:rStyle w:val="TitleChar"/>
          <w:b/>
        </w:rPr>
        <w:t>and the Cambridge Business English Dictionary defines it to mean "money given by an organization or a government for a particular purpose,"</w:t>
      </w:r>
      <w:r w:rsidRPr="005015BA">
        <w:t xml:space="preserve"> funding, Cambridge Business English Dictionary, http://dictionary.cambridge.org/us/dictionary/english/funding (last accessed on May 1, 2017). Likewise, the Business Dictionary, defines funding as "1. Providing financial resources to finance a need, program, or project. In general, this term is used when a firm fills the need for cash from its own internal reserves, and the term 'financing' is used when the need is filled from external or borrowed money." Funding, Business Dictionary, http://www.businessdictionary.com/definition/funding.html (last accessed on May 1, 2017).</w:t>
      </w:r>
      <w:r>
        <w:t xml:space="preserve"> </w:t>
      </w:r>
      <w:r w:rsidRPr="005015BA">
        <w:t>The Supreme Court has considered and described this source as a "colloquial business authorit[y]." See Vance v. Ball State Univ., ___ U.S. ___, 133 S. Ct. 2434, 2444 &amp; n.5 (2013); see also In re Filene's Basement, No. 11-13511-KJC, 2014 WL 172137, at *5 (Bankr. D. Del. Jan. 15, 2014) (considering the source).</w:t>
      </w:r>
      <w:r>
        <w:t xml:space="preserve"> </w:t>
      </w:r>
      <w:r w:rsidRPr="00824029">
        <w:rPr>
          <w:rStyle w:val="TitleChar"/>
          <w:b/>
        </w:rPr>
        <w:t xml:space="preserve">These </w:t>
      </w:r>
      <w:r w:rsidRPr="005015BA">
        <w:rPr>
          <w:rStyle w:val="Emphasis"/>
        </w:rPr>
        <w:t>broad definitions</w:t>
      </w:r>
      <w:r w:rsidRPr="00824029">
        <w:rPr>
          <w:rStyle w:val="TitleChar"/>
          <w:b/>
        </w:rPr>
        <w:t xml:space="preserve"> lead the Court to conclude that an </w:t>
      </w:r>
      <w:r w:rsidRPr="005015BA">
        <w:rPr>
          <w:rStyle w:val="Emphasis"/>
        </w:rPr>
        <w:t>objective, reasonable third party</w:t>
      </w:r>
      <w:r w:rsidRPr="00824029">
        <w:rPr>
          <w:rStyle w:val="TitleChar"/>
          <w:b/>
        </w:rPr>
        <w:t xml:space="preserve"> would read the term "funding"</w:t>
      </w:r>
      <w:r w:rsidRPr="005015BA">
        <w:t xml:space="preserve"> in the clause "funding for the CLI Development Plan" </w:t>
      </w:r>
      <w:r w:rsidRPr="00824029">
        <w:rPr>
          <w:rStyle w:val="TitleChar"/>
          <w:b/>
        </w:rPr>
        <w:t>as including the monies and financial resources</w:t>
      </w:r>
      <w:r w:rsidRPr="005015BA">
        <w:t xml:space="preserve"> Terumo expended for, or made in provision of, the CLI Developmental Plan. That is, considering the dictionary definitions of "funding," those monies and financial resources—whether in the form of the salaries of Harvest personnel working full-time on the CLI Pivotal Clinical Trial and their incurred travel and entertainment expenses, or the costs of "external" third parties such as InVentiv and their expenses, see, e.g., D. 127 ¶¶ 78-83, 118-22; D. 131 ¶¶ 78-83, 118-22—are properly included towards Terumo's $6 million funding obligation as "funding for" the CLI Developmental Plan. </w:t>
      </w:r>
      <w:r w:rsidRPr="00824029">
        <w:rPr>
          <w:rStyle w:val="TitleChar"/>
          <w:b/>
        </w:rPr>
        <w:t>Notably, Tureski's proposed interpretation—the</w:t>
      </w:r>
      <w:r w:rsidRPr="005015BA">
        <w:t xml:space="preserve"> four </w:t>
      </w:r>
      <w:r w:rsidRPr="00824029">
        <w:rPr>
          <w:rStyle w:val="TitleChar"/>
          <w:b/>
        </w:rPr>
        <w:t>categories of funding—is not supported by any of the dictionary definitions and,</w:t>
      </w:r>
      <w:r w:rsidRPr="005015BA">
        <w:t xml:space="preserve"> therefore, </w:t>
      </w:r>
      <w:r w:rsidRPr="00824029">
        <w:rPr>
          <w:rStyle w:val="TitleChar"/>
          <w:b/>
        </w:rPr>
        <w:t>it is difficult to conclude</w:t>
      </w:r>
      <w:r w:rsidRPr="005015BA">
        <w:t xml:space="preserve">, as he urges, </w:t>
      </w:r>
      <w:r w:rsidRPr="00824029">
        <w:rPr>
          <w:rStyle w:val="TitleChar"/>
          <w:b/>
        </w:rPr>
        <w:t>that a reasonable third party would not read the term in such a way</w:t>
      </w:r>
      <w:r w:rsidRPr="005015BA">
        <w:t>. Cf. Seaford Golf &amp; Country Club v. E.I. duPont de Nemours &amp; Co., 925 A.2d 1255, 1261-62 (Del. 2007) (finding term ambiguous where dictionary definitions supported both parties' respective interpretations).</w:t>
      </w:r>
      <w:r>
        <w:t xml:space="preserve"> </w:t>
      </w:r>
      <w:r w:rsidRPr="005015BA">
        <w:t xml:space="preserve">Reading the Agreement as a whole, see In re Viking Pump, Inc., 2016 WL 4771312, at *8, Tureski's interpretation of "funding" is also not reasonable given that there is no part of the Agreement that includes or alludes to the four categories of funding he proposes such that an objective third party would not read them into the term. </w:t>
      </w:r>
      <w:r w:rsidRPr="00824029">
        <w:rPr>
          <w:rStyle w:val="TitleChar"/>
          <w:b/>
        </w:rPr>
        <w:t>The parties</w:t>
      </w:r>
      <w:r w:rsidRPr="005015BA">
        <w:t xml:space="preserve"> otherwise defined the scope or </w:t>
      </w:r>
      <w:r w:rsidRPr="005015BA">
        <w:rPr>
          <w:rStyle w:val="Emphasis"/>
        </w:rPr>
        <w:t>excluded</w:t>
      </w:r>
      <w:r w:rsidRPr="00824029">
        <w:rPr>
          <w:rStyle w:val="TitleChar"/>
          <w:b/>
        </w:rPr>
        <w:t xml:space="preserve"> specific costs</w:t>
      </w:r>
      <w:r w:rsidRPr="005015BA">
        <w:t xml:space="preserve"> and expenses </w:t>
      </w:r>
      <w:r w:rsidRPr="00824029">
        <w:rPr>
          <w:rStyle w:val="TitleChar"/>
          <w:b/>
        </w:rPr>
        <w:t>where certain broad terms are used</w:t>
      </w:r>
      <w:r w:rsidRPr="005015BA">
        <w:t xml:space="preserve"> in the Agreement. D. 128-1 (e.g., Sections 1.6(b)(x), 5.7(a), 8.2(a)); 128-2 (e.g., Schedule 3.9 ¶ 195); D. 126 at 17-18; see 2009 Caiola Family Trust v. PWA, LLC, No. C.A. 8028-VCP, 2014 WL 1813174, at *11 (Del. Ch. Apr. 30, 2014) (rejecting plaintiff's interpretation of the section at issue where, among other things, it was inconsistent with other sections of the agreement). </w:t>
      </w:r>
      <w:r w:rsidRPr="00824029">
        <w:rPr>
          <w:rStyle w:val="TitleChar"/>
          <w:b/>
        </w:rPr>
        <w:t xml:space="preserve">As such, if the parties had </w:t>
      </w:r>
      <w:r w:rsidRPr="005015BA">
        <w:rPr>
          <w:rStyle w:val="Emphasis"/>
        </w:rPr>
        <w:t>intended to limit</w:t>
      </w:r>
      <w:r w:rsidRPr="00824029">
        <w:rPr>
          <w:rStyle w:val="TitleChar"/>
          <w:b/>
        </w:rPr>
        <w:t xml:space="preserve"> "funding," they </w:t>
      </w:r>
      <w:r w:rsidRPr="005015BA">
        <w:rPr>
          <w:rStyle w:val="Emphasis"/>
        </w:rPr>
        <w:t>could have done</w:t>
      </w:r>
      <w:r w:rsidRPr="00824029">
        <w:rPr>
          <w:rStyle w:val="TitleChar"/>
          <w:b/>
        </w:rPr>
        <w:t xml:space="preserve"> so as they had in other parts of the Agreement</w:t>
      </w:r>
      <w:r w:rsidRPr="005015BA">
        <w:t>.</w:t>
      </w:r>
    </w:p>
    <w:p w:rsidR="00991CBA" w:rsidRPr="001B4994" w:rsidRDefault="00991CBA" w:rsidP="00991CBA"/>
    <w:p w:rsidR="00991CBA" w:rsidRPr="00FA54EA" w:rsidRDefault="00991CBA" w:rsidP="00991CBA">
      <w:pPr>
        <w:pStyle w:val="Heading3"/>
      </w:pPr>
      <w:r>
        <w:t xml:space="preserve">A2 Curriculum – DOE Programs </w:t>
      </w:r>
    </w:p>
    <w:p w:rsidR="00991CBA" w:rsidRPr="005015BA" w:rsidRDefault="00991CBA" w:rsidP="00991CBA">
      <w:pPr>
        <w:pStyle w:val="Heading4"/>
      </w:pPr>
      <w:r w:rsidRPr="005015BA">
        <w:t>Funding is from DoE – includes school vouchers, charter and district schools, teacher prep, after school, and career education – Planned Trump cuts prove elements are relevant.</w:t>
      </w:r>
    </w:p>
    <w:p w:rsidR="00991CBA" w:rsidRPr="005015BA" w:rsidRDefault="00991CBA" w:rsidP="00991CBA">
      <w:pPr>
        <w:rPr>
          <w:rStyle w:val="Style13ptBold"/>
          <w:b w:val="0"/>
        </w:rPr>
      </w:pPr>
      <w:r w:rsidRPr="005015BA">
        <w:rPr>
          <w:rStyle w:val="Style13ptBold"/>
        </w:rPr>
        <w:t>Zinshteyn 17</w:t>
      </w:r>
      <w:r w:rsidRPr="005015BA">
        <w:rPr>
          <w:rStyle w:val="Style13ptBold"/>
          <w:b w:val="0"/>
        </w:rPr>
        <w:t xml:space="preserve"> </w:t>
      </w:r>
      <w:r w:rsidRPr="005015BA">
        <w:rPr>
          <w:rStyle w:val="Style13ptBold"/>
          <w:b w:val="0"/>
          <w:sz w:val="20"/>
        </w:rPr>
        <w:t>(Mikhail, Masters LSE and reporter on charter schools in CA at EdSource, “</w:t>
      </w:r>
      <w:r w:rsidRPr="005015BA">
        <w:rPr>
          <w:bCs/>
          <w:sz w:val="20"/>
        </w:rPr>
        <w:t xml:space="preserve">California would lose $400 million in federal K-12 education funding under Trump budget”, EdSource, </w:t>
      </w:r>
      <w:hyperlink r:id="rId12" w:history="1">
        <w:r w:rsidRPr="005015BA">
          <w:rPr>
            <w:rStyle w:val="Hyperlink"/>
            <w:sz w:val="20"/>
          </w:rPr>
          <w:t>https://edsource.org/2017/california-would-lose-400-million-in-federal-k-12-education-funding-under-trump-budget/582370</w:t>
        </w:r>
      </w:hyperlink>
      <w:r w:rsidRPr="005015BA">
        <w:rPr>
          <w:bCs/>
          <w:sz w:val="20"/>
        </w:rPr>
        <w:t>) AB</w:t>
      </w:r>
    </w:p>
    <w:p w:rsidR="00991CBA" w:rsidRPr="005015BA" w:rsidRDefault="00991CBA" w:rsidP="00991CBA">
      <w:pPr>
        <w:rPr>
          <w:bCs/>
          <w:sz w:val="16"/>
        </w:rPr>
      </w:pPr>
      <w:r w:rsidRPr="005015BA">
        <w:rPr>
          <w:bCs/>
          <w:sz w:val="16"/>
        </w:rPr>
        <w:t xml:space="preserve">Presidential budgets typically serve as wish lists, and it is far from clear what parts of the document released Tuesday will be enacted by Congress. But the document provides important insights into President Donald Trump’s education agenda, and where his priorities lie. The proposed budget is </w:t>
      </w:r>
      <w:hyperlink r:id="rId13" w:history="1">
        <w:r w:rsidRPr="005015BA">
          <w:rPr>
            <w:rStyle w:val="Hyperlink"/>
            <w:sz w:val="16"/>
          </w:rPr>
          <w:t>similar to the blueprint</w:t>
        </w:r>
      </w:hyperlink>
      <w:r w:rsidRPr="005015BA">
        <w:rPr>
          <w:bCs/>
          <w:sz w:val="16"/>
        </w:rPr>
        <w:t xml:space="preserve"> released by the White House in March. In both proposals, </w:t>
      </w:r>
      <w:r w:rsidRPr="005015BA">
        <w:rPr>
          <w:b/>
          <w:bCs/>
          <w:u w:val="single"/>
        </w:rPr>
        <w:t>the U.S. Department of Education, which funds much of the K-12 and higher education programs nationally, would be downsized by more than 13 percent, from roughly $68 billion to about $59 billion.</w:t>
      </w:r>
      <w:r w:rsidRPr="005015BA">
        <w:rPr>
          <w:bCs/>
          <w:sz w:val="16"/>
        </w:rPr>
        <w:t xml:space="preserve"> Higher education programs, including student loan programs, would also be trimmed. </w:t>
      </w:r>
      <w:r w:rsidRPr="005015BA">
        <w:rPr>
          <w:b/>
          <w:bCs/>
          <w:u w:val="single"/>
        </w:rPr>
        <w:t xml:space="preserve">Gone would be $2.1 billion the </w:t>
      </w:r>
      <w:r w:rsidRPr="005015BA">
        <w:rPr>
          <w:rStyle w:val="Emphasis"/>
        </w:rPr>
        <w:t>government spends on teacher preparation</w:t>
      </w:r>
      <w:r w:rsidRPr="005015BA">
        <w:rPr>
          <w:b/>
          <w:bCs/>
          <w:u w:val="single"/>
        </w:rPr>
        <w:t xml:space="preserve"> under the Supporting Effective Instruction State Grants program</w:t>
      </w:r>
      <w:r w:rsidRPr="005015BA">
        <w:rPr>
          <w:bCs/>
          <w:sz w:val="16"/>
        </w:rPr>
        <w:t>. Also on the chopping block is $1.2 billion for after-school programs across the country — the 21st Century Community Learning Centers</w:t>
      </w:r>
      <w:r w:rsidRPr="005015BA">
        <w:rPr>
          <w:b/>
          <w:bCs/>
          <w:u w:val="single"/>
        </w:rPr>
        <w:t xml:space="preserve">. </w:t>
      </w:r>
      <w:hyperlink r:id="rId14" w:tgtFrame="_blank" w:history="1">
        <w:r w:rsidRPr="005015BA">
          <w:rPr>
            <w:rStyle w:val="Hyperlink"/>
            <w:u w:val="single"/>
          </w:rPr>
          <w:t>In 2015-16 California received</w:t>
        </w:r>
      </w:hyperlink>
      <w:r w:rsidRPr="005015BA">
        <w:rPr>
          <w:b/>
          <w:bCs/>
          <w:u w:val="single"/>
        </w:rPr>
        <w:t xml:space="preserve"> $249 million for teacher preparation programs, and $132 million for </w:t>
      </w:r>
      <w:r w:rsidRPr="005015BA">
        <w:rPr>
          <w:rStyle w:val="Emphasis"/>
        </w:rPr>
        <w:t>after school programs</w:t>
      </w:r>
      <w:r w:rsidRPr="005015BA">
        <w:rPr>
          <w:b/>
          <w:bCs/>
          <w:u w:val="single"/>
        </w:rPr>
        <w:t>.</w:t>
      </w:r>
      <w:r w:rsidRPr="005015BA">
        <w:rPr>
          <w:bCs/>
          <w:sz w:val="16"/>
        </w:rPr>
        <w:t xml:space="preserve"> California’s State Superintendent of Public Instruction Tom Torlakson blasted the budget’s education proposals. “I give this budget an ‘F’ grade for failing public school students in California and across the nation,” he said. Trump’s budget seeks to eliminate $3.6 trillion in total federal spending in the next decade. In explaining the cuts, Mick Mulvaney, the director of the White House Office of Management and Budget, said, “Compassion needs to be on both sides of that equation. Yes, you have to have compassion for folks who are receiving the federal funds, but also you have to have compassion for the folks who are paying it. And that is one of the things that is new about this president’s budget.” California Gov. Jerry Brown criticized the overall budget. “It gives a massive tax break to the wealthiest, while imposing painful and debilitating burdens on tens of millions of decent and hard-working people. It’s unconscionable and un-American,” he said. While proposing cuts to several education programs, the White House is also seeking to ramp up support for charter schools and to underwrite tuition for K-12 private schools using taxpayer funds. The budget plan allocates $1.4 billion for “school choice” initiatives. This includes an extra $150 million, above the current level of $333 million, to help charter schools get started, and to “replicate and expand” existing high-quality charter schools. </w:t>
      </w:r>
      <w:r w:rsidRPr="005015BA">
        <w:rPr>
          <w:b/>
          <w:bCs/>
          <w:u w:val="single"/>
        </w:rPr>
        <w:t xml:space="preserve">It also calls for an additional $250 million to provide scholarships to students from low income families to attend private schools of their choosing. </w:t>
      </w:r>
      <w:r w:rsidRPr="005015BA">
        <w:rPr>
          <w:rStyle w:val="Emphasis"/>
        </w:rPr>
        <w:t>These programs are often referred to as vouchers</w:t>
      </w:r>
      <w:r w:rsidRPr="005015BA">
        <w:rPr>
          <w:b/>
          <w:bCs/>
          <w:u w:val="single"/>
        </w:rPr>
        <w:t xml:space="preserve">, although they can be funded in a variety of ways. </w:t>
      </w:r>
      <w:r w:rsidRPr="005015BA">
        <w:rPr>
          <w:bCs/>
          <w:sz w:val="16"/>
        </w:rPr>
        <w:t xml:space="preserve">Despite the funding increase Trump is seeking for charter schools, the California Charter Schools Association took issue with the much larger cuts he is proposing to make to numerous other education programs. “We are concerned by the deep cuts included in the proposed FY 2018 budget released today by the federal government, including $54 billion in overall cuts to non-defense discretionary spending, of which $9 billion would come from the Department of Education,” said Emily Bertelli, a spokesperson for the association. “Sustaining charter schools and all public schools requires great investments at all levels,” she said. </w:t>
      </w:r>
      <w:r w:rsidRPr="005015BA">
        <w:rPr>
          <w:b/>
          <w:bCs/>
          <w:u w:val="single"/>
        </w:rPr>
        <w:t xml:space="preserve">“We call on Congress to sustain and increase its overall investment in public education funding to meet the needs of all public-school students, </w:t>
      </w:r>
      <w:r w:rsidRPr="005015BA">
        <w:rPr>
          <w:rStyle w:val="Emphasis"/>
        </w:rPr>
        <w:t>including charter and district school students</w:t>
      </w:r>
      <w:r w:rsidRPr="005015BA">
        <w:rPr>
          <w:b/>
          <w:bCs/>
          <w:u w:val="single"/>
        </w:rPr>
        <w:t>.”</w:t>
      </w:r>
      <w:r w:rsidRPr="005015BA">
        <w:rPr>
          <w:bCs/>
          <w:sz w:val="16"/>
        </w:rPr>
        <w:t xml:space="preserve"> Torlakson alluded to the fact that California voters have twice rejected private school voucher initiatives, in 1993 and 2000. “Vouchers are unpopular in California,” Torlakson said. “They take critical resources away from our public schools.” Some local school leaders also took issue with the proposed budget. Nick Melvoin, who last week defeated Los Angeles Unified board president Steve Zimmer in a runoff election, said that “the Trump budget is nothing short of an assault on our kids.” “</w:t>
      </w:r>
      <w:r w:rsidRPr="005015BA">
        <w:rPr>
          <w:b/>
          <w:bCs/>
          <w:u w:val="single"/>
        </w:rPr>
        <w:t xml:space="preserve">The cuts to worthwhile initiatives, including after school programs, </w:t>
      </w:r>
      <w:r w:rsidRPr="005015BA">
        <w:rPr>
          <w:rStyle w:val="Emphasis"/>
        </w:rPr>
        <w:t>career and technical education</w:t>
      </w:r>
      <w:r w:rsidRPr="005015BA">
        <w:rPr>
          <w:b/>
          <w:bCs/>
          <w:u w:val="single"/>
        </w:rPr>
        <w:t>, and mental health support, will only limit educational opportunities for families in Los Angeles and across the country,”</w:t>
      </w:r>
      <w:r w:rsidRPr="005015BA">
        <w:rPr>
          <w:bCs/>
          <w:sz w:val="16"/>
        </w:rPr>
        <w:t xml:space="preserve"> he said. He also called voucher programs“ineffective” and “harmful.”</w:t>
      </w:r>
    </w:p>
    <w:p w:rsidR="00991CBA" w:rsidRDefault="00991CBA" w:rsidP="00991CBA">
      <w:pPr>
        <w:pStyle w:val="Heading3"/>
      </w:pPr>
      <w:r>
        <w:t>A2 Curriculum – More than Money</w:t>
      </w:r>
    </w:p>
    <w:p w:rsidR="00991CBA" w:rsidRPr="005B6292" w:rsidRDefault="00991CBA" w:rsidP="00991CBA">
      <w:pPr>
        <w:pStyle w:val="Heading4"/>
        <w:rPr>
          <w:rFonts w:cs="Times New Roman"/>
        </w:rPr>
      </w:pPr>
      <w:r w:rsidRPr="005B6292">
        <w:rPr>
          <w:rFonts w:cs="Times New Roman"/>
        </w:rPr>
        <w:t>“Fund” encompasses more than money</w:t>
      </w:r>
    </w:p>
    <w:p w:rsidR="00991CBA" w:rsidRDefault="00991CBA" w:rsidP="00991CBA">
      <w:r>
        <w:rPr>
          <w:rStyle w:val="Style13ptBold"/>
        </w:rPr>
        <w:t xml:space="preserve">Speer 2k </w:t>
      </w:r>
      <w:r>
        <w:rPr>
          <w:rStyle w:val="Style13ptBold"/>
          <w:b w:val="0"/>
        </w:rPr>
        <w:t>(</w:t>
      </w:r>
      <w:r>
        <w:t>Richard L. Speer, Chief Bankruptcy Judge, United States Bankruptcy Court for the Northern District of Ohio, “In Re: Walter Collins, Jr., Debtor(s); MPC Cash-Way Lumber Co., Plaintiff(s) v. Walter E. Collins, Jr., Defendant(s)”, 266 B.R. 123; 2000 Bankr. LEXIS 1834, 10-25, Lexis)</w:t>
      </w:r>
    </w:p>
    <w:p w:rsidR="00991CBA" w:rsidRDefault="00991CBA" w:rsidP="00991CBA">
      <w:r>
        <w:t xml:space="preserve">After giving this matter careful consideration, the Court finds that </w:t>
      </w:r>
      <w:r>
        <w:rPr>
          <w:rStyle w:val="StyleUnderline"/>
        </w:rPr>
        <w:t>the word "fund,"</w:t>
      </w:r>
      <w:r>
        <w:t xml:space="preserve"> as it is used in Michigan's Building Trust Fund Act, </w:t>
      </w:r>
      <w:r>
        <w:rPr>
          <w:rStyle w:val="StyleUnderline"/>
        </w:rPr>
        <w:t>is broad enough to encompass any compensation</w:t>
      </w:r>
      <w:r>
        <w:t xml:space="preserve"> paid to a contractor through the forgiveness of a debt. The Court's reasoning for this rests upon two observations: First, had the Michigan State Legislature desired to limit the applicability of Michigan's Building Trust Fund Act to solely "money" paid, it could have easily used the term "money" in the statute. However, instead the Michigan State Legislature chose to use </w:t>
      </w:r>
      <w:r>
        <w:rPr>
          <w:rStyle w:val="StyleUnderline"/>
        </w:rPr>
        <w:t>the term "fund"</w:t>
      </w:r>
      <w:r>
        <w:t xml:space="preserve"> which</w:t>
      </w:r>
      <w:r>
        <w:rPr>
          <w:rStyle w:val="StyleUnderline"/>
        </w:rPr>
        <w:t xml:space="preserve"> is, in its common legal usage, given a broad interpretation</w:t>
      </w:r>
      <w:r>
        <w:t xml:space="preserve">. </w:t>
      </w:r>
      <w:r>
        <w:rPr>
          <w:rStyle w:val="StyleUnderline"/>
        </w:rPr>
        <w:t>For example, Black's Law Dictionary defines a "fund" as a generic term and all-embracing as compared with [the] term "money, etc., which is specific."</w:t>
      </w:r>
      <w:r>
        <w:t xml:space="preserve"> BLACK'S LAW DICTIONARY 673 (6th ed. 1990). The second reason, the Court believes that the word "fund" is broad enough to encompass payments made through the method of debt forgiveness is that Michigan's Building Trust Fund Act, being a remedial statute, is to be liberally construed so as to advance its purpose, which is to protect people in the construction industry. People v. Miller, </w:t>
      </w:r>
      <w:hyperlink r:id="rId15" w:anchor="p343" w:history="1">
        <w:r>
          <w:rPr>
            <w:rStyle w:val="Hyperlink"/>
          </w:rPr>
          <w:t>78 Mich. App. 336, 343,</w:t>
        </w:r>
      </w:hyperlink>
      <w:r>
        <w:t> </w:t>
      </w:r>
      <w:hyperlink r:id="rId16" w:anchor="p881" w:history="1">
        <w:r>
          <w:rPr>
            <w:rStyle w:val="Hyperlink"/>
          </w:rPr>
          <w:t>259 N.W.2d 877, 881</w:t>
        </w:r>
      </w:hyperlink>
      <w:r>
        <w:t> (1977). In this case, of course, it is clear that the Plaintiff is included within the scope of those persons protected by the Act. Accordingly, to exclude the applicability of the statute solely on the grounds that the Defendant was compensated for his services by the forgiveness of a debt, instead of in actual money, would clearly run contrary to the Act's intentions. In fact, to hold otherwise would create an unintended loophole in the law, as any party(s) wishing to avoid the operation of Michigan's Building Trust Fund Act could, through creative accounting practices, simply designate the payment of certain construction services as the forgiveness of a debt, notwithstanding the fact that money was contemporaneously paid to the contractor for his or her services. Thus, for these reasons, the Court finds that the Defendant was subject to Michigan's Building and Trust Fund Act, and was thereby acting in a fiduciary capacity for purposes of </w:t>
      </w:r>
      <w:hyperlink r:id="rId17" w:history="1">
        <w:r>
          <w:rPr>
            <w:rStyle w:val="Hyperlink"/>
          </w:rPr>
          <w:t>11 U.S.C. § 523</w:t>
        </w:r>
      </w:hyperlink>
      <w:r>
        <w:t> (a)(4). Accordingly, the only remaining question to address in this case is whether the Defendant committed the act of defalcation for purposes § 523 (a)(4).</w:t>
      </w:r>
    </w:p>
    <w:p w:rsidR="00991CBA" w:rsidRPr="005015BA" w:rsidRDefault="00991CBA" w:rsidP="00991CBA">
      <w:pPr>
        <w:pStyle w:val="Heading4"/>
      </w:pPr>
      <w:r w:rsidRPr="005015BA">
        <w:t>Education regulations include factors outside of curricula that effect how a student’s ability to learn</w:t>
      </w:r>
    </w:p>
    <w:p w:rsidR="00991CBA" w:rsidRPr="005015BA" w:rsidRDefault="00991CBA" w:rsidP="00991CBA">
      <w:r w:rsidRPr="005015BA">
        <w:rPr>
          <w:rStyle w:val="Style13ptBold"/>
        </w:rPr>
        <w:t xml:space="preserve">UNICEF 2000 </w:t>
      </w:r>
      <w:r w:rsidRPr="005015BA">
        <w:t>[United Nations Children's Fund, a United Nations subset based in the US, in their report “Defining Quality in Education”, June 2000; https://www.unicef.org/education/files/QualityEducation.PDF]</w:t>
      </w:r>
    </w:p>
    <w:p w:rsidR="00991CBA" w:rsidRPr="005015BA" w:rsidRDefault="00991CBA" w:rsidP="00991CBA">
      <w:r w:rsidRPr="005015BA">
        <w:rPr>
          <w:rStyle w:val="StyleUnderline"/>
        </w:rPr>
        <w:t>Quality education includes: „ Learners who are healthy, well-nourished and ready to participate and learn</w:t>
      </w:r>
      <w:r w:rsidRPr="005015BA">
        <w:t>, and supported in learning by their families and communities; „</w:t>
      </w:r>
      <w:r w:rsidRPr="005015BA">
        <w:rPr>
          <w:rStyle w:val="StyleUnderline"/>
        </w:rPr>
        <w:t xml:space="preserve"> Environments that are healthy, safe, protective and gender-sensitive, and provide adequate resources and facilities</w:t>
      </w:r>
      <w:r w:rsidRPr="005015BA">
        <w:t>; „</w:t>
      </w:r>
      <w:r w:rsidRPr="005015BA">
        <w:rPr>
          <w:rStyle w:val="StyleUnderline"/>
        </w:rPr>
        <w:t xml:space="preserve"> Content that is reflected in relevant curricula</w:t>
      </w:r>
      <w:r w:rsidRPr="005015BA">
        <w:t xml:space="preserve"> and materials for the acquisition of basic skills</w:t>
      </w:r>
      <w:r w:rsidRPr="005015BA">
        <w:rPr>
          <w:rStyle w:val="StyleUnderline"/>
        </w:rPr>
        <w:t>, especially in the areas of literacy, numeracy and skills for life, and knowledge in such areas as gender, health, nutrition, HIV/AIDS prevention and peace</w:t>
      </w:r>
      <w:r w:rsidRPr="005015BA">
        <w:t>. „</w:t>
      </w:r>
      <w:r w:rsidRPr="005015BA">
        <w:rPr>
          <w:rStyle w:val="StyleUnderline"/>
        </w:rPr>
        <w:t xml:space="preserve"> Processes through which trained teachers use</w:t>
      </w:r>
      <w:r w:rsidRPr="005015BA">
        <w:t xml:space="preserve"> child-centred </w:t>
      </w:r>
      <w:r w:rsidRPr="005015BA">
        <w:rPr>
          <w:rStyle w:val="StyleUnderline"/>
        </w:rPr>
        <w:t>teaching approaches</w:t>
      </w:r>
      <w:r w:rsidRPr="005015BA">
        <w:t xml:space="preserve"> in well-managed classrooms and schools and skilful assessment to facilitate learning and reduce disparities. Outcomes that encompass knowledge, skills and attitudes, and are linked to national goals for education and positive participation in society.</w:t>
      </w:r>
    </w:p>
    <w:p w:rsidR="00991CBA" w:rsidRPr="005015BA" w:rsidRDefault="00991CBA" w:rsidP="00991CBA">
      <w:pPr>
        <w:pStyle w:val="Heading4"/>
        <w:rPr>
          <w:rFonts w:asciiTheme="minorHAnsi" w:hAnsiTheme="minorHAnsi" w:cstheme="minorHAnsi"/>
          <w:lang w:eastAsia="zh-CN"/>
        </w:rPr>
      </w:pPr>
      <w:r w:rsidRPr="005015BA">
        <w:rPr>
          <w:rFonts w:asciiTheme="minorHAnsi" w:hAnsiTheme="minorHAnsi" w:cstheme="minorHAnsi"/>
          <w:lang w:eastAsia="zh-CN"/>
        </w:rPr>
        <w:t>Education includes multiple facets outside of the first curriculum</w:t>
      </w:r>
    </w:p>
    <w:p w:rsidR="00991CBA" w:rsidRPr="005015BA" w:rsidRDefault="00991CBA" w:rsidP="00991CBA">
      <w:pPr>
        <w:rPr>
          <w:rFonts w:asciiTheme="minorHAnsi" w:hAnsiTheme="minorHAnsi" w:cstheme="minorHAnsi"/>
          <w:lang w:eastAsia="zh-CN"/>
        </w:rPr>
      </w:pPr>
      <w:r w:rsidRPr="005015BA">
        <w:rPr>
          <w:rStyle w:val="Style13ptBold"/>
          <w:rFonts w:asciiTheme="minorHAnsi" w:hAnsiTheme="minorHAnsi" w:cstheme="minorHAnsi"/>
        </w:rPr>
        <w:t>Black’s Law Dictionary ND</w:t>
      </w:r>
      <w:r w:rsidRPr="005015BA">
        <w:rPr>
          <w:rFonts w:asciiTheme="minorHAnsi" w:hAnsiTheme="minorHAnsi" w:cstheme="minorHAnsi"/>
          <w:lang w:eastAsia="zh-CN"/>
        </w:rPr>
        <w:t xml:space="preserve"> [Black’s Law Dictionary Online, http://thelawdictionary.org/education/]</w:t>
      </w:r>
    </w:p>
    <w:p w:rsidR="00991CBA" w:rsidRPr="005015BA" w:rsidRDefault="00991CBA" w:rsidP="00991CBA">
      <w:pPr>
        <w:rPr>
          <w:rFonts w:asciiTheme="minorHAnsi" w:hAnsiTheme="minorHAnsi" w:cstheme="minorHAnsi"/>
          <w:lang w:eastAsia="zh-CN"/>
        </w:rPr>
      </w:pPr>
      <w:r w:rsidRPr="005015BA">
        <w:rPr>
          <w:rFonts w:asciiTheme="minorHAnsi" w:hAnsiTheme="minorHAnsi" w:cstheme="minorHAnsi"/>
          <w:lang w:eastAsia="zh-CN"/>
        </w:rPr>
        <w:t xml:space="preserve">Within the meaning of a statute relative to the powers and duties of guardians, </w:t>
      </w:r>
      <w:r w:rsidRPr="005015BA">
        <w:rPr>
          <w:rStyle w:val="StyleUnderline"/>
          <w:rFonts w:asciiTheme="minorHAnsi" w:hAnsiTheme="minorHAnsi" w:cstheme="minorHAnsi"/>
        </w:rPr>
        <w:t>this term comprehends not merely the instruction received at school or college, but the whole course of training, moral, intellectual, and physical</w:t>
      </w:r>
      <w:r w:rsidRPr="005015BA">
        <w:rPr>
          <w:rFonts w:asciiTheme="minorHAnsi" w:hAnsiTheme="minorHAnsi" w:cstheme="minorHAnsi"/>
          <w:lang w:eastAsia="zh-CN"/>
        </w:rPr>
        <w:t xml:space="preserve">. Education maybe particularly directed to either the mental, moral, or physical powers and faculties,"but </w:t>
      </w:r>
      <w:r w:rsidRPr="005015BA">
        <w:rPr>
          <w:rStyle w:val="StyleUnderline"/>
          <w:rFonts w:asciiTheme="minorHAnsi" w:hAnsiTheme="minorHAnsi" w:cstheme="minorHAnsi"/>
        </w:rPr>
        <w:t>In its broadest aud best sense it relates to them all.</w:t>
      </w:r>
      <w:r w:rsidRPr="005015BA">
        <w:rPr>
          <w:rFonts w:asciiTheme="minorHAnsi" w:hAnsiTheme="minorHAnsi" w:cstheme="minorHAnsi"/>
          <w:lang w:eastAsia="zh-CN"/>
        </w:rPr>
        <w:t xml:space="preserve"> Mount Herman Boys' School v. Gill, 145 Mass. 139, 13 N. E. 354; Cook v. State, 90 Tenn. 407, 10 S. W. 471,13 L. It. A. 183; Ruohs v. Backer, 6 Heisk. (Tenn.) 400, 19 Am. Rep. 598. </w:t>
      </w:r>
    </w:p>
    <w:p w:rsidR="00991CBA" w:rsidRPr="005015BA" w:rsidRDefault="00991CBA" w:rsidP="00991CBA">
      <w:pPr>
        <w:pStyle w:val="Heading3"/>
        <w:rPr>
          <w:rFonts w:asciiTheme="minorHAnsi" w:hAnsiTheme="minorHAnsi" w:cstheme="minorHAnsi"/>
        </w:rPr>
      </w:pPr>
      <w:r w:rsidRPr="005015BA">
        <w:rPr>
          <w:rFonts w:asciiTheme="minorHAnsi" w:hAnsiTheme="minorHAnsi" w:cstheme="minorHAnsi"/>
        </w:rPr>
        <w:t xml:space="preserve">We Meet – School Lunches </w:t>
      </w:r>
    </w:p>
    <w:p w:rsidR="00991CBA" w:rsidRPr="005015BA" w:rsidRDefault="00991CBA" w:rsidP="00991CBA">
      <w:pPr>
        <w:pStyle w:val="Heading4"/>
        <w:rPr>
          <w:rFonts w:asciiTheme="minorHAnsi" w:hAnsiTheme="minorHAnsi" w:cstheme="minorHAnsi"/>
        </w:rPr>
      </w:pPr>
      <w:r w:rsidRPr="005015BA">
        <w:rPr>
          <w:rFonts w:asciiTheme="minorHAnsi" w:hAnsiTheme="minorHAnsi" w:cstheme="minorHAnsi"/>
        </w:rPr>
        <w:t xml:space="preserve">Education funding includes child nutrition programs coordinated through the DOE </w:t>
      </w:r>
    </w:p>
    <w:p w:rsidR="00991CBA" w:rsidRPr="005015BA" w:rsidRDefault="00991CBA" w:rsidP="00991CBA">
      <w:pPr>
        <w:rPr>
          <w:rFonts w:asciiTheme="minorHAnsi" w:hAnsiTheme="minorHAnsi" w:cstheme="minorHAnsi"/>
        </w:rPr>
      </w:pPr>
      <w:r w:rsidRPr="005015BA">
        <w:rPr>
          <w:rFonts w:asciiTheme="minorHAnsi" w:hAnsiTheme="minorHAnsi" w:cstheme="minorHAnsi"/>
          <w:b/>
        </w:rPr>
        <w:t xml:space="preserve">McCann no date </w:t>
      </w:r>
      <w:r w:rsidRPr="005015BA">
        <w:rPr>
          <w:rFonts w:asciiTheme="minorHAnsi" w:hAnsiTheme="minorHAnsi" w:cstheme="minorHAnsi"/>
        </w:rPr>
        <w:t xml:space="preserve">(Clare, policy analyst with the Education Policy Program at the New America Foundation. Ms. McCann graduated from The George Washington University with a B.A. in Political Science and a focus in Public Policy, "School Finance," </w:t>
      </w:r>
      <w:hyperlink r:id="rId18" w:history="1">
        <w:r w:rsidRPr="005015BA">
          <w:rPr>
            <w:rStyle w:val="Hyperlink"/>
            <w:rFonts w:asciiTheme="minorHAnsi" w:hAnsiTheme="minorHAnsi" w:cstheme="minorHAnsi"/>
          </w:rPr>
          <w:t>http://www.edcentral.org/edcyclopedia/school-finance/</w:t>
        </w:r>
      </w:hyperlink>
      <w:r w:rsidRPr="005015BA">
        <w:rPr>
          <w:rFonts w:asciiTheme="minorHAnsi" w:hAnsiTheme="minorHAnsi" w:cstheme="minorHAnsi"/>
        </w:rPr>
        <w:t xml:space="preserve"> JD)</w:t>
      </w:r>
    </w:p>
    <w:p w:rsidR="00991CBA" w:rsidRPr="005015BA" w:rsidRDefault="00991CBA" w:rsidP="00991CBA">
      <w:pPr>
        <w:rPr>
          <w:rFonts w:asciiTheme="minorHAnsi" w:hAnsiTheme="minorHAnsi" w:cstheme="minorHAnsi"/>
        </w:rPr>
      </w:pPr>
      <w:r w:rsidRPr="005015BA">
        <w:rPr>
          <w:rStyle w:val="StyleUnderline"/>
          <w:rFonts w:asciiTheme="minorHAnsi" w:hAnsiTheme="minorHAnsi" w:cstheme="minorHAnsi"/>
        </w:rPr>
        <w:t xml:space="preserve">Through the U.S. Department of Education, the federal government provides more than $40 billion a year on primary and secondary education programs. The two biggest programs are No Child Left Behind Title I Grants to local school districts ($13.7 billion in fiscal year 2013) and IDEA Special Education State Grants </w:t>
      </w:r>
      <w:r w:rsidRPr="005015BA">
        <w:rPr>
          <w:rFonts w:asciiTheme="minorHAnsi" w:hAnsiTheme="minorHAnsi" w:cstheme="minorHAnsi"/>
        </w:rPr>
        <w:t xml:space="preserve">($11.0 billion in fiscal year 2013). </w:t>
      </w:r>
      <w:r w:rsidRPr="005015BA">
        <w:rPr>
          <w:rFonts w:asciiTheme="minorHAnsi" w:hAnsiTheme="minorHAnsi" w:cstheme="minorHAnsi"/>
          <w:sz w:val="14"/>
        </w:rPr>
        <w:t xml:space="preserve">Other </w:t>
      </w:r>
      <w:r w:rsidRPr="005015BA">
        <w:rPr>
          <w:rFonts w:asciiTheme="minorHAnsi" w:hAnsiTheme="minorHAnsi" w:cstheme="minorHAnsi"/>
          <w:b/>
          <w:u w:val="single"/>
        </w:rPr>
        <w:t>federal agencies that administer funding for primary and secondary education include the Department of Agriculture,</w:t>
      </w:r>
      <w:r w:rsidRPr="005015BA">
        <w:rPr>
          <w:rFonts w:asciiTheme="minorHAnsi" w:hAnsiTheme="minorHAnsi" w:cstheme="minorHAnsi"/>
          <w:sz w:val="14"/>
        </w:rPr>
        <w:t xml:space="preserve"> which coordinates the </w:t>
      </w:r>
      <w:r w:rsidRPr="005015BA">
        <w:rPr>
          <w:rFonts w:asciiTheme="minorHAnsi" w:hAnsiTheme="minorHAnsi" w:cstheme="minorHAnsi"/>
          <w:b/>
          <w:u w:val="single"/>
        </w:rPr>
        <w:t>funding for the child nutrition programs</w:t>
      </w:r>
      <w:r w:rsidRPr="005015BA">
        <w:rPr>
          <w:rFonts w:asciiTheme="minorHAnsi" w:hAnsiTheme="minorHAnsi" w:cstheme="minorHAnsi"/>
          <w:sz w:val="14"/>
        </w:rPr>
        <w:t xml:space="preserve"> ($20.4 in fiscal year 2013), </w:t>
      </w:r>
      <w:r w:rsidRPr="005015BA">
        <w:rPr>
          <w:rFonts w:asciiTheme="minorHAnsi" w:hAnsiTheme="minorHAnsi" w:cstheme="minorHAnsi"/>
          <w:b/>
          <w:u w:val="single"/>
        </w:rPr>
        <w:t>the Department of Health and Human Services, which supports the Head Start program</w:t>
      </w:r>
      <w:r w:rsidRPr="005015BA">
        <w:rPr>
          <w:rFonts w:asciiTheme="minorHAnsi" w:hAnsiTheme="minorHAnsi" w:cstheme="minorHAnsi"/>
          <w:sz w:val="14"/>
        </w:rPr>
        <w:t xml:space="preserve"> ($8.0 million in fiscal year 2013) </w:t>
      </w:r>
      <w:r w:rsidRPr="005015BA">
        <w:rPr>
          <w:rFonts w:asciiTheme="minorHAnsi" w:hAnsiTheme="minorHAnsi" w:cstheme="minorHAnsi"/>
          <w:b/>
          <w:u w:val="single"/>
        </w:rPr>
        <w:t>and the Department of Labor, which supports Youth Employment and Training Activities and Youthbuild</w:t>
      </w:r>
      <w:r w:rsidRPr="005015BA">
        <w:rPr>
          <w:rFonts w:asciiTheme="minorHAnsi" w:hAnsiTheme="minorHAnsi" w:cstheme="minorHAnsi"/>
          <w:sz w:val="14"/>
        </w:rPr>
        <w:t xml:space="preserve"> ($0.9 billion in fiscal year 2013).</w:t>
      </w:r>
    </w:p>
    <w:p w:rsidR="00991CBA" w:rsidRPr="005015BA" w:rsidRDefault="00991CBA" w:rsidP="00991CBA">
      <w:pPr>
        <w:pStyle w:val="Heading3"/>
      </w:pPr>
      <w:r w:rsidRPr="005015BA">
        <w:t>We Meet – Vocational Schools &amp; Charters</w:t>
      </w:r>
    </w:p>
    <w:p w:rsidR="00991CBA" w:rsidRPr="005015BA" w:rsidRDefault="00991CBA" w:rsidP="00991CBA">
      <w:pPr>
        <w:pStyle w:val="Heading4"/>
      </w:pPr>
      <w:r w:rsidRPr="005015BA">
        <w:t>Federal funding goes out to charter, vocational, and public schools</w:t>
      </w:r>
    </w:p>
    <w:p w:rsidR="00991CBA" w:rsidRPr="005015BA" w:rsidRDefault="00991CBA" w:rsidP="00991CBA">
      <w:r w:rsidRPr="005015BA">
        <w:rPr>
          <w:rStyle w:val="Style13ptBold"/>
        </w:rPr>
        <w:t>EWA ND</w:t>
      </w:r>
      <w:r w:rsidRPr="005015BA">
        <w:t xml:space="preserve"> [Education Writers Association, informing people on education news and policies, no date; http://www.ewa.org/federal-k-12-funding]</w:t>
      </w:r>
    </w:p>
    <w:p w:rsidR="00991CBA" w:rsidRPr="005015BA" w:rsidRDefault="00991CBA" w:rsidP="00991CBA">
      <w:pPr>
        <w:rPr>
          <w:lang w:eastAsia="zh-CN"/>
        </w:rPr>
      </w:pPr>
      <w:r w:rsidRPr="005015BA">
        <w:t xml:space="preserve">Title I and special education aren’t the only sources of federal funding that go out to districts. </w:t>
      </w:r>
      <w:r w:rsidRPr="005015BA">
        <w:rPr>
          <w:rStyle w:val="StyleUnderline"/>
        </w:rPr>
        <w:t>Schools also rely on the $1 billion Carl D. Perkins Career and Technical Education program</w:t>
      </w:r>
      <w:r w:rsidRPr="005015BA">
        <w:t xml:space="preserve"> – the biggest federal program for high schools – </w:t>
      </w:r>
      <w:r w:rsidRPr="005015BA">
        <w:rPr>
          <w:rStyle w:val="StyleUnderline"/>
        </w:rPr>
        <w:t>which helps districts offer vocational programs</w:t>
      </w:r>
      <w:r w:rsidRPr="005015BA">
        <w:t xml:space="preserve">. </w:t>
      </w:r>
      <w:r w:rsidRPr="005015BA">
        <w:rPr>
          <w:rStyle w:val="StyleUnderline"/>
        </w:rPr>
        <w:t>The federal government also directs roughly $2.5 billion to the Improving Teacher Quality state grant program, which goes out to states by a formula. Schools use that money to reduce class size or provide professional development, or for more innovative programs, such as offering mentors to novice teachers.</w:t>
      </w:r>
      <w:r w:rsidRPr="005015BA">
        <w:t xml:space="preserve"> For more, see President Obama’s most recent budget request. And there are a myriad of smaller, more targeted programs in the U.S. Department of Education tailored to specific goals such as turning around low-performing schools, or improving outcomes for English-language learners.</w:t>
      </w:r>
    </w:p>
    <w:p w:rsidR="00991CBA" w:rsidRDefault="00991CBA" w:rsidP="00991CBA"/>
    <w:p w:rsidR="00991CBA" w:rsidRDefault="00991CBA" w:rsidP="00991CBA">
      <w:pPr>
        <w:pStyle w:val="Heading2"/>
      </w:pPr>
      <w:r>
        <w:t>A2 Increase = Existing Regs</w:t>
      </w:r>
    </w:p>
    <w:p w:rsidR="00991CBA" w:rsidRDefault="00991CBA" w:rsidP="00991CBA">
      <w:pPr>
        <w:pStyle w:val="Heading3"/>
      </w:pPr>
      <w:r>
        <w:t>C/I – Includes Create</w:t>
      </w:r>
    </w:p>
    <w:p w:rsidR="00991CBA" w:rsidRPr="005015BA" w:rsidRDefault="00991CBA" w:rsidP="00991CBA">
      <w:pPr>
        <w:pStyle w:val="Heading4"/>
      </w:pPr>
      <w:r w:rsidRPr="005015BA">
        <w:t>Increase doesn’t require pre-existence</w:t>
      </w:r>
    </w:p>
    <w:p w:rsidR="00991CBA" w:rsidRPr="005015BA" w:rsidRDefault="00991CBA" w:rsidP="00991CBA">
      <w:pPr>
        <w:rPr>
          <w:rStyle w:val="Style13ptBold"/>
        </w:rPr>
      </w:pPr>
      <w:r w:rsidRPr="005015BA">
        <w:rPr>
          <w:rStyle w:val="Style13ptBold"/>
        </w:rPr>
        <w:t>Reinhardt, Ninth Circuit United States Appeals Court Judge, 5</w:t>
      </w:r>
    </w:p>
    <w:p w:rsidR="00991CBA" w:rsidRPr="005015BA" w:rsidRDefault="00991CBA" w:rsidP="00991CBA">
      <w:pPr>
        <w:rPr>
          <w:color w:val="0D0D0D"/>
        </w:rPr>
      </w:pPr>
      <w:r w:rsidRPr="005015BA">
        <w:rPr>
          <w:color w:val="0D0D0D"/>
        </w:rPr>
        <w:t>[Stephen R., 8-4-05, FindLaw, “Jason Ray REYNOLDS; Matthew Rausch, Plaintiffs-Appellants, v. HARTFORD FINANCIAL SERVICES GROUP, INC.; Hartford Fire Insurance Company, Defendants-Appellees.”, Lexis]</w:t>
      </w:r>
    </w:p>
    <w:p w:rsidR="00991CBA" w:rsidRPr="005015BA" w:rsidRDefault="00991CBA" w:rsidP="00991CBA">
      <w:pPr>
        <w:rPr>
          <w:color w:val="0D0D0D"/>
        </w:rPr>
      </w:pPr>
      <w:r w:rsidRPr="005015BA">
        <w:rPr>
          <w:color w:val="0D0D0D"/>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5015BA">
        <w:rPr>
          <w:rStyle w:val="IntenseEmphasis"/>
        </w:rPr>
        <w:t>under</w:t>
      </w:r>
      <w:r w:rsidRPr="005015BA">
        <w:rPr>
          <w:color w:val="0D0D0D"/>
          <w:u w:val="single"/>
        </w:rPr>
        <w:t xml:space="preserve"> </w:t>
      </w:r>
      <w:r w:rsidRPr="005015BA">
        <w:rPr>
          <w:color w:val="0D0D0D"/>
        </w:rPr>
        <w:t xml:space="preserve">[*1091] </w:t>
      </w:r>
      <w:r w:rsidRPr="005015BA">
        <w:rPr>
          <w:rStyle w:val="IntenseEmphasis"/>
        </w:rPr>
        <w:t>the ordinary definition of the term, an increase in a charge also occurs whenever an insurer charges a higher rate than it would otherwise have charged because of any factor</w:t>
      </w:r>
      <w:r w:rsidRPr="005015BA">
        <w:rPr>
          <w:color w:val="0D0D0D"/>
        </w:rPr>
        <w:t>--such as adverse credit information, age, or driving record 8 --</w:t>
      </w:r>
      <w:r w:rsidRPr="005015BA">
        <w:rPr>
          <w:rStyle w:val="IntenseEmphasis"/>
        </w:rPr>
        <w:t>regardless of whether the customer was previously charged some other rate.</w:t>
      </w:r>
      <w:r w:rsidRPr="005015BA">
        <w:rPr>
          <w:color w:val="0D0D0D"/>
          <w:u w:val="single"/>
        </w:rPr>
        <w:t xml:space="preserve"> </w:t>
      </w:r>
      <w:r w:rsidRPr="005015BA">
        <w:rPr>
          <w:color w:val="0D0D0D"/>
        </w:rPr>
        <w:t xml:space="preserve">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w:t>
      </w:r>
      <w:r w:rsidRPr="005015BA">
        <w:rPr>
          <w:rStyle w:val="IntenseEmphasis"/>
        </w:rPr>
        <w:t>“Increase" means to make something greater.</w:t>
      </w:r>
      <w:r w:rsidRPr="005015BA">
        <w:rPr>
          <w:color w:val="0D0D0D"/>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5015BA">
        <w:rPr>
          <w:rStyle w:val="IntenseEmphasis"/>
        </w:rPr>
        <w:t>Nothing in the definition of these words implies that the term "increase in any charge for" should be limited to cases in which a company raises the rate that an individual has previously been charged</w:t>
      </w:r>
      <w:r w:rsidRPr="005015BA">
        <w:rPr>
          <w:color w:val="0D0D0D"/>
        </w:rPr>
        <w:t>.</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991CBA"/>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91CBA"/>
    <w:rsid w:val="009D2EAD"/>
    <w:rsid w:val="009D54B2"/>
    <w:rsid w:val="009E1922"/>
    <w:rsid w:val="009F7ED2"/>
    <w:rsid w:val="00A51396"/>
    <w:rsid w:val="00A93661"/>
    <w:rsid w:val="00A95652"/>
    <w:rsid w:val="00AC0AB8"/>
    <w:rsid w:val="00B33C6D"/>
    <w:rsid w:val="00B4508F"/>
    <w:rsid w:val="00B55AD5"/>
    <w:rsid w:val="00B8057C"/>
    <w:rsid w:val="00BD6238"/>
    <w:rsid w:val="00BF593B"/>
    <w:rsid w:val="00BF773A"/>
    <w:rsid w:val="00BF7E81"/>
    <w:rsid w:val="00C03BE3"/>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91CBA"/>
    <w:rPr>
      <w:rFonts w:ascii="Calibri" w:hAnsi="Calibri" w:cs="Calibri"/>
    </w:rPr>
  </w:style>
  <w:style w:type="paragraph" w:styleId="Heading1">
    <w:name w:val="heading 1"/>
    <w:aliases w:val="Pocket"/>
    <w:basedOn w:val="Normal"/>
    <w:next w:val="Normal"/>
    <w:link w:val="Heading1Char"/>
    <w:qFormat/>
    <w:rsid w:val="00991C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1C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2"/>
    <w:unhideWhenUsed/>
    <w:qFormat/>
    <w:rsid w:val="00991C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991C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91C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CBA"/>
  </w:style>
  <w:style w:type="character" w:customStyle="1" w:styleId="Heading1Char">
    <w:name w:val="Heading 1 Char"/>
    <w:aliases w:val="Pocket Char"/>
    <w:basedOn w:val="DefaultParagraphFont"/>
    <w:link w:val="Heading1"/>
    <w:rsid w:val="00991C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1CB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991CB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91CB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991CB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91CB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991CBA"/>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991CBA"/>
    <w:rPr>
      <w:color w:val="auto"/>
      <w:u w:val="none"/>
    </w:rPr>
  </w:style>
  <w:style w:type="character" w:styleId="FollowedHyperlink">
    <w:name w:val="FollowedHyperlink"/>
    <w:basedOn w:val="DefaultParagraphFont"/>
    <w:uiPriority w:val="99"/>
    <w:semiHidden/>
    <w:unhideWhenUsed/>
    <w:rsid w:val="00991CBA"/>
    <w:rPr>
      <w:color w:val="auto"/>
      <w:u w:val="none"/>
    </w:rPr>
  </w:style>
  <w:style w:type="character" w:styleId="IntenseEmphasis">
    <w:name w:val="Intense Emphasis"/>
    <w:aliases w:val="Intense Emphasis11,Intense Emphasis111,Cards + Font: 12 pt Char,Bold Cite Char,S"/>
    <w:basedOn w:val="DefaultParagraphFont"/>
    <w:uiPriority w:val="6"/>
    <w:qFormat/>
    <w:rsid w:val="00991CBA"/>
    <w:rPr>
      <w:b/>
      <w:bCs w:val="0"/>
      <w:sz w:val="24"/>
      <w:u w:val="single"/>
    </w:rPr>
  </w:style>
  <w:style w:type="paragraph" w:customStyle="1" w:styleId="Emphasis1">
    <w:name w:val="Emphasis1"/>
    <w:basedOn w:val="Normal"/>
    <w:link w:val="Emphasis"/>
    <w:uiPriority w:val="7"/>
    <w:rsid w:val="00991CB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Bold Underlined Char,UNDERLINE Char"/>
    <w:basedOn w:val="DefaultParagraphFont"/>
    <w:link w:val="Title"/>
    <w:uiPriority w:val="6"/>
    <w:qFormat/>
    <w:rsid w:val="00991CBA"/>
    <w:rPr>
      <w:u w:val="single"/>
    </w:rPr>
  </w:style>
  <w:style w:type="paragraph" w:styleId="Title">
    <w:name w:val="Title"/>
    <w:aliases w:val="Cites and Cards,Bold Underlined,UNDERLINE"/>
    <w:basedOn w:val="Normal"/>
    <w:next w:val="Normal"/>
    <w:link w:val="TitleChar"/>
    <w:uiPriority w:val="6"/>
    <w:qFormat/>
    <w:rsid w:val="00991CBA"/>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991CBA"/>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91CBA"/>
    <w:rPr>
      <w:rFonts w:ascii="Calibri" w:hAnsi="Calibri" w:cs="Calibri"/>
    </w:rPr>
  </w:style>
  <w:style w:type="paragraph" w:styleId="Heading1">
    <w:name w:val="heading 1"/>
    <w:aliases w:val="Pocket"/>
    <w:basedOn w:val="Normal"/>
    <w:next w:val="Normal"/>
    <w:link w:val="Heading1Char"/>
    <w:qFormat/>
    <w:rsid w:val="00991C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1C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2"/>
    <w:unhideWhenUsed/>
    <w:qFormat/>
    <w:rsid w:val="00991C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991C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91C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CBA"/>
  </w:style>
  <w:style w:type="character" w:customStyle="1" w:styleId="Heading1Char">
    <w:name w:val="Heading 1 Char"/>
    <w:aliases w:val="Pocket Char"/>
    <w:basedOn w:val="DefaultParagraphFont"/>
    <w:link w:val="Heading1"/>
    <w:rsid w:val="00991C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1CB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991CB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91CB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991CB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91CB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991CBA"/>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991CBA"/>
    <w:rPr>
      <w:color w:val="auto"/>
      <w:u w:val="none"/>
    </w:rPr>
  </w:style>
  <w:style w:type="character" w:styleId="FollowedHyperlink">
    <w:name w:val="FollowedHyperlink"/>
    <w:basedOn w:val="DefaultParagraphFont"/>
    <w:uiPriority w:val="99"/>
    <w:semiHidden/>
    <w:unhideWhenUsed/>
    <w:rsid w:val="00991CBA"/>
    <w:rPr>
      <w:color w:val="auto"/>
      <w:u w:val="none"/>
    </w:rPr>
  </w:style>
  <w:style w:type="character" w:styleId="IntenseEmphasis">
    <w:name w:val="Intense Emphasis"/>
    <w:aliases w:val="Intense Emphasis11,Intense Emphasis111,Cards + Font: 12 pt Char,Bold Cite Char,S"/>
    <w:basedOn w:val="DefaultParagraphFont"/>
    <w:uiPriority w:val="6"/>
    <w:qFormat/>
    <w:rsid w:val="00991CBA"/>
    <w:rPr>
      <w:b/>
      <w:bCs w:val="0"/>
      <w:sz w:val="24"/>
      <w:u w:val="single"/>
    </w:rPr>
  </w:style>
  <w:style w:type="paragraph" w:customStyle="1" w:styleId="Emphasis1">
    <w:name w:val="Emphasis1"/>
    <w:basedOn w:val="Normal"/>
    <w:link w:val="Emphasis"/>
    <w:uiPriority w:val="7"/>
    <w:rsid w:val="00991CB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Bold Underlined Char,UNDERLINE Char"/>
    <w:basedOn w:val="DefaultParagraphFont"/>
    <w:link w:val="Title"/>
    <w:uiPriority w:val="6"/>
    <w:qFormat/>
    <w:rsid w:val="00991CBA"/>
    <w:rPr>
      <w:u w:val="single"/>
    </w:rPr>
  </w:style>
  <w:style w:type="paragraph" w:styleId="Title">
    <w:name w:val="Title"/>
    <w:aliases w:val="Cites and Cards,Bold Underlined,UNDERLINE"/>
    <w:basedOn w:val="Normal"/>
    <w:next w:val="Normal"/>
    <w:link w:val="TitleChar"/>
    <w:uiPriority w:val="6"/>
    <w:qFormat/>
    <w:rsid w:val="00991CBA"/>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991CBA"/>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ert.nic.in/pdf_files/basic_in_education.pdf" TargetMode="External"/><Relationship Id="rId13" Type="http://schemas.openxmlformats.org/officeDocument/2006/relationships/hyperlink" Target="https://edsource.org/2017/trump-budget-would-result-in-loss-of-hundreds-of-millions-in-education-dollars-to-california/578803" TargetMode="External"/><Relationship Id="rId18" Type="http://schemas.openxmlformats.org/officeDocument/2006/relationships/hyperlink" Target="http://www.edcentral.org/edcyclopedia/school-finance/" TargetMode="External"/><Relationship Id="rId3" Type="http://schemas.openxmlformats.org/officeDocument/2006/relationships/styles" Target="styles.xml"/><Relationship Id="rId7" Type="http://schemas.openxmlformats.org/officeDocument/2006/relationships/hyperlink" Target="http://www.ncert.nic.in/pdf_files/basic_in_education.pdf" TargetMode="External"/><Relationship Id="rId12" Type="http://schemas.openxmlformats.org/officeDocument/2006/relationships/hyperlink" Target="https://edsource.org/2017/california-would-lose-400-million-in-federal-k-12-education-funding-under-trump-budget/582370" TargetMode="External"/><Relationship Id="rId17" Type="http://schemas.openxmlformats.org/officeDocument/2006/relationships/hyperlink" Target="https://casetext.com/statute/11-usc-523-exceptions-to-discharge" TargetMode="External"/><Relationship Id="rId2" Type="http://schemas.openxmlformats.org/officeDocument/2006/relationships/numbering" Target="numbering.xml"/><Relationship Id="rId16" Type="http://schemas.openxmlformats.org/officeDocument/2006/relationships/hyperlink" Target="https://casetext.com/case/people-v-miller-143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ime.com/4791618/donald-trump-budget-education-funding/" TargetMode="External"/><Relationship Id="rId5" Type="http://schemas.openxmlformats.org/officeDocument/2006/relationships/settings" Target="settings.xml"/><Relationship Id="rId15" Type="http://schemas.openxmlformats.org/officeDocument/2006/relationships/hyperlink" Target="https://casetext.com/case/people-v-miller-1432" TargetMode="External"/><Relationship Id="rId10" Type="http://schemas.openxmlformats.org/officeDocument/2006/relationships/hyperlink" Target="http://www.highereducation.org/reports/challenges/challenges4.shtml)"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dictionary.com/browse/regulation" TargetMode="External"/><Relationship Id="rId14" Type="http://schemas.openxmlformats.org/officeDocument/2006/relationships/hyperlink" Target="https://www.scribd.com/document/349267777/funds-for-state-formula-allocated-and-selected-student-aid-progra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A7DE2-BB8A-4E1F-B722-682F0C0D3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7855</Words>
  <Characters>44776</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Nate Fleming</cp:lastModifiedBy>
  <cp:revision>1</cp:revision>
  <dcterms:created xsi:type="dcterms:W3CDTF">2017-07-09T01:53:00Z</dcterms:created>
  <dcterms:modified xsi:type="dcterms:W3CDTF">2017-07-09T01:53:00Z</dcterms:modified>
</cp:coreProperties>
</file>