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8312B" w:rsidP="00A8312B">
      <w:pPr>
        <w:pStyle w:val="Heading2"/>
      </w:pPr>
      <w:r>
        <w:t>T v k affs</w:t>
      </w:r>
    </w:p>
    <w:p w:rsidR="00A8312B" w:rsidRPr="00A8312B" w:rsidRDefault="00A8312B" w:rsidP="00A8312B">
      <w:pPr>
        <w:pStyle w:val="Heading3"/>
      </w:pPr>
      <w:r>
        <w:t xml:space="preserve">1nc – T </w:t>
      </w:r>
    </w:p>
    <w:p w:rsidR="00A8312B" w:rsidRPr="00C55BB8" w:rsidRDefault="00A8312B" w:rsidP="00A8312B">
      <w:pPr>
        <w:pStyle w:val="Heading4"/>
        <w:numPr>
          <w:ilvl w:val="0"/>
          <w:numId w:val="12"/>
        </w:numPr>
        <w:rPr>
          <w:rFonts w:asciiTheme="minorHAnsi" w:hAnsiTheme="minorHAnsi" w:cstheme="minorHAnsi"/>
        </w:rPr>
      </w:pPr>
      <w:r w:rsidRPr="00C55BB8">
        <w:rPr>
          <w:rFonts w:asciiTheme="minorHAnsi" w:hAnsiTheme="minorHAnsi" w:cstheme="minorHAnsi"/>
        </w:rPr>
        <w:t>Interpretation: Topical affirmatives must affirm the resolution through instrumental defense of action by the United States federal government</w:t>
      </w:r>
    </w:p>
    <w:p w:rsidR="00A8312B" w:rsidRPr="00C55BB8" w:rsidRDefault="00A8312B" w:rsidP="00A8312B">
      <w:pPr>
        <w:pStyle w:val="Heading4"/>
        <w:rPr>
          <w:rFonts w:asciiTheme="minorHAnsi" w:hAnsiTheme="minorHAnsi" w:cstheme="minorHAnsi"/>
        </w:rPr>
      </w:pPr>
      <w:r w:rsidRPr="00C55BB8">
        <w:rPr>
          <w:rFonts w:asciiTheme="minorHAnsi" w:hAnsiTheme="minorHAnsi" w:cstheme="minorHAnsi"/>
        </w:rPr>
        <w:t>United States federal Government is the three branches of government</w:t>
      </w:r>
    </w:p>
    <w:p w:rsidR="00A8312B" w:rsidRPr="00C55BB8" w:rsidRDefault="00A8312B" w:rsidP="00A8312B">
      <w:pPr>
        <w:rPr>
          <w:rFonts w:asciiTheme="minorHAnsi" w:hAnsiTheme="minorHAnsi" w:cstheme="minorHAnsi"/>
        </w:rPr>
      </w:pPr>
      <w:r w:rsidRPr="00C55BB8">
        <w:rPr>
          <w:rStyle w:val="Style13ptBold"/>
          <w:rFonts w:asciiTheme="minorHAnsi" w:hAnsiTheme="minorHAnsi" w:cstheme="minorHAnsi"/>
        </w:rPr>
        <w:t>US Legal ’08</w:t>
      </w:r>
      <w:r w:rsidRPr="00C55BB8">
        <w:rPr>
          <w:rFonts w:asciiTheme="minorHAnsi" w:hAnsiTheme="minorHAnsi" w:cstheme="minorHAnsi"/>
        </w:rPr>
        <w:t xml:space="preserve"> (US Legal, provides legal definitions, “United States Federal Government Law and Legal Definition”, US Legal, October 8, 2009, https://definitions.uslegal.com/u/united-states-federal-government/)</w:t>
      </w:r>
    </w:p>
    <w:p w:rsidR="00A8312B" w:rsidRPr="00C55BB8" w:rsidRDefault="00A8312B" w:rsidP="00A8312B">
      <w:pPr>
        <w:rPr>
          <w:rFonts w:asciiTheme="minorHAnsi" w:hAnsiTheme="minorHAnsi" w:cstheme="minorHAnsi"/>
          <w:sz w:val="16"/>
        </w:rPr>
      </w:pPr>
      <w:r w:rsidRPr="00C55BB8">
        <w:rPr>
          <w:rStyle w:val="StyleUnderline"/>
          <w:rFonts w:asciiTheme="minorHAnsi" w:hAnsiTheme="minorHAnsi" w:cstheme="minorHAnsi"/>
        </w:rPr>
        <w:t xml:space="preserve">The United States Federal Government is </w:t>
      </w:r>
      <w:r w:rsidRPr="00C55BB8">
        <w:rPr>
          <w:rStyle w:val="StyleUnderline"/>
          <w:rFonts w:asciiTheme="minorHAnsi" w:hAnsiTheme="minorHAnsi" w:cstheme="minorHAnsi"/>
          <w:highlight w:val="cyan"/>
        </w:rPr>
        <w:t>established by the US Constitution</w:t>
      </w:r>
      <w:r w:rsidRPr="00C55BB8">
        <w:rPr>
          <w:rFonts w:asciiTheme="minorHAnsi" w:hAnsiTheme="minorHAnsi" w:cstheme="minorHAnsi"/>
          <w:sz w:val="16"/>
        </w:rPr>
        <w:t xml:space="preserve">. The Federal Government shares sovereignty over the United Sates with the individual governments of the States of US. </w:t>
      </w:r>
      <w:r w:rsidRPr="00C55BB8">
        <w:rPr>
          <w:rStyle w:val="StyleUnderline"/>
          <w:rFonts w:asciiTheme="minorHAnsi" w:hAnsiTheme="minorHAnsi" w:cstheme="minorHAnsi"/>
          <w:highlight w:val="cyan"/>
        </w:rPr>
        <w:t>The Federal government has three branches</w:t>
      </w:r>
      <w:r w:rsidRPr="00C55BB8">
        <w:rPr>
          <w:rStyle w:val="StyleUnderline"/>
          <w:rFonts w:asciiTheme="minorHAnsi" w:hAnsiTheme="minorHAnsi" w:cstheme="minorHAnsi"/>
        </w:rPr>
        <w:t xml:space="preserve">: </w:t>
      </w:r>
      <w:r w:rsidRPr="00C55BB8">
        <w:rPr>
          <w:rFonts w:asciiTheme="minorHAnsi" w:hAnsiTheme="minorHAnsi" w:cstheme="minorHAnsi"/>
          <w:sz w:val="16"/>
        </w:rPr>
        <w:t xml:space="preserve">i) the </w:t>
      </w:r>
      <w:r w:rsidRPr="00C55BB8">
        <w:rPr>
          <w:rStyle w:val="StyleUnderline"/>
          <w:rFonts w:asciiTheme="minorHAnsi" w:hAnsiTheme="minorHAnsi" w:cstheme="minorHAnsi"/>
          <w:highlight w:val="cyan"/>
        </w:rPr>
        <w:t>legislature</w:t>
      </w:r>
      <w:r w:rsidRPr="00C55BB8">
        <w:rPr>
          <w:rFonts w:asciiTheme="minorHAnsi" w:hAnsiTheme="minorHAnsi" w:cstheme="minorHAnsi"/>
          <w:sz w:val="16"/>
        </w:rPr>
        <w:t xml:space="preserve">, which is the US Congress, ii) </w:t>
      </w:r>
      <w:r w:rsidRPr="00C55BB8">
        <w:rPr>
          <w:rStyle w:val="StyleUnderline"/>
          <w:rFonts w:asciiTheme="minorHAnsi" w:hAnsiTheme="minorHAnsi" w:cstheme="minorHAnsi"/>
          <w:highlight w:val="cyan"/>
        </w:rPr>
        <w:t>Executive</w:t>
      </w:r>
      <w:r w:rsidRPr="00C55BB8">
        <w:rPr>
          <w:rFonts w:asciiTheme="minorHAnsi" w:hAnsiTheme="minorHAnsi" w:cstheme="minorHAnsi"/>
          <w:sz w:val="16"/>
        </w:rPr>
        <w:t xml:space="preserve">, comprised of the President and Vice president of the US </w:t>
      </w:r>
      <w:r w:rsidRPr="00C55BB8">
        <w:rPr>
          <w:rStyle w:val="StyleUnderline"/>
          <w:rFonts w:asciiTheme="minorHAnsi" w:hAnsiTheme="minorHAnsi" w:cstheme="minorHAnsi"/>
          <w:highlight w:val="cyan"/>
        </w:rPr>
        <w:t>and</w:t>
      </w:r>
      <w:r w:rsidRPr="00C55BB8">
        <w:rPr>
          <w:rFonts w:asciiTheme="minorHAnsi" w:hAnsiTheme="minorHAnsi" w:cstheme="minorHAnsi"/>
          <w:sz w:val="16"/>
        </w:rPr>
        <w:t xml:space="preserve"> iii) </w:t>
      </w:r>
      <w:r w:rsidRPr="00C55BB8">
        <w:rPr>
          <w:rStyle w:val="StyleUnderline"/>
          <w:rFonts w:asciiTheme="minorHAnsi" w:hAnsiTheme="minorHAnsi" w:cstheme="minorHAnsi"/>
          <w:highlight w:val="cyan"/>
        </w:rPr>
        <w:t>Judiciary</w:t>
      </w:r>
      <w:r w:rsidRPr="00C55BB8">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C55BB8">
        <w:rPr>
          <w:rStyle w:val="StyleUnderline"/>
          <w:rFonts w:asciiTheme="minorHAnsi" w:hAnsiTheme="minorHAnsi" w:cstheme="minorHAnsi"/>
        </w:rPr>
        <w:t>The US Constitution limits the powers of the Federal Government to the powers assigned to it; all powers not expressly assigned to the Federal Government are reserved to the States or to the people</w:t>
      </w:r>
      <w:r w:rsidRPr="00C55BB8">
        <w:rPr>
          <w:rFonts w:asciiTheme="minorHAnsi" w:hAnsiTheme="minorHAnsi" w:cstheme="minorHAnsi"/>
          <w:sz w:val="16"/>
        </w:rPr>
        <w:t>.</w:t>
      </w:r>
    </w:p>
    <w:p w:rsidR="00A8312B" w:rsidRPr="00C55BB8" w:rsidRDefault="00A8312B" w:rsidP="00A8312B">
      <w:pPr>
        <w:pStyle w:val="Heading4"/>
        <w:rPr>
          <w:rFonts w:asciiTheme="minorHAnsi" w:hAnsiTheme="minorHAnsi" w:cstheme="minorHAnsi"/>
        </w:rPr>
      </w:pPr>
      <w:r w:rsidRPr="00C55BB8">
        <w:rPr>
          <w:rFonts w:asciiTheme="minorHAnsi" w:hAnsiTheme="minorHAnsi" w:cstheme="minorHAnsi"/>
        </w:rPr>
        <w:t>Increase is to make greater</w:t>
      </w:r>
    </w:p>
    <w:p w:rsidR="00A8312B" w:rsidRPr="00C55BB8" w:rsidRDefault="00A8312B" w:rsidP="00A8312B">
      <w:pPr>
        <w:rPr>
          <w:rFonts w:asciiTheme="minorHAnsi" w:hAnsiTheme="minorHAnsi" w:cstheme="minorHAnsi"/>
        </w:rPr>
      </w:pPr>
      <w:r w:rsidRPr="00C55BB8">
        <w:rPr>
          <w:rFonts w:asciiTheme="minorHAnsi" w:hAnsiTheme="minorHAnsi" w:cstheme="minorHAnsi"/>
          <w:b/>
        </w:rPr>
        <w:t xml:space="preserve">Dictionary.com 12 </w:t>
      </w:r>
      <w:r w:rsidRPr="00C55BB8">
        <w:rPr>
          <w:rFonts w:asciiTheme="minorHAnsi" w:hAnsiTheme="minorHAnsi" w:cstheme="minorHAnsi"/>
        </w:rPr>
        <w:t>(</w:t>
      </w:r>
      <w:hyperlink r:id="rId6" w:history="1">
        <w:r w:rsidRPr="00C55BB8">
          <w:rPr>
            <w:rStyle w:val="Hyperlink"/>
            <w:rFonts w:asciiTheme="minorHAnsi" w:hAnsiTheme="minorHAnsi" w:cstheme="minorHAnsi"/>
          </w:rPr>
          <w:t>http://www.dictionary.com/browse/increase</w:t>
        </w:r>
      </w:hyperlink>
      <w:r w:rsidRPr="00C55BB8">
        <w:rPr>
          <w:rFonts w:asciiTheme="minorHAnsi" w:hAnsiTheme="minorHAnsi" w:cstheme="minorHAnsi"/>
        </w:rPr>
        <w:t>)</w:t>
      </w:r>
    </w:p>
    <w:p w:rsidR="00A8312B" w:rsidRPr="00C55BB8" w:rsidRDefault="00A8312B" w:rsidP="00A8312B">
      <w:pPr>
        <w:rPr>
          <w:rFonts w:asciiTheme="minorHAnsi" w:hAnsiTheme="minorHAnsi" w:cstheme="minorHAnsi"/>
          <w:sz w:val="16"/>
        </w:rPr>
      </w:pPr>
      <w:r w:rsidRPr="00C55BB8">
        <w:rPr>
          <w:rFonts w:asciiTheme="minorHAnsi" w:hAnsiTheme="minorHAnsi" w:cstheme="minorHAnsi"/>
          <w:sz w:val="16"/>
        </w:rPr>
        <w:t>verb (used with object), increased, increasing.</w:t>
      </w:r>
      <w:r w:rsidRPr="00C55BB8">
        <w:rPr>
          <w:rFonts w:asciiTheme="minorHAnsi" w:hAnsiTheme="minorHAnsi" w:cstheme="minorHAnsi"/>
          <w:u w:val="single"/>
        </w:rPr>
        <w:t xml:space="preserve"> 1. </w:t>
      </w:r>
      <w:r w:rsidRPr="00C55BB8">
        <w:rPr>
          <w:rFonts w:asciiTheme="minorHAnsi" w:hAnsiTheme="minorHAnsi" w:cstheme="minorHAnsi"/>
          <w:highlight w:val="cyan"/>
          <w:u w:val="single"/>
        </w:rPr>
        <w:t>to make greater, as in number, size, strength, or quality</w:t>
      </w:r>
      <w:r w:rsidRPr="00C55BB8">
        <w:rPr>
          <w:rFonts w:asciiTheme="minorHAnsi" w:hAnsiTheme="minorHAnsi" w:cstheme="minorHAnsi"/>
          <w:u w:val="single"/>
        </w:rPr>
        <w:t>; augment; add to</w:t>
      </w:r>
      <w:r w:rsidRPr="00C55BB8">
        <w:rPr>
          <w:rFonts w:asciiTheme="minorHAnsi" w:hAnsiTheme="minorHAnsi" w:cstheme="minorHAnsi"/>
          <w:sz w:val="16"/>
        </w:rPr>
        <w:t>: to increase taxes. verb (used without object), increased, increasing. 2. to become greater, as in number, size, strength, or quality noun 5. growth or augmentation in numbers, size, strength, quality, etc.: the increase of crime</w:t>
      </w:r>
    </w:p>
    <w:p w:rsidR="00A8312B" w:rsidRPr="00C55BB8" w:rsidRDefault="00A8312B" w:rsidP="00A8312B">
      <w:pPr>
        <w:pStyle w:val="Heading4"/>
        <w:rPr>
          <w:rFonts w:asciiTheme="minorHAnsi" w:hAnsiTheme="minorHAnsi" w:cstheme="minorHAnsi"/>
        </w:rPr>
      </w:pPr>
      <w:r w:rsidRPr="00C55BB8">
        <w:rPr>
          <w:rFonts w:asciiTheme="minorHAnsi" w:hAnsiTheme="minorHAnsi" w:cstheme="minorHAnsi"/>
        </w:rPr>
        <w:t xml:space="preserve">Funding and reform means a requirement plan with a </w:t>
      </w:r>
      <w:r w:rsidRPr="00C55BB8">
        <w:rPr>
          <w:rFonts w:asciiTheme="minorHAnsi" w:hAnsiTheme="minorHAnsi" w:cstheme="minorHAnsi"/>
          <w:u w:val="single"/>
        </w:rPr>
        <w:t>blueprint</w:t>
      </w:r>
      <w:r w:rsidRPr="00C55BB8">
        <w:rPr>
          <w:rFonts w:asciiTheme="minorHAnsi" w:hAnsiTheme="minorHAnsi" w:cstheme="minorHAnsi"/>
        </w:rPr>
        <w:t xml:space="preserve"> in which establishes goals and objectives for educational excellences </w:t>
      </w:r>
    </w:p>
    <w:p w:rsidR="00A8312B" w:rsidRPr="00C55BB8" w:rsidRDefault="00A8312B" w:rsidP="00A8312B">
      <w:pPr>
        <w:rPr>
          <w:rFonts w:asciiTheme="minorHAnsi" w:hAnsiTheme="minorHAnsi" w:cstheme="minorHAnsi"/>
        </w:rPr>
      </w:pPr>
      <w:r w:rsidRPr="00C55BB8">
        <w:rPr>
          <w:rStyle w:val="Style13ptBold"/>
          <w:rFonts w:asciiTheme="minorHAnsi" w:hAnsiTheme="minorHAnsi" w:cstheme="minorHAnsi"/>
        </w:rPr>
        <w:t>Anderson ’15</w:t>
      </w:r>
      <w:r w:rsidRPr="00C55BB8">
        <w:rPr>
          <w:rFonts w:asciiTheme="minorHAnsi" w:hAnsiTheme="minorHAnsi" w:cstheme="minorHAnsi"/>
        </w:rPr>
        <w:t xml:space="preserve"> (A. Scott Anderson, Deseret News, “It's time for comprehensive, long-term education reform and funding”, Deseret Morning News (Salt Lake City), November 13, 2015, http://www.lexisnexis.com/hottopics/lnacademic/) </w:t>
      </w:r>
    </w:p>
    <w:p w:rsidR="00A8312B" w:rsidRPr="00C55BB8" w:rsidRDefault="00A8312B" w:rsidP="00A8312B">
      <w:pPr>
        <w:rPr>
          <w:rStyle w:val="StyleUnderline"/>
          <w:rFonts w:asciiTheme="minorHAnsi" w:hAnsiTheme="minorHAnsi" w:cstheme="minorHAnsi"/>
        </w:rPr>
      </w:pPr>
      <w:r w:rsidRPr="00C55BB8">
        <w:rPr>
          <w:rStyle w:val="StyleUnderline"/>
          <w:rFonts w:asciiTheme="minorHAnsi" w:hAnsiTheme="minorHAnsi" w:cstheme="minorHAnsi"/>
        </w:rPr>
        <w:t xml:space="preserve">Over many years, </w:t>
      </w:r>
      <w:r w:rsidRPr="00C55BB8">
        <w:rPr>
          <w:rStyle w:val="StyleUnderline"/>
          <w:rFonts w:asciiTheme="minorHAnsi" w:hAnsiTheme="minorHAnsi" w:cstheme="minorHAnsi"/>
          <w:highlight w:val="cyan"/>
        </w:rPr>
        <w:t>lawmakers have increased education spending significantly</w:t>
      </w:r>
      <w:r w:rsidRPr="00C55BB8">
        <w:rPr>
          <w:rFonts w:asciiTheme="minorHAnsi" w:hAnsiTheme="minorHAnsi" w:cstheme="minorHAnsi"/>
          <w:sz w:val="16"/>
        </w:rPr>
        <w:t xml:space="preserve">, devoting much surplus money to education and paying for specific reform initiatives and programs. Even during the recession, when state revenues plummeted, lawmakers funded education at the highest levels possible. </w:t>
      </w:r>
      <w:r w:rsidRPr="00C55BB8">
        <w:rPr>
          <w:rStyle w:val="StyleUnderline"/>
          <w:rFonts w:asciiTheme="minorHAnsi" w:hAnsiTheme="minorHAnsi" w:cstheme="minorHAnsi"/>
          <w:highlight w:val="cyan"/>
        </w:rPr>
        <w:t xml:space="preserve">But </w:t>
      </w:r>
      <w:r w:rsidRPr="00C55BB8">
        <w:rPr>
          <w:rFonts w:asciiTheme="minorHAnsi" w:hAnsiTheme="minorHAnsi" w:cstheme="minorHAnsi"/>
          <w:sz w:val="16"/>
        </w:rPr>
        <w:t>despite those heroic efforts</w:t>
      </w:r>
      <w:r w:rsidRPr="00C55BB8">
        <w:rPr>
          <w:rStyle w:val="StyleUnderline"/>
          <w:rFonts w:asciiTheme="minorHAnsi" w:hAnsiTheme="minorHAnsi" w:cstheme="minorHAnsi"/>
        </w:rPr>
        <w:t xml:space="preserve">, </w:t>
      </w:r>
      <w:r w:rsidRPr="00C55BB8">
        <w:rPr>
          <w:rStyle w:val="StyleUnderline"/>
          <w:rFonts w:asciiTheme="minorHAnsi" w:hAnsiTheme="minorHAnsi" w:cstheme="minorHAnsi"/>
          <w:highlight w:val="cyan"/>
        </w:rPr>
        <w:t xml:space="preserve">education funding, and education reform, </w:t>
      </w:r>
      <w:r w:rsidRPr="00C55BB8">
        <w:rPr>
          <w:rStyle w:val="StyleUnderline"/>
          <w:rFonts w:asciiTheme="minorHAnsi" w:hAnsiTheme="minorHAnsi" w:cstheme="minorHAnsi"/>
        </w:rPr>
        <w:t xml:space="preserve">have been hit-and-miss for a number of years, reacting to specific needs and concerns. </w:t>
      </w:r>
      <w:r w:rsidRPr="00C55BB8">
        <w:rPr>
          <w:rStyle w:val="StyleUnderline"/>
          <w:rFonts w:asciiTheme="minorHAnsi" w:hAnsiTheme="minorHAnsi" w:cstheme="minorHAnsi"/>
          <w:highlight w:val="cyan"/>
        </w:rPr>
        <w:t>Today it's time for a comprehensive, unified, long-term approach to education funding and reform</w:t>
      </w:r>
      <w:r w:rsidRPr="00C55BB8">
        <w:rPr>
          <w:rFonts w:asciiTheme="minorHAnsi" w:hAnsiTheme="minorHAnsi" w:cstheme="minorHAnsi"/>
          <w:sz w:val="16"/>
        </w:rPr>
        <w:t xml:space="preserve"> that will make Utah a top 10 state in education performance. With a legislative session coming up in January, it's a good time for policymakers to be reminded that education is the No. 1 issue in Utah, and </w:t>
      </w:r>
      <w:r w:rsidRPr="00C55BB8">
        <w:rPr>
          <w:rStyle w:val="StyleUnderline"/>
          <w:rFonts w:asciiTheme="minorHAnsi" w:hAnsiTheme="minorHAnsi" w:cstheme="minorHAnsi"/>
        </w:rPr>
        <w:t>additional funding and reform are needed to prepare our children for the high-tech, globally competitive world that awaits them</w:t>
      </w:r>
      <w:r w:rsidRPr="00C55BB8">
        <w:rPr>
          <w:rFonts w:asciiTheme="minorHAnsi" w:hAnsiTheme="minorHAnsi" w:cstheme="minorHAnsi"/>
          <w:sz w:val="16"/>
        </w:rPr>
        <w:t xml:space="preserve">. Thankfully, a number of education reform groups and individuals, inside and outside of government, have been working collaboratively with legislators and the entire education community for a number of years to develop a unified plan for comprehensive education reform and funding. </w:t>
      </w:r>
      <w:r w:rsidRPr="00C55BB8">
        <w:rPr>
          <w:rStyle w:val="StyleUnderline"/>
          <w:rFonts w:asciiTheme="minorHAnsi" w:hAnsiTheme="minorHAnsi" w:cstheme="minorHAnsi"/>
          <w:highlight w:val="cyan"/>
        </w:rPr>
        <w:t xml:space="preserve">This blueprint, </w:t>
      </w:r>
      <w:r w:rsidRPr="00731B73">
        <w:rPr>
          <w:rStyle w:val="StyleUnderline"/>
          <w:rFonts w:asciiTheme="minorHAnsi" w:hAnsiTheme="minorHAnsi" w:cstheme="minorHAnsi"/>
        </w:rPr>
        <w:t>embodied in the Prosperity Through Education plan</w:t>
      </w:r>
      <w:r w:rsidRPr="00731B73">
        <w:rPr>
          <w:rFonts w:asciiTheme="minorHAnsi" w:hAnsiTheme="minorHAnsi" w:cstheme="minorHAnsi"/>
          <w:sz w:val="16"/>
        </w:rPr>
        <w:t>, looks</w:t>
      </w:r>
      <w:r w:rsidRPr="00C55BB8">
        <w:rPr>
          <w:rFonts w:asciiTheme="minorHAnsi" w:hAnsiTheme="minorHAnsi" w:cstheme="minorHAnsi"/>
          <w:sz w:val="16"/>
        </w:rPr>
        <w:t xml:space="preserve"> at Utah's current education status, </w:t>
      </w:r>
      <w:r w:rsidRPr="00C55BB8">
        <w:rPr>
          <w:rStyle w:val="StyleUnderline"/>
          <w:rFonts w:asciiTheme="minorHAnsi" w:hAnsiTheme="minorHAnsi" w:cstheme="minorHAnsi"/>
          <w:highlight w:val="cyan"/>
        </w:rPr>
        <w:t xml:space="preserve">establishes </w:t>
      </w:r>
      <w:r w:rsidRPr="00C55BB8">
        <w:rPr>
          <w:rFonts w:asciiTheme="minorHAnsi" w:hAnsiTheme="minorHAnsi" w:cstheme="minorHAnsi"/>
          <w:sz w:val="16"/>
        </w:rPr>
        <w:t xml:space="preserve">five-year </w:t>
      </w:r>
      <w:r w:rsidRPr="00C55BB8">
        <w:rPr>
          <w:rStyle w:val="StyleUnderline"/>
          <w:rFonts w:asciiTheme="minorHAnsi" w:hAnsiTheme="minorHAnsi" w:cstheme="minorHAnsi"/>
          <w:highlight w:val="cyan"/>
        </w:rPr>
        <w:t>goals and objectives for education excellence, outlines how those goals will be achieved, projects costs and funding needs, and promises specific results and outcomes if the plan is executed.</w:t>
      </w:r>
    </w:p>
    <w:p w:rsidR="00A8312B" w:rsidRPr="00C55BB8" w:rsidRDefault="00A8312B" w:rsidP="00A8312B">
      <w:pPr>
        <w:rPr>
          <w:rFonts w:asciiTheme="minorHAnsi" w:hAnsiTheme="minorHAnsi" w:cstheme="minorHAnsi"/>
        </w:rPr>
      </w:pPr>
    </w:p>
    <w:p w:rsidR="00A8312B" w:rsidRPr="00C55BB8" w:rsidRDefault="00A8312B" w:rsidP="00A8312B">
      <w:pPr>
        <w:pStyle w:val="Heading4"/>
        <w:rPr>
          <w:rStyle w:val="Style13ptBold"/>
          <w:rFonts w:asciiTheme="minorHAnsi" w:hAnsiTheme="minorHAnsi" w:cstheme="minorHAnsi"/>
          <w:b/>
        </w:rPr>
      </w:pPr>
      <w:r w:rsidRPr="00C55BB8">
        <w:rPr>
          <w:rStyle w:val="Style13ptBold"/>
          <w:rFonts w:asciiTheme="minorHAnsi" w:hAnsiTheme="minorHAnsi" w:cstheme="minorHAnsi"/>
          <w:b/>
        </w:rPr>
        <w:t>We need precise “</w:t>
      </w:r>
      <w:r w:rsidRPr="00C55BB8">
        <w:rPr>
          <w:rStyle w:val="Style13ptBold"/>
          <w:rFonts w:asciiTheme="minorHAnsi" w:hAnsiTheme="minorHAnsi" w:cstheme="minorHAnsi"/>
          <w:b/>
          <w:u w:val="single"/>
        </w:rPr>
        <w:t>regulation</w:t>
      </w:r>
      <w:r w:rsidRPr="00C55BB8">
        <w:rPr>
          <w:rStyle w:val="Style13ptBold"/>
          <w:rFonts w:asciiTheme="minorHAnsi" w:hAnsiTheme="minorHAnsi" w:cstheme="minorHAnsi"/>
          <w:b/>
        </w:rPr>
        <w:t xml:space="preserve">” definitions for policy analysis </w:t>
      </w:r>
    </w:p>
    <w:p w:rsidR="00A8312B" w:rsidRPr="00C55BB8" w:rsidRDefault="00A8312B" w:rsidP="00A8312B">
      <w:pPr>
        <w:rPr>
          <w:rFonts w:asciiTheme="minorHAnsi" w:hAnsiTheme="minorHAnsi" w:cstheme="minorHAnsi"/>
        </w:rPr>
      </w:pPr>
      <w:r w:rsidRPr="00C55BB8">
        <w:rPr>
          <w:rStyle w:val="Style13ptBold"/>
          <w:rFonts w:asciiTheme="minorHAnsi" w:hAnsiTheme="minorHAnsi" w:cstheme="minorHAnsi"/>
        </w:rPr>
        <w:t>Koop and Lodge, 15</w:t>
      </w:r>
      <w:r w:rsidRPr="00C55BB8">
        <w:rPr>
          <w:rFonts w:asciiTheme="minorHAnsi" w:hAnsiTheme="minorHAnsi" w:cstheme="minorHAnsi"/>
        </w:rPr>
        <w:t xml:space="preserve"> (Christel Koop and Martin Lodge, Lecturer in Political Economy and Director of the BA International Politics Programme at King’s College in London, professor of political science and public policy at the London School of Economics, “What is regulation? An interdisciplinary concept analysis,” Wiley Online Library, 7/14/15, “http://onlinelibrary.wiley.com/doi/10.1111/ rego.v11.1/issuetoc” AG)</w:t>
      </w:r>
    </w:p>
    <w:p w:rsidR="00A8312B" w:rsidRPr="00C55BB8" w:rsidRDefault="00A8312B" w:rsidP="00A8312B">
      <w:pPr>
        <w:rPr>
          <w:rFonts w:asciiTheme="minorHAnsi" w:hAnsiTheme="minorHAnsi" w:cstheme="minorHAnsi"/>
          <w:sz w:val="16"/>
        </w:rPr>
      </w:pPr>
      <w:r w:rsidRPr="00C55BB8">
        <w:rPr>
          <w:rFonts w:asciiTheme="minorHAnsi" w:hAnsiTheme="minorHAnsi" w:cstheme="minorHAnsi"/>
          <w:sz w:val="16"/>
        </w:rPr>
        <w:t xml:space="preserve">Non-intentional regulation may be associated with the presence of norms or the emergence of systems of accounting and population statistics that, in turn, restructure social relationships and, subsequently, non-targeted behavior. </w:t>
      </w:r>
      <w:r w:rsidRPr="00C55BB8">
        <w:rPr>
          <w:rFonts w:asciiTheme="minorHAnsi" w:hAnsiTheme="minorHAnsi" w:cstheme="minorHAnsi"/>
          <w:u w:val="single"/>
        </w:rPr>
        <w:t xml:space="preserve">Thus, </w:t>
      </w:r>
      <w:r w:rsidRPr="00C55BB8">
        <w:rPr>
          <w:rFonts w:asciiTheme="minorHAnsi" w:hAnsiTheme="minorHAnsi" w:cstheme="minorHAnsi"/>
          <w:b/>
          <w:highlight w:val="cyan"/>
          <w:u w:val="single"/>
        </w:rPr>
        <w:t>if the definition is too broad, “anything producing effects on behavior is capable of being considered as regulatory”</w:t>
      </w:r>
      <w:r w:rsidRPr="00C55BB8">
        <w:rPr>
          <w:rFonts w:asciiTheme="minorHAnsi" w:hAnsiTheme="minorHAnsi" w:cstheme="minorHAnsi"/>
          <w:b/>
          <w:sz w:val="16"/>
          <w:highlight w:val="cyan"/>
        </w:rPr>
        <w:t xml:space="preserve"> </w:t>
      </w:r>
      <w:r w:rsidRPr="00C55BB8">
        <w:rPr>
          <w:rFonts w:asciiTheme="minorHAnsi" w:hAnsiTheme="minorHAnsi" w:cstheme="minorHAnsi"/>
          <w:sz w:val="16"/>
          <w:highlight w:val="cyan"/>
        </w:rPr>
        <w:t>(</w:t>
      </w:r>
      <w:r w:rsidRPr="00C55BB8">
        <w:rPr>
          <w:rFonts w:asciiTheme="minorHAnsi" w:hAnsiTheme="minorHAnsi" w:cstheme="minorHAnsi"/>
          <w:sz w:val="16"/>
        </w:rPr>
        <w:t xml:space="preserve">Baldwin et al. 1998, p. 4). Separately, Majone argues that, in the period up to the rise of the regulatory state in Europe, “European scholars tend[ed] to identify regulation with the whole realm of legislation, governance, and social control” (Majone 1994, p. 78).7 In his view, </w:t>
      </w:r>
      <w:r w:rsidRPr="00C55BB8">
        <w:rPr>
          <w:rFonts w:asciiTheme="minorHAnsi" w:hAnsiTheme="minorHAnsi" w:cstheme="minorHAnsi"/>
          <w:u w:val="single"/>
        </w:rPr>
        <w:t xml:space="preserve">“[s]uch </w:t>
      </w:r>
      <w:r w:rsidRPr="00C55BB8">
        <w:rPr>
          <w:rFonts w:asciiTheme="minorHAnsi" w:hAnsiTheme="minorHAnsi" w:cstheme="minorHAnsi"/>
          <w:highlight w:val="cyan"/>
          <w:u w:val="single"/>
        </w:rPr>
        <w:t xml:space="preserve">a broad use of the term makes the </w:t>
      </w:r>
      <w:r w:rsidRPr="00C55BB8">
        <w:rPr>
          <w:rFonts w:asciiTheme="minorHAnsi" w:hAnsiTheme="minorHAnsi" w:cstheme="minorHAnsi"/>
          <w:b/>
          <w:highlight w:val="cyan"/>
          <w:u w:val="single"/>
        </w:rPr>
        <w:t>study of regulation almost coextensive</w:t>
      </w:r>
      <w:r w:rsidRPr="00C55BB8">
        <w:rPr>
          <w:rFonts w:asciiTheme="minorHAnsi" w:hAnsiTheme="minorHAnsi" w:cstheme="minorHAnsi"/>
          <w:highlight w:val="cyan"/>
          <w:u w:val="single"/>
        </w:rPr>
        <w:t xml:space="preserve"> with the study of law, economics, political science, and sociology</w:t>
      </w:r>
      <w:r w:rsidRPr="00C55BB8">
        <w:rPr>
          <w:rFonts w:asciiTheme="minorHAnsi" w:hAnsiTheme="minorHAnsi" w:cstheme="minorHAnsi"/>
          <w:u w:val="single"/>
        </w:rPr>
        <w:t>”</w:t>
      </w:r>
      <w:r w:rsidRPr="00C55BB8">
        <w:rPr>
          <w:rFonts w:asciiTheme="minorHAnsi" w:hAnsiTheme="minorHAnsi" w:cstheme="minorHAnsi"/>
          <w:sz w:val="16"/>
        </w:rPr>
        <w:t xml:space="preserve"> (Majone 1994, p. 78). These broad conceptions also include intervention by culture or social norms (see Hall et al. 1999). More generally, they are associated with studies dealing with “governmentality.” Here regulation involves all types of power-relations that require individuals to “auto-correct” themselves in light of the dominant logic of governing (Dean 1999; Power 2007; Miller &amp; Rose 2008</w:t>
      </w:r>
      <w:r w:rsidRPr="00C55BB8">
        <w:rPr>
          <w:rFonts w:asciiTheme="minorHAnsi" w:hAnsiTheme="minorHAnsi" w:cstheme="minorHAnsi"/>
          <w:u w:val="single"/>
        </w:rPr>
        <w:t>). Various authors have pointed to the limits of such broad conceptions</w:t>
      </w:r>
      <w:r w:rsidRPr="00C55BB8">
        <w:rPr>
          <w:rFonts w:asciiTheme="minorHAnsi" w:hAnsiTheme="minorHAnsi" w:cstheme="minorHAnsi"/>
          <w:sz w:val="16"/>
        </w:rPr>
        <w:t xml:space="preserve">. </w:t>
      </w:r>
      <w:r w:rsidRPr="00C55BB8">
        <w:rPr>
          <w:rFonts w:asciiTheme="minorHAnsi" w:hAnsiTheme="minorHAnsi" w:cstheme="minorHAnsi"/>
          <w:u w:val="single"/>
        </w:rPr>
        <w:t>Advocating the inclusion of intentionality, Black suggests that including social norms and culture “provides no boundaries as to where regulation might end, and some other influencing factors take effect, and so provides very little analytical purchase”</w:t>
      </w:r>
      <w:r w:rsidRPr="00C55BB8">
        <w:rPr>
          <w:rFonts w:asciiTheme="minorHAnsi" w:hAnsiTheme="minorHAnsi" w:cstheme="minorHAnsi"/>
          <w:sz w:val="16"/>
        </w:rPr>
        <w:t xml:space="preserve"> (2002, p. 11; p. 25). Others point out that the inclusion of non-intentional processes is not in line with common usage of the concept. Mitnick indicates that regulation refers only to those types of interference that are intentional: “intuitively, regulation implies governed, guided, controlled interference – in the broadest sense, deliberate or intentional interference” (1980, p. 3). Finally, Selznick observes that </w:t>
      </w:r>
      <w:r w:rsidRPr="00C55BB8">
        <w:rPr>
          <w:rFonts w:asciiTheme="minorHAnsi" w:hAnsiTheme="minorHAnsi" w:cstheme="minorHAnsi"/>
          <w:u w:val="single"/>
        </w:rPr>
        <w:t>“[t]here is a strong temptation to identify regulation with the whole realm of law, governance, and social control”</w:t>
      </w:r>
      <w:r w:rsidRPr="00C55BB8">
        <w:rPr>
          <w:rFonts w:asciiTheme="minorHAnsi" w:hAnsiTheme="minorHAnsi" w:cstheme="minorHAnsi"/>
          <w:sz w:val="16"/>
        </w:rPr>
        <w:t xml:space="preserve"> (1985, p. 363). Yet </w:t>
      </w:r>
      <w:r w:rsidRPr="00C55BB8">
        <w:rPr>
          <w:rFonts w:asciiTheme="minorHAnsi" w:hAnsiTheme="minorHAnsi" w:cstheme="minorHAnsi"/>
          <w:highlight w:val="cyan"/>
          <w:u w:val="single"/>
        </w:rPr>
        <w:t xml:space="preserve">in the field of public policy and administration, he argues, </w:t>
      </w:r>
      <w:r w:rsidRPr="00C55BB8">
        <w:rPr>
          <w:rFonts w:asciiTheme="minorHAnsi" w:hAnsiTheme="minorHAnsi" w:cstheme="minorHAnsi"/>
          <w:b/>
          <w:highlight w:val="cyan"/>
          <w:u w:val="single"/>
        </w:rPr>
        <w:t>regulation has a more specific meaning</w:t>
      </w:r>
      <w:r w:rsidRPr="00C55BB8">
        <w:rPr>
          <w:rFonts w:asciiTheme="minorHAnsi" w:hAnsiTheme="minorHAnsi" w:cstheme="minorHAnsi"/>
          <w:u w:val="single"/>
        </w:rPr>
        <w:t>:</w:t>
      </w:r>
      <w:r w:rsidRPr="00C55BB8">
        <w:rPr>
          <w:rFonts w:asciiTheme="minorHAnsi" w:hAnsiTheme="minorHAnsi" w:cstheme="minorHAnsi"/>
          <w:sz w:val="16"/>
        </w:rPr>
        <w:t xml:space="preserve"> it is about sustained and focused – and, thus, intentional – control. </w:t>
      </w:r>
      <w:r w:rsidRPr="00C55BB8">
        <w:rPr>
          <w:rFonts w:asciiTheme="minorHAnsi" w:hAnsiTheme="minorHAnsi" w:cstheme="minorHAnsi"/>
          <w:u w:val="single"/>
        </w:rPr>
        <w:t>Such a broad conception makes scholars, government officials, and business people uncomfortable</w:t>
      </w:r>
      <w:r w:rsidRPr="00C55BB8">
        <w:rPr>
          <w:rFonts w:asciiTheme="minorHAnsi" w:hAnsiTheme="minorHAnsi" w:cstheme="minorHAnsi"/>
          <w:sz w:val="16"/>
        </w:rPr>
        <w:t xml:space="preserve"> (Noll 1980, p. 14). Emphasizing the importance of conceptual familiarity, Noll conceives regulation as only one of the methods that governments use to control private-sector economic activities (1985, p. 9). As “regulation is not just what regulators do, it is also how they do it,” regulation is characterized by the role of administrative law and procedural rules (Noll 1980, pp. 16–17). Hence</w:t>
      </w:r>
      <w:r w:rsidRPr="00C55BB8">
        <w:rPr>
          <w:rFonts w:asciiTheme="minorHAnsi" w:hAnsiTheme="minorHAnsi" w:cstheme="minorHAnsi"/>
          <w:u w:val="single"/>
        </w:rPr>
        <w:t xml:space="preserve">, </w:t>
      </w:r>
      <w:r w:rsidRPr="00C55BB8">
        <w:rPr>
          <w:rFonts w:asciiTheme="minorHAnsi" w:hAnsiTheme="minorHAnsi" w:cstheme="minorHAnsi"/>
          <w:highlight w:val="cyan"/>
          <w:u w:val="single"/>
        </w:rPr>
        <w:t>regulation is a method of control where a government agency is assigned the task of “writing rules constraining certain kinds of private economic decisions, using a quasi-judicial administrative process to develop these rules”</w:t>
      </w:r>
      <w:r w:rsidRPr="00C55BB8">
        <w:rPr>
          <w:rFonts w:asciiTheme="minorHAnsi" w:hAnsiTheme="minorHAnsi" w:cstheme="minorHAnsi"/>
          <w:sz w:val="16"/>
        </w:rPr>
        <w:t xml:space="preserve"> (Noll 1985, p. 9).</w:t>
      </w:r>
    </w:p>
    <w:p w:rsidR="00A8312B" w:rsidRPr="00C55BB8" w:rsidRDefault="00A8312B" w:rsidP="00A8312B">
      <w:pPr>
        <w:rPr>
          <w:rFonts w:asciiTheme="minorHAnsi" w:hAnsiTheme="minorHAnsi" w:cstheme="minorHAnsi"/>
        </w:rPr>
      </w:pPr>
    </w:p>
    <w:p w:rsidR="00A8312B" w:rsidRPr="00C55BB8" w:rsidRDefault="00A8312B" w:rsidP="00A8312B">
      <w:pPr>
        <w:pStyle w:val="Heading4"/>
        <w:spacing w:line="256" w:lineRule="auto"/>
        <w:rPr>
          <w:rFonts w:asciiTheme="minorHAnsi" w:hAnsiTheme="minorHAnsi" w:cstheme="minorHAnsi"/>
        </w:rPr>
      </w:pPr>
      <w:r w:rsidRPr="00C55BB8">
        <w:rPr>
          <w:rFonts w:asciiTheme="minorHAnsi" w:hAnsiTheme="minorHAnsi" w:cstheme="minorHAnsi"/>
        </w:rPr>
        <w:t>b. Plan violates – it is not a policy action through the USFG; it does not itself increase funding and/or regulation for education, but depends on outside events</w:t>
      </w:r>
    </w:p>
    <w:p w:rsidR="00A8312B" w:rsidRPr="00C55BB8" w:rsidRDefault="00A8312B" w:rsidP="00A8312B">
      <w:pPr>
        <w:rPr>
          <w:rFonts w:asciiTheme="minorHAnsi" w:hAnsiTheme="minorHAnsi" w:cstheme="minorHAnsi"/>
          <w:b/>
        </w:rPr>
      </w:pPr>
    </w:p>
    <w:p w:rsidR="00A8312B" w:rsidRPr="00C55BB8" w:rsidRDefault="00A8312B" w:rsidP="00A8312B">
      <w:pPr>
        <w:pStyle w:val="Heading4"/>
        <w:spacing w:line="256" w:lineRule="auto"/>
        <w:rPr>
          <w:rFonts w:asciiTheme="minorHAnsi" w:hAnsiTheme="minorHAnsi" w:cstheme="minorHAnsi"/>
        </w:rPr>
      </w:pPr>
      <w:r w:rsidRPr="00C55BB8">
        <w:rPr>
          <w:rFonts w:asciiTheme="minorHAnsi" w:hAnsiTheme="minorHAnsi" w:cstheme="minorHAnsi"/>
        </w:rPr>
        <w:t>c. The affirmative interpretation is bad for debate</w:t>
      </w:r>
    </w:p>
    <w:p w:rsidR="00A8312B" w:rsidRPr="00C55BB8" w:rsidRDefault="00A8312B" w:rsidP="00A8312B">
      <w:pPr>
        <w:rPr>
          <w:rFonts w:asciiTheme="minorHAnsi" w:hAnsiTheme="minorHAnsi" w:cstheme="minorHAnsi"/>
        </w:rPr>
      </w:pPr>
    </w:p>
    <w:p w:rsidR="00A8312B" w:rsidRPr="00C55BB8" w:rsidRDefault="00A8312B" w:rsidP="00A8312B">
      <w:pPr>
        <w:pStyle w:val="Heading4"/>
        <w:keepNext w:val="0"/>
        <w:keepLines w:val="0"/>
        <w:widowControl w:val="0"/>
        <w:numPr>
          <w:ilvl w:val="0"/>
          <w:numId w:val="11"/>
        </w:numPr>
        <w:spacing w:before="0" w:line="240" w:lineRule="auto"/>
        <w:rPr>
          <w:rFonts w:asciiTheme="minorHAnsi" w:hAnsiTheme="minorHAnsi" w:cstheme="minorHAnsi"/>
          <w:szCs w:val="26"/>
        </w:rPr>
      </w:pPr>
      <w:r w:rsidRPr="00C55BB8">
        <w:rPr>
          <w:rFonts w:asciiTheme="minorHAnsi" w:hAnsiTheme="minorHAnsi" w:cstheme="minorHAnsi"/>
          <w:szCs w:val="26"/>
        </w:rPr>
        <w:t>Side bias – Not defending the clear actor and mechanism makes deploying other strategies against them inordinately Aff tilted. They have the ability to radically recontextualize link arguments, empathize different proscriptive claims of the 1AC while using traditional competition standards like perms making being negative inordinately difficult</w:t>
      </w:r>
    </w:p>
    <w:p w:rsidR="00A8312B" w:rsidRPr="00C55BB8" w:rsidRDefault="00A8312B" w:rsidP="00A8312B">
      <w:pPr>
        <w:pStyle w:val="Heading4"/>
        <w:numPr>
          <w:ilvl w:val="0"/>
          <w:numId w:val="11"/>
        </w:numPr>
        <w:rPr>
          <w:rFonts w:asciiTheme="minorHAnsi" w:hAnsiTheme="minorHAnsi" w:cstheme="minorHAnsi"/>
        </w:rPr>
      </w:pPr>
      <w:r w:rsidRPr="00C55BB8">
        <w:rPr>
          <w:rFonts w:asciiTheme="minorHAnsi" w:hAnsiTheme="minorHAnsi" w:cstheme="minorHAnsi"/>
        </w:rPr>
        <w:t>Limits -- Stable resolution shapes links to disadvantages, counter-advocacies and ANY answer to the affirmative. Trashes clash, which is central to advocacy and education – also incentivizes debates about truisms affs on top of the negotiated topic which explodes limits and leads to worse debates</w:t>
      </w:r>
    </w:p>
    <w:p w:rsidR="00A8312B" w:rsidRPr="00C55BB8" w:rsidRDefault="009614C0" w:rsidP="00A8312B">
      <w:pPr>
        <w:pStyle w:val="Heading4"/>
        <w:numPr>
          <w:ilvl w:val="0"/>
          <w:numId w:val="11"/>
        </w:numPr>
        <w:rPr>
          <w:rFonts w:asciiTheme="minorHAnsi" w:hAnsiTheme="minorHAnsi" w:cstheme="minorHAnsi"/>
        </w:rPr>
      </w:pPr>
      <w:r>
        <w:rPr>
          <w:rFonts w:asciiTheme="minorHAnsi" w:hAnsiTheme="minorHAnsi" w:cstheme="minorHAnsi"/>
        </w:rPr>
        <w:t xml:space="preserve">Mechanism Education -- </w:t>
      </w:r>
      <w:r w:rsidR="00A8312B" w:rsidRPr="00C55BB8">
        <w:rPr>
          <w:rFonts w:asciiTheme="minorHAnsi" w:hAnsiTheme="minorHAnsi" w:cstheme="minorHAnsi"/>
        </w:rPr>
        <w:t>The Aff’s failure to ID a clear mechanism of change has the most devastating effects on the quality of debates. It makes link comparisons vacuous and means that detailed and well prepared PICs about substance impossible</w:t>
      </w:r>
    </w:p>
    <w:p w:rsidR="00A8312B" w:rsidRPr="009614C0" w:rsidRDefault="00A8312B" w:rsidP="009614C0">
      <w:pPr>
        <w:pStyle w:val="Heading4"/>
        <w:numPr>
          <w:ilvl w:val="0"/>
          <w:numId w:val="11"/>
        </w:numPr>
        <w:rPr>
          <w:rFonts w:asciiTheme="minorHAnsi" w:hAnsiTheme="minorHAnsi" w:cstheme="minorHAnsi"/>
        </w:rPr>
      </w:pPr>
      <w:r w:rsidRPr="00C55BB8">
        <w:rPr>
          <w:rFonts w:asciiTheme="minorHAnsi" w:hAnsiTheme="minorHAnsi" w:cstheme="minorHAnsi"/>
        </w:rPr>
        <w:t>Switch Side Debate</w:t>
      </w:r>
      <w:r w:rsidR="009614C0">
        <w:rPr>
          <w:rFonts w:asciiTheme="minorHAnsi" w:hAnsiTheme="minorHAnsi" w:cstheme="minorHAnsi"/>
        </w:rPr>
        <w:t xml:space="preserve"> –</w:t>
      </w:r>
      <w:bookmarkStart w:id="0" w:name="_GoBack"/>
      <w:bookmarkEnd w:id="0"/>
      <w:r w:rsidRPr="009614C0">
        <w:rPr>
          <w:rFonts w:asciiTheme="minorHAnsi" w:hAnsiTheme="minorHAnsi" w:cstheme="minorHAnsi"/>
        </w:rPr>
        <w:t xml:space="preserve"> Debate forces people to view issues from both sides of a problem to come to a better understanding – there’s only a risk that their framework eliminates this. Idea testing outweighs their model of education because it is unique to debate</w:t>
      </w:r>
    </w:p>
    <w:p w:rsidR="00A8312B" w:rsidRPr="00C55BB8" w:rsidRDefault="00A8312B" w:rsidP="00A8312B">
      <w:pPr>
        <w:rPr>
          <w:rFonts w:asciiTheme="minorHAnsi" w:hAnsiTheme="minorHAnsi" w:cstheme="minorHAnsi"/>
        </w:rPr>
      </w:pPr>
    </w:p>
    <w:p w:rsidR="00A8312B" w:rsidRPr="00C55BB8" w:rsidRDefault="00A8312B" w:rsidP="00A8312B">
      <w:pPr>
        <w:pStyle w:val="Heading4"/>
        <w:spacing w:line="256" w:lineRule="auto"/>
        <w:rPr>
          <w:rFonts w:asciiTheme="minorHAnsi" w:hAnsiTheme="minorHAnsi" w:cstheme="minorHAnsi"/>
        </w:rPr>
      </w:pPr>
      <w:r w:rsidRPr="00C55BB8">
        <w:rPr>
          <w:rFonts w:asciiTheme="minorHAnsi" w:hAnsiTheme="minorHAnsi" w:cstheme="minorHAnsi"/>
        </w:rPr>
        <w:t>d. T is a voter for pedagogical reasons – it’s the only way we can learn to rigorously test ideas and respond to rigorous testing</w:t>
      </w:r>
    </w:p>
    <w:p w:rsidR="00A8312B" w:rsidRPr="00A8312B" w:rsidRDefault="00A8312B" w:rsidP="00A8312B"/>
    <w:sectPr w:rsidR="00A8312B" w:rsidRPr="00A83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D970E0"/>
    <w:multiLevelType w:val="hybridMultilevel"/>
    <w:tmpl w:val="D00E5898"/>
    <w:lvl w:ilvl="0" w:tplc="14CE974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7A13F3"/>
    <w:multiLevelType w:val="hybridMultilevel"/>
    <w:tmpl w:val="FDAA09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8312B"/>
    <w:rsid w:val="000139A3"/>
    <w:rsid w:val="0009488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31B73"/>
    <w:rsid w:val="00766EA0"/>
    <w:rsid w:val="007A2226"/>
    <w:rsid w:val="007F5B66"/>
    <w:rsid w:val="00823A1C"/>
    <w:rsid w:val="00845B9D"/>
    <w:rsid w:val="00860984"/>
    <w:rsid w:val="008B3ECB"/>
    <w:rsid w:val="008B4E85"/>
    <w:rsid w:val="008C1B2E"/>
    <w:rsid w:val="0091627E"/>
    <w:rsid w:val="009614C0"/>
    <w:rsid w:val="0097032B"/>
    <w:rsid w:val="009D2EAD"/>
    <w:rsid w:val="009D54B2"/>
    <w:rsid w:val="009E1922"/>
    <w:rsid w:val="009F7ED2"/>
    <w:rsid w:val="00A8312B"/>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55DA"/>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9B68"/>
  <w15:chartTrackingRefBased/>
  <w15:docId w15:val="{E7E80578-A21A-4CB0-86DE-2990C828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8312B"/>
    <w:rPr>
      <w:rFonts w:ascii="Calibri" w:hAnsi="Calibri" w:cs="Calibri"/>
    </w:rPr>
  </w:style>
  <w:style w:type="paragraph" w:styleId="Heading1">
    <w:name w:val="heading 1"/>
    <w:aliases w:val="Pocket"/>
    <w:basedOn w:val="Normal"/>
    <w:next w:val="Normal"/>
    <w:link w:val="Heading1Char"/>
    <w:qFormat/>
    <w:rsid w:val="00A831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31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 Char"/>
    <w:basedOn w:val="Normal"/>
    <w:next w:val="Normal"/>
    <w:link w:val="Heading3Char"/>
    <w:uiPriority w:val="2"/>
    <w:unhideWhenUsed/>
    <w:qFormat/>
    <w:rsid w:val="00A831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TAG,No Spacing211,No Spacing12,No Spacing2111,Tag1,t,Ta,No Spacing4,No Spacing11111"/>
    <w:basedOn w:val="Normal"/>
    <w:next w:val="Normal"/>
    <w:link w:val="Heading4Char"/>
    <w:uiPriority w:val="3"/>
    <w:unhideWhenUsed/>
    <w:qFormat/>
    <w:rsid w:val="00A831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31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312B"/>
  </w:style>
  <w:style w:type="character" w:customStyle="1" w:styleId="Heading1Char">
    <w:name w:val="Heading 1 Char"/>
    <w:aliases w:val="Pocket Char"/>
    <w:basedOn w:val="DefaultParagraphFont"/>
    <w:link w:val="Heading1"/>
    <w:rsid w:val="00A831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312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w:basedOn w:val="DefaultParagraphFont"/>
    <w:link w:val="Heading3"/>
    <w:uiPriority w:val="2"/>
    <w:rsid w:val="00A831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A8312B"/>
    <w:rPr>
      <w:rFonts w:ascii="Calibri" w:eastAsiaTheme="majorEastAsia" w:hAnsi="Calibri" w:cstheme="majorBidi"/>
      <w:b/>
      <w:iCs/>
      <w:sz w:val="26"/>
    </w:rPr>
  </w:style>
  <w:style w:type="character" w:styleId="Emphasis">
    <w:name w:val="Emphasis"/>
    <w:basedOn w:val="DefaultParagraphFont"/>
    <w:uiPriority w:val="7"/>
    <w:qFormat/>
    <w:rsid w:val="00A8312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8312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A8312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A8312B"/>
    <w:rPr>
      <w:color w:val="auto"/>
      <w:u w:val="none"/>
    </w:rPr>
  </w:style>
  <w:style w:type="character" w:styleId="FollowedHyperlink">
    <w:name w:val="FollowedHyperlink"/>
    <w:basedOn w:val="DefaultParagraphFont"/>
    <w:uiPriority w:val="99"/>
    <w:semiHidden/>
    <w:unhideWhenUsed/>
    <w:rsid w:val="00A8312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ictionary.com/browse/increas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F3E00-4271-4A9F-B5C8-73D2C17CC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Kelvin Castro</cp:lastModifiedBy>
  <cp:revision>3</cp:revision>
  <dcterms:created xsi:type="dcterms:W3CDTF">2017-07-30T17:02:00Z</dcterms:created>
  <dcterms:modified xsi:type="dcterms:W3CDTF">2017-07-30T17:04:00Z</dcterms:modified>
</cp:coreProperties>
</file>