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D55F305" w14:textId="77777777" w:rsidR="007E3D3F" w:rsidRPr="00107E4B" w:rsidRDefault="007E3D3F" w:rsidP="007E3D3F">
      <w:pPr>
        <w:pStyle w:val="Heading1"/>
      </w:pPr>
      <w:r w:rsidRPr="00107E4B">
        <w:t xml:space="preserve">Neg Shell </w:t>
      </w:r>
    </w:p>
    <w:p w14:paraId="655903DF" w14:textId="77777777" w:rsidR="007E3D3F" w:rsidRPr="00107E4B" w:rsidRDefault="007E3D3F" w:rsidP="007E3D3F">
      <w:pPr>
        <w:pStyle w:val="Heading2"/>
      </w:pPr>
      <w:r w:rsidRPr="00107E4B">
        <w:lastRenderedPageBreak/>
        <w:t>1NC Shell</w:t>
      </w:r>
    </w:p>
    <w:p w14:paraId="22F661FF" w14:textId="77777777" w:rsidR="007E3D3F" w:rsidRDefault="007E3D3F" w:rsidP="007E3D3F">
      <w:pPr>
        <w:pStyle w:val="Heading4"/>
      </w:pPr>
      <w:r w:rsidRPr="00107E4B">
        <w:t xml:space="preserve">Our interpretation is that debate should be a cite for social and political activism. The affirmative must reduce restrictions to legal immigration in the United States. </w:t>
      </w:r>
    </w:p>
    <w:p w14:paraId="611A4143" w14:textId="77777777" w:rsidR="007E3D3F" w:rsidRPr="00C01309" w:rsidRDefault="007E3D3F" w:rsidP="007E3D3F"/>
    <w:p w14:paraId="47468812" w14:textId="77777777" w:rsidR="007E3D3F" w:rsidRPr="00107E4B" w:rsidRDefault="007E3D3F" w:rsidP="007E3D3F">
      <w:pPr>
        <w:pStyle w:val="Heading4"/>
      </w:pPr>
      <w:r w:rsidRPr="00107E4B">
        <w:t xml:space="preserve">B. Violation – the affirmative does not reduce restrictions – they merely present a plan or suggestion for the federal government to reduce restrictions. </w:t>
      </w:r>
    </w:p>
    <w:p w14:paraId="77DF077B" w14:textId="77777777" w:rsidR="007E3D3F" w:rsidRPr="00107E4B" w:rsidRDefault="007E3D3F" w:rsidP="007E3D3F"/>
    <w:p w14:paraId="422EFDEF" w14:textId="77777777" w:rsidR="007E3D3F" w:rsidRPr="00107E4B" w:rsidRDefault="007E3D3F" w:rsidP="007E3D3F">
      <w:pPr>
        <w:pStyle w:val="Heading4"/>
      </w:pPr>
      <w:r w:rsidRPr="00107E4B">
        <w:t xml:space="preserve">C. Standards. </w:t>
      </w:r>
    </w:p>
    <w:p w14:paraId="1FD0843B" w14:textId="77777777" w:rsidR="007E3D3F" w:rsidRPr="00107E4B" w:rsidRDefault="007E3D3F" w:rsidP="007E3D3F">
      <w:pPr>
        <w:pStyle w:val="Heading4"/>
      </w:pPr>
      <w:r w:rsidRPr="00107E4B">
        <w:tab/>
        <w:t>1. Survivor Skills – survival skills are key to both resistance and existence. People who exist on the margins of civil society need ways to not only engage the state but the conditions the state has created</w:t>
      </w:r>
    </w:p>
    <w:p w14:paraId="1D6D8D13" w14:textId="77777777" w:rsidR="007E3D3F" w:rsidRPr="00107E4B" w:rsidRDefault="007E3D3F" w:rsidP="007E3D3F">
      <w:pPr>
        <w:pStyle w:val="Heading4"/>
      </w:pPr>
      <w:r w:rsidRPr="00107E4B">
        <w:t xml:space="preserve">2. Limits – There are an infinite number of potential plans and policy proposals that the affirmative could fiat, but there </w:t>
      </w:r>
      <w:r>
        <w:t>is</w:t>
      </w:r>
      <w:r w:rsidRPr="00107E4B">
        <w:t xml:space="preserve"> a limited amount of ways the bodies in this debate can reduce restrictions. </w:t>
      </w:r>
    </w:p>
    <w:p w14:paraId="0EC9C9E1" w14:textId="77777777" w:rsidR="007E3D3F" w:rsidRPr="00107E4B" w:rsidRDefault="007E3D3F" w:rsidP="007E3D3F">
      <w:pPr>
        <w:pStyle w:val="Heading4"/>
        <w:rPr>
          <w:rFonts w:asciiTheme="majorHAnsi" w:hAnsiTheme="majorHAnsi"/>
          <w:sz w:val="28"/>
        </w:rPr>
      </w:pPr>
      <w:r w:rsidRPr="00107E4B">
        <w:rPr>
          <w:rFonts w:asciiTheme="majorHAnsi" w:hAnsiTheme="majorHAnsi"/>
          <w:sz w:val="32"/>
        </w:rPr>
        <w:t xml:space="preserve">3. </w:t>
      </w:r>
      <w:r w:rsidRPr="00107E4B">
        <w:rPr>
          <w:rFonts w:asciiTheme="majorHAnsi" w:hAnsiTheme="majorHAnsi"/>
          <w:sz w:val="28"/>
        </w:rPr>
        <w:t>Ground – aff interpretation destroys our disadvantage ground based on</w:t>
      </w:r>
    </w:p>
    <w:p w14:paraId="6E526426" w14:textId="77777777" w:rsidR="007E3D3F" w:rsidRPr="00107E4B" w:rsidRDefault="007E3D3F" w:rsidP="007E3D3F">
      <w:pPr>
        <w:pStyle w:val="Heading4"/>
        <w:rPr>
          <w:rFonts w:asciiTheme="majorHAnsi" w:hAnsiTheme="majorHAnsi"/>
          <w:sz w:val="28"/>
        </w:rPr>
      </w:pPr>
      <w:r w:rsidRPr="00107E4B">
        <w:rPr>
          <w:rFonts w:asciiTheme="majorHAnsi" w:hAnsiTheme="majorHAnsi"/>
          <w:sz w:val="28"/>
        </w:rPr>
        <w:t>individual action and forces us to defend USFG inaction – they make it</w:t>
      </w:r>
    </w:p>
    <w:p w14:paraId="69D8F479" w14:textId="77777777" w:rsidR="007E3D3F" w:rsidRPr="00107E4B" w:rsidRDefault="007E3D3F" w:rsidP="007E3D3F">
      <w:pPr>
        <w:pStyle w:val="Heading4"/>
        <w:rPr>
          <w:rFonts w:asciiTheme="majorHAnsi" w:hAnsiTheme="majorHAnsi"/>
          <w:sz w:val="28"/>
        </w:rPr>
      </w:pPr>
      <w:r w:rsidRPr="00107E4B">
        <w:rPr>
          <w:rFonts w:asciiTheme="majorHAnsi" w:hAnsiTheme="majorHAnsi"/>
          <w:sz w:val="28"/>
        </w:rPr>
        <w:t>impossible to be negative.</w:t>
      </w:r>
    </w:p>
    <w:p w14:paraId="4327AABC" w14:textId="77777777" w:rsidR="007E3D3F" w:rsidRPr="00107E4B" w:rsidRDefault="007E3D3F" w:rsidP="007E3D3F">
      <w:pPr>
        <w:pStyle w:val="Heading4"/>
      </w:pPr>
      <w:r w:rsidRPr="00107E4B">
        <w:t xml:space="preserve">4. Plan focus debate is bad- </w:t>
      </w:r>
    </w:p>
    <w:p w14:paraId="63CDD3E6" w14:textId="77777777" w:rsidR="007E3D3F" w:rsidRPr="00107E4B" w:rsidRDefault="007E3D3F" w:rsidP="007E3D3F">
      <w:pPr>
        <w:pStyle w:val="Heading4"/>
      </w:pPr>
      <w:r w:rsidRPr="00107E4B">
        <w:t xml:space="preserve">a. Fiat is bad – it is not real and won’t produce the material changes needed to resolve the affirmative. This trivializes the violence people experience and uses them as a pawn in a game of debate. </w:t>
      </w:r>
    </w:p>
    <w:p w14:paraId="6A470415" w14:textId="77777777" w:rsidR="007E3D3F" w:rsidRPr="00107E4B" w:rsidRDefault="007E3D3F" w:rsidP="007E3D3F"/>
    <w:p w14:paraId="41747830" w14:textId="77777777" w:rsidR="007E3D3F" w:rsidRPr="00107E4B" w:rsidRDefault="007E3D3F" w:rsidP="007E3D3F">
      <w:pPr>
        <w:shd w:val="clear" w:color="auto" w:fill="FFFFFF"/>
        <w:rPr>
          <w:rStyle w:val="Style13ptBold"/>
        </w:rPr>
      </w:pPr>
      <w:r w:rsidRPr="00107E4B">
        <w:rPr>
          <w:rStyle w:val="Style13ptBold"/>
        </w:rPr>
        <w:t>We shouldn’t succumb to the institutional demands of our professional lives – it is our obligation as ethical actors to break-out of the logic doubling, or the idea that we are not responsible when higher powers, like the topic committee, traditional debate, and literalist interpretation of the resolution, tell us what to do.  The alternative is a form of political imagination that can’t conceive of difference and culminates in mass death.</w:t>
      </w:r>
    </w:p>
    <w:p w14:paraId="2C33AC1F" w14:textId="77777777" w:rsidR="007E3D3F" w:rsidRPr="00107E4B" w:rsidRDefault="007E3D3F" w:rsidP="007E3D3F">
      <w:pPr>
        <w:shd w:val="clear" w:color="auto" w:fill="FFFFFF"/>
        <w:rPr>
          <w:rStyle w:val="Style13ptBold"/>
        </w:rPr>
      </w:pPr>
      <w:r w:rsidRPr="00107E4B">
        <w:rPr>
          <w:rStyle w:val="Style13ptBold"/>
        </w:rPr>
        <w:t>Fasching and deChant 2001</w:t>
      </w:r>
    </w:p>
    <w:p w14:paraId="555EDD34" w14:textId="77777777" w:rsidR="007E3D3F" w:rsidRPr="00107E4B" w:rsidRDefault="007E3D3F" w:rsidP="007E3D3F">
      <w:pPr>
        <w:shd w:val="clear" w:color="auto" w:fill="FFFFFF"/>
        <w:rPr>
          <w:rStyle w:val="Style13ptBold"/>
        </w:rPr>
      </w:pPr>
      <w:r w:rsidRPr="00107E4B">
        <w:rPr>
          <w:rStyle w:val="Style13ptBold"/>
        </w:rPr>
        <w:t>(Darrell and Dell, Prof. of Religious Studies @ University of South Florida, Prof. of Religious Studies @ USF, Comparative Religious Ethics: A Narrative Approach, Pg.  42-43)</w:t>
      </w:r>
    </w:p>
    <w:p w14:paraId="3358F9B8" w14:textId="77777777" w:rsidR="007E3D3F" w:rsidRPr="00107E4B" w:rsidRDefault="007E3D3F" w:rsidP="007E3D3F">
      <w:pPr>
        <w:shd w:val="clear" w:color="auto" w:fill="FFFFFF"/>
        <w:rPr>
          <w:rFonts w:ascii="Arial" w:eastAsia="Times New Roman" w:hAnsi="Arial" w:cs="Arial"/>
          <w:color w:val="222222"/>
          <w:sz w:val="16"/>
          <w:szCs w:val="20"/>
        </w:rPr>
      </w:pPr>
      <w:r w:rsidRPr="00107E4B">
        <w:rPr>
          <w:rFonts w:ascii="Arial" w:eastAsia="Times New Roman" w:hAnsi="Arial" w:cs="Arial"/>
          <w:color w:val="222222"/>
          <w:sz w:val="20"/>
          <w:szCs w:val="20"/>
          <w:u w:val="single"/>
        </w:rPr>
        <w:lastRenderedPageBreak/>
        <w:t>Interpreting our own historical situation is a risky business, for we are still too close to the events. We do not have the distance needed to put everything into proper perspective. Nevertheless, without such an interpretation it is impossible to identify the ethical challenges that face us, so we must risk it</w:t>
      </w:r>
      <w:r w:rsidRPr="00107E4B">
        <w:rPr>
          <w:rFonts w:ascii="Arial" w:eastAsia="Times New Roman" w:hAnsi="Arial" w:cs="Arial"/>
          <w:color w:val="222222"/>
          <w:sz w:val="16"/>
          <w:szCs w:val="20"/>
        </w:rPr>
        <w:t xml:space="preserve">. In this chapter we argue that </w:t>
      </w:r>
      <w:r w:rsidRPr="00107E4B">
        <w:rPr>
          <w:rFonts w:ascii="Arial" w:eastAsia="Times New Roman" w:hAnsi="Arial" w:cs="Arial"/>
          <w:color w:val="222222"/>
          <w:sz w:val="20"/>
          <w:szCs w:val="20"/>
          <w:u w:val="single"/>
        </w:rPr>
        <w:t>two major trends unfolded in the twentieth century that are of significance for thinking about ethics: (1) the phenomenon of mass killing encouraged by sacred narratives that authorize "killing in order to heal," as symbolized by Auschwitz and Hiroshima, and (2) a cross-cultural and interreligious ethic of non-violent resistance</w:t>
      </w:r>
      <w:r w:rsidRPr="00107E4B">
        <w:rPr>
          <w:rFonts w:ascii="Arial" w:eastAsia="Times New Roman" w:hAnsi="Arial" w:cs="Arial"/>
          <w:color w:val="222222"/>
          <w:sz w:val="16"/>
          <w:szCs w:val="20"/>
        </w:rPr>
        <w:t xml:space="preserve"> or civil disobedience symbolized by figures like Gandhi and King – one </w:t>
      </w:r>
      <w:r w:rsidRPr="00107E4B">
        <w:rPr>
          <w:rFonts w:ascii="Arial" w:eastAsia="Times New Roman" w:hAnsi="Arial" w:cs="Arial"/>
          <w:color w:val="222222"/>
          <w:sz w:val="20"/>
          <w:szCs w:val="20"/>
          <w:u w:val="single"/>
        </w:rPr>
        <w:t>that functions as an ethic of audacity on behalf of the stranger. The second, we suggest, offers an ethic of the holy in response to the sacred morality of the first.</w:t>
      </w:r>
      <w:r w:rsidRPr="00107E4B">
        <w:rPr>
          <w:rFonts w:ascii="Arial" w:eastAsia="Times New Roman" w:hAnsi="Arial" w:cs="Arial"/>
          <w:color w:val="222222"/>
          <w:sz w:val="16"/>
          <w:szCs w:val="20"/>
        </w:rPr>
        <w:t xml:space="preserve"> </w:t>
      </w:r>
      <w:r w:rsidRPr="00107E4B">
        <w:rPr>
          <w:rFonts w:ascii="Arial" w:eastAsia="Times New Roman" w:hAnsi="Arial" w:cs="Arial"/>
          <w:color w:val="222222"/>
          <w:sz w:val="20"/>
          <w:szCs w:val="20"/>
          <w:u w:val="single"/>
        </w:rPr>
        <w:t>The modern period, which began with a utopian hope that science and technology would create an age of peace, prosperity, and progress, ended in an apocalyptic nightmare of mass death, symbolized by Auschwitz and Hiroshima, leaving us with the task of creating a post/modern ethic that can transcend the techno-bureaucratic tribalism that expressed itself in two world wars</w:t>
      </w:r>
      <w:r w:rsidRPr="00107E4B">
        <w:rPr>
          <w:rFonts w:ascii="Arial" w:eastAsia="Times New Roman" w:hAnsi="Arial" w:cs="Arial"/>
          <w:color w:val="222222"/>
          <w:sz w:val="16"/>
          <w:szCs w:val="20"/>
        </w:rPr>
        <w:t xml:space="preserve">. Technobureaucratic tribalism occurs when sacred narratives are combined with the technical capacity to produce mass death. While we do not pretend to offer an exhaustive explanation of the modern propensity for mass death, we do suggest two key elements: (1) </w:t>
      </w:r>
      <w:r w:rsidRPr="00107E4B">
        <w:rPr>
          <w:rFonts w:ascii="Arial" w:eastAsia="Times New Roman" w:hAnsi="Arial" w:cs="Arial"/>
          <w:color w:val="222222"/>
          <w:sz w:val="20"/>
          <w:szCs w:val="20"/>
          <w:u w:val="single"/>
        </w:rPr>
        <w:t xml:space="preserve">the use of sacred narratives that define killing as a form of healing, and (2) the undermining of ethical consciousness by techno-bureaucratic organization through a psychological process of doubling (separating one's personal and professional identities), which enables individuals to deny that they are responsible for some of their actions. </w:t>
      </w:r>
      <w:r w:rsidRPr="00107E4B">
        <w:rPr>
          <w:rFonts w:ascii="Arial" w:eastAsia="Times New Roman" w:hAnsi="Arial" w:cs="Arial"/>
          <w:color w:val="222222"/>
          <w:sz w:val="16"/>
          <w:szCs w:val="20"/>
        </w:rPr>
        <w:t xml:space="preserve">Through sacred stories, the stranger is defined as less than human and therefore beyond the pale of ethical obligation, as well as a threat to sacred order. At the same time, </w:t>
      </w:r>
      <w:r w:rsidRPr="00107E4B">
        <w:rPr>
          <w:rFonts w:ascii="Arial" w:eastAsia="Times New Roman" w:hAnsi="Arial" w:cs="Arial"/>
          <w:color w:val="222222"/>
          <w:sz w:val="20"/>
          <w:szCs w:val="20"/>
          <w:u w:val="single"/>
        </w:rPr>
        <w:t>bureaucracies encourage one to engage in a total surrender of self in unquestioning obedience to higher (sacred) authority</w:t>
      </w:r>
      <w:r w:rsidRPr="00107E4B">
        <w:rPr>
          <w:rFonts w:ascii="Arial" w:eastAsia="Times New Roman" w:hAnsi="Arial" w:cs="Arial"/>
          <w:color w:val="222222"/>
          <w:sz w:val="16"/>
          <w:szCs w:val="20"/>
        </w:rPr>
        <w:t xml:space="preserve"> (whether God, religious leaders, or political leaders), </w:t>
      </w:r>
      <w:r w:rsidRPr="00107E4B">
        <w:rPr>
          <w:rFonts w:ascii="Arial" w:eastAsia="Times New Roman" w:hAnsi="Arial" w:cs="Arial"/>
          <w:color w:val="222222"/>
          <w:sz w:val="20"/>
          <w:szCs w:val="20"/>
          <w:u w:val="single"/>
        </w:rPr>
        <w:t>so that when one acts as a professional self on behalf of an institution (the state, the military, the church, etc.) one can say, "It is not I that acts: a higher authority is acting through me, so I am not personally responsible."</w:t>
      </w:r>
      <w:r w:rsidRPr="00107E4B">
        <w:rPr>
          <w:rFonts w:ascii="Arial" w:eastAsia="Times New Roman" w:hAnsi="Arial" w:cs="Arial"/>
          <w:color w:val="222222"/>
          <w:sz w:val="16"/>
          <w:szCs w:val="20"/>
        </w:rPr>
        <w:t xml:space="preserve"> Yet, despite the seemingly overwhelming dominance of techno- bureaucratic tribalism and mass killing in the twentieth century, a modest but important counter-trend also emerged – a cross-cultural and interreligious ethic of audacity on behalf of the stranger, linked to such names as Tolstoy, Gandhi, and King. The purpose of this chapter is to grasp the ethical challenge of modernity as symbolized by Auschwitz and Hiroshima. </w:t>
      </w:r>
      <w:r w:rsidRPr="00107E4B">
        <w:rPr>
          <w:rFonts w:ascii="Arial" w:eastAsia="Times New Roman" w:hAnsi="Arial" w:cs="Arial"/>
          <w:color w:val="222222"/>
          <w:sz w:val="20"/>
          <w:szCs w:val="20"/>
          <w:u w:val="single"/>
        </w:rPr>
        <w:t xml:space="preserve">The purpose </w:t>
      </w:r>
      <w:r w:rsidRPr="00107E4B">
        <w:rPr>
          <w:rFonts w:ascii="Arial" w:eastAsia="Times New Roman" w:hAnsi="Arial" w:cs="Arial"/>
          <w:color w:val="222222"/>
          <w:sz w:val="16"/>
          <w:szCs w:val="20"/>
        </w:rPr>
        <w:t xml:space="preserve">of the remainder of this book </w:t>
      </w:r>
      <w:r w:rsidRPr="00107E4B">
        <w:rPr>
          <w:rFonts w:ascii="Arial" w:eastAsia="Times New Roman" w:hAnsi="Arial" w:cs="Arial"/>
          <w:color w:val="222222"/>
          <w:sz w:val="20"/>
          <w:szCs w:val="20"/>
          <w:u w:val="single"/>
        </w:rPr>
        <w:t>is to examine the potential of the ethical response to that challenge offered by the tradition of non-violent civil disobedience, symbolized by Gandhi and King, for a cross-cultural and interreligious post/modern ethic of human dignity, human rights, and human liberation.</w:t>
      </w:r>
    </w:p>
    <w:p w14:paraId="7770DBE9" w14:textId="77777777" w:rsidR="007E3D3F" w:rsidRPr="00107E4B" w:rsidRDefault="007E3D3F" w:rsidP="007E3D3F"/>
    <w:p w14:paraId="3FB17234" w14:textId="77777777" w:rsidR="007E3D3F" w:rsidRPr="00107E4B" w:rsidRDefault="007E3D3F" w:rsidP="007E3D3F">
      <w:pPr>
        <w:pStyle w:val="Heading4"/>
      </w:pPr>
      <w:r w:rsidRPr="00107E4B">
        <w:t>b. Topic education – the aff encourages bad debate practices like conditionality, plan-inclusive counterplan, international fiat, process pics and a myriad of other bad debate practices because we should debate only the merits of the plan.</w:t>
      </w:r>
    </w:p>
    <w:p w14:paraId="157718C6" w14:textId="77777777" w:rsidR="007E3D3F" w:rsidRPr="00107E4B" w:rsidRDefault="007E3D3F" w:rsidP="007E3D3F">
      <w:pPr>
        <w:pStyle w:val="Heading4"/>
      </w:pPr>
      <w:r w:rsidRPr="00107E4B">
        <w:t xml:space="preserve">c. Activism good – plan focus necessitates that we invest our advocacy in bureaucratic institutions as opposed to people. This displaces or agency and makes us slaves to the state. </w:t>
      </w:r>
    </w:p>
    <w:p w14:paraId="14FE1C47" w14:textId="77777777" w:rsidR="007E3D3F" w:rsidRPr="00107E4B" w:rsidRDefault="007E3D3F" w:rsidP="007E3D3F">
      <w:pPr>
        <w:pStyle w:val="Heading4"/>
      </w:pPr>
      <w:r w:rsidRPr="00107E4B">
        <w:t xml:space="preserve">D. Framework is a voter for activist education and equity. </w:t>
      </w:r>
    </w:p>
    <w:p w14:paraId="738F9A0B" w14:textId="77777777" w:rsidR="007E3D3F" w:rsidRPr="00107E4B" w:rsidRDefault="007E3D3F" w:rsidP="007E3D3F"/>
    <w:p w14:paraId="6715986C" w14:textId="77777777" w:rsidR="007E3D3F" w:rsidRPr="00107E4B" w:rsidRDefault="007E3D3F" w:rsidP="007E3D3F"/>
    <w:p w14:paraId="42854DF6" w14:textId="77777777" w:rsidR="007E3D3F" w:rsidRPr="00107E4B" w:rsidRDefault="007E3D3F" w:rsidP="007E3D3F">
      <w:pPr>
        <w:pStyle w:val="Heading2"/>
      </w:pPr>
      <w:r w:rsidRPr="00107E4B">
        <w:lastRenderedPageBreak/>
        <w:t>2NC OV</w:t>
      </w:r>
    </w:p>
    <w:p w14:paraId="0F0CB155" w14:textId="77777777" w:rsidR="007E3D3F" w:rsidRPr="00107E4B" w:rsidRDefault="007E3D3F" w:rsidP="007E3D3F">
      <w:pPr>
        <w:pStyle w:val="Heading4"/>
        <w:rPr>
          <w:lang w:eastAsia="zh-CN"/>
        </w:rPr>
      </w:pPr>
      <w:r w:rsidRPr="00107E4B">
        <w:rPr>
          <w:lang w:eastAsia="zh-CN"/>
        </w:rPr>
        <w:t>Structural violence diminishes the opportunity for students to democratic deliberation. Our age alone prohibits us from voting nor could we actualize change in Washington DC from Austin, Texas; however,  is that the PURPOSE of debate, or at least THIS debate, should debate as a location of activism.  This would mean that the affirmative must reduce restrictions on legal immigration in the United States. This is necessary to situate conversations around what WE can do now and not what can happen later. Some students do not have the luxury of using this space as training, rather it is their primary avenue to action which makes it critical to actualize this spaces potential.</w:t>
      </w:r>
    </w:p>
    <w:p w14:paraId="74FBD0FC" w14:textId="77777777" w:rsidR="007E3D3F" w:rsidRDefault="007E3D3F" w:rsidP="007E3D3F">
      <w:pPr>
        <w:pStyle w:val="Heading4"/>
        <w:rPr>
          <w:lang w:eastAsia="zh-CN"/>
        </w:rPr>
      </w:pPr>
      <w:r w:rsidRPr="00107E4B">
        <w:rPr>
          <w:lang w:eastAsia="zh-CN"/>
        </w:rPr>
        <w:t>The affirmative does not meet our interpretation</w:t>
      </w:r>
      <w:r>
        <w:rPr>
          <w:lang w:eastAsia="zh-CN"/>
        </w:rPr>
        <w:t xml:space="preserve">: </w:t>
      </w:r>
    </w:p>
    <w:p w14:paraId="7B8D3BD8" w14:textId="77777777" w:rsidR="007E3D3F" w:rsidRPr="00C01309" w:rsidRDefault="007E3D3F" w:rsidP="007E3D3F">
      <w:pPr>
        <w:rPr>
          <w:lang w:eastAsia="zh-CN"/>
        </w:rPr>
      </w:pPr>
    </w:p>
    <w:p w14:paraId="743DC7AD" w14:textId="77777777" w:rsidR="007E3D3F" w:rsidRPr="00107E4B" w:rsidRDefault="007E3D3F" w:rsidP="007E3D3F">
      <w:pPr>
        <w:pStyle w:val="Heading4"/>
        <w:rPr>
          <w:lang w:eastAsia="zh-CN"/>
        </w:rPr>
      </w:pPr>
      <w:r w:rsidRPr="00107E4B">
        <w:rPr>
          <w:lang w:eastAsia="zh-CN"/>
        </w:rPr>
        <w:t>&lt;insert impacted no meet arguments including, but not limited to the plan does not happen, USFG as an actor, debate as a game etc, aff uses imagination as a starting point.&gt;</w:t>
      </w:r>
    </w:p>
    <w:p w14:paraId="01221B95" w14:textId="77777777" w:rsidR="007E3D3F" w:rsidRPr="00107E4B" w:rsidRDefault="007E3D3F" w:rsidP="007E3D3F">
      <w:pPr>
        <w:rPr>
          <w:lang w:eastAsia="zh-CN"/>
        </w:rPr>
      </w:pPr>
    </w:p>
    <w:p w14:paraId="1488CD9E" w14:textId="77777777" w:rsidR="007E3D3F" w:rsidRPr="00107E4B" w:rsidRDefault="007E3D3F" w:rsidP="007E3D3F">
      <w:pPr>
        <w:pStyle w:val="Heading4"/>
        <w:rPr>
          <w:lang w:eastAsia="zh-CN"/>
        </w:rPr>
      </w:pPr>
      <w:r w:rsidRPr="00107E4B">
        <w:rPr>
          <w:lang w:eastAsia="zh-CN"/>
        </w:rPr>
        <w:t>Prefer our interpretation -</w:t>
      </w:r>
    </w:p>
    <w:p w14:paraId="5F44D980" w14:textId="77777777" w:rsidR="007E3D3F" w:rsidRPr="00107E4B" w:rsidRDefault="007E3D3F" w:rsidP="007E3D3F">
      <w:pPr>
        <w:pStyle w:val="Heading4"/>
        <w:rPr>
          <w:lang w:eastAsia="zh-CN"/>
        </w:rPr>
      </w:pPr>
      <w:r w:rsidRPr="00107E4B">
        <w:rPr>
          <w:lang w:eastAsia="zh-CN"/>
        </w:rPr>
        <w:t>a. Presumption - nothing about the affirmative will produce the advantages discussed in the debate. You should immediately vote negative when they do not materially change the status quo. b. Survival Skills - We need not learn how to act later, but engage in action now. Similar to the 1acs impacts something needs to be done today. We can learn the material outcome of our actions today which will help fine tune activism later, but solves our argument about the necessity of action today. The affirmative would encroach on those skills by devaluing the knowledge that students bring to the activity and the perspective they bring about what should be done now. Perspectivism is net-benefit to our method because it encourages students to relate to the topic via their experience. </w:t>
      </w:r>
    </w:p>
    <w:p w14:paraId="6F58E431" w14:textId="77777777" w:rsidR="007E3D3F" w:rsidRDefault="007E3D3F" w:rsidP="007E3D3F">
      <w:pPr>
        <w:pStyle w:val="Heading4"/>
        <w:rPr>
          <w:lang w:eastAsia="zh-CN"/>
        </w:rPr>
      </w:pPr>
      <w:r w:rsidRPr="00107E4B">
        <w:rPr>
          <w:lang w:eastAsia="zh-CN"/>
        </w:rPr>
        <w:t>c. Limits - They make it impossible to be negative. They could make the united states do literally anything or engage in an infinity amount of thought experiments which makes burden of being negative insurmountable. Placing limits on the affirmative's direct actions avoids exploding debate and actualizes the power of debate to be a vehicle for change. </w:t>
      </w:r>
    </w:p>
    <w:p w14:paraId="4037287B" w14:textId="77777777" w:rsidR="007E3D3F" w:rsidRDefault="007E3D3F" w:rsidP="007E3D3F">
      <w:pPr>
        <w:rPr>
          <w:lang w:eastAsia="zh-CN"/>
        </w:rPr>
      </w:pPr>
    </w:p>
    <w:p w14:paraId="1F18DA1E" w14:textId="77777777" w:rsidR="007E3D3F" w:rsidRPr="00B65CE5" w:rsidRDefault="007E3D3F" w:rsidP="007E3D3F">
      <w:pPr>
        <w:pStyle w:val="Heading4"/>
        <w:rPr>
          <w:lang w:eastAsia="zh-CN"/>
        </w:rPr>
      </w:pPr>
      <w:r w:rsidRPr="00B65CE5">
        <w:rPr>
          <w:lang w:eastAsia="zh-CN"/>
        </w:rPr>
        <w:lastRenderedPageBreak/>
        <w:t>We will win that their proposed model of plan-focused debate is bad:</w:t>
      </w:r>
    </w:p>
    <w:p w14:paraId="177465CD" w14:textId="77777777" w:rsidR="007E3D3F" w:rsidRPr="00B65CE5" w:rsidRDefault="007E3D3F" w:rsidP="007E3D3F">
      <w:pPr>
        <w:pStyle w:val="Heading4"/>
        <w:rPr>
          <w:lang w:eastAsia="zh-CN"/>
        </w:rPr>
      </w:pPr>
      <w:r w:rsidRPr="00B65CE5">
        <w:rPr>
          <w:lang w:eastAsia="zh-CN"/>
        </w:rPr>
        <w:t>1.</w:t>
      </w:r>
      <w:r w:rsidRPr="00B65CE5">
        <w:rPr>
          <w:rFonts w:ascii="Times New Roman" w:hAnsi="Times New Roman"/>
          <w:sz w:val="14"/>
          <w:szCs w:val="14"/>
          <w:lang w:eastAsia="zh-CN"/>
        </w:rPr>
        <w:t>       </w:t>
      </w:r>
      <w:r w:rsidRPr="00B65CE5">
        <w:rPr>
          <w:lang w:eastAsia="zh-CN"/>
        </w:rPr>
        <w:t>Unlimiting</w:t>
      </w:r>
    </w:p>
    <w:p w14:paraId="67722616" w14:textId="77777777" w:rsidR="007E3D3F" w:rsidRPr="00B65CE5" w:rsidRDefault="007E3D3F" w:rsidP="007E3D3F">
      <w:pPr>
        <w:pStyle w:val="Heading4"/>
        <w:rPr>
          <w:lang w:eastAsia="zh-CN"/>
        </w:rPr>
      </w:pPr>
      <w:r w:rsidRPr="00B65CE5">
        <w:rPr>
          <w:lang w:eastAsia="zh-CN"/>
        </w:rPr>
        <w:t>a.</w:t>
      </w:r>
      <w:r w:rsidRPr="00B65CE5">
        <w:rPr>
          <w:rFonts w:ascii="Times New Roman" w:hAnsi="Times New Roman"/>
          <w:sz w:val="14"/>
          <w:szCs w:val="14"/>
          <w:lang w:eastAsia="zh-CN"/>
        </w:rPr>
        <w:t>       </w:t>
      </w:r>
      <w:r w:rsidRPr="00B65CE5">
        <w:rPr>
          <w:lang w:eastAsia="zh-CN"/>
        </w:rPr>
        <w:t>Makes it impossible to be negative – we would have access to any and every action by the USFG multiplied by fiat which explodes the negative research burden which turns their interpretation.</w:t>
      </w:r>
    </w:p>
    <w:p w14:paraId="212C182C" w14:textId="77777777" w:rsidR="007E3D3F" w:rsidRPr="00B65CE5" w:rsidRDefault="007E3D3F" w:rsidP="007E3D3F">
      <w:pPr>
        <w:pStyle w:val="Heading4"/>
        <w:rPr>
          <w:lang w:eastAsia="zh-CN"/>
        </w:rPr>
      </w:pPr>
      <w:r w:rsidRPr="00B65CE5">
        <w:rPr>
          <w:lang w:eastAsia="zh-CN"/>
        </w:rPr>
        <w:t>b.</w:t>
      </w:r>
      <w:r w:rsidRPr="00B65CE5">
        <w:rPr>
          <w:rFonts w:ascii="Times New Roman" w:hAnsi="Times New Roman"/>
          <w:sz w:val="14"/>
          <w:szCs w:val="14"/>
          <w:lang w:eastAsia="zh-CN"/>
        </w:rPr>
        <w:t>       </w:t>
      </w:r>
      <w:r w:rsidRPr="00B65CE5">
        <w:rPr>
          <w:lang w:eastAsia="zh-CN"/>
        </w:rPr>
        <w:t>Makes it impossible to be affirmative – crushes our potential to use our experiences to relate to the topic. We would have to rewrite our experiences to cater to the topic and not our needs which literally makes debate impossible because it does not address our everyday needs</w:t>
      </w:r>
    </w:p>
    <w:p w14:paraId="33A82554" w14:textId="77777777" w:rsidR="007E3D3F" w:rsidRPr="00B65CE5" w:rsidRDefault="007E3D3F" w:rsidP="007E3D3F">
      <w:pPr>
        <w:pStyle w:val="Heading4"/>
        <w:rPr>
          <w:lang w:eastAsia="zh-CN"/>
        </w:rPr>
      </w:pPr>
      <w:r w:rsidRPr="00B65CE5">
        <w:rPr>
          <w:lang w:eastAsia="zh-CN"/>
        </w:rPr>
        <w:t>2.</w:t>
      </w:r>
      <w:r w:rsidRPr="00B65CE5">
        <w:rPr>
          <w:rFonts w:ascii="Times New Roman" w:hAnsi="Times New Roman"/>
          <w:sz w:val="14"/>
          <w:szCs w:val="14"/>
          <w:lang w:eastAsia="zh-CN"/>
        </w:rPr>
        <w:t>       </w:t>
      </w:r>
      <w:r w:rsidRPr="00B65CE5">
        <w:rPr>
          <w:lang w:eastAsia="zh-CN"/>
        </w:rPr>
        <w:t>Anti-educational – encourages bad debate (Don’t have to read all these)</w:t>
      </w:r>
    </w:p>
    <w:p w14:paraId="54ACDD15" w14:textId="77777777" w:rsidR="007E3D3F" w:rsidRPr="00B65CE5" w:rsidRDefault="007E3D3F" w:rsidP="007E3D3F">
      <w:pPr>
        <w:pStyle w:val="Heading4"/>
        <w:rPr>
          <w:lang w:eastAsia="zh-CN"/>
        </w:rPr>
      </w:pPr>
      <w:r w:rsidRPr="00B65CE5">
        <w:rPr>
          <w:lang w:eastAsia="zh-CN"/>
        </w:rPr>
        <w:t>a.</w:t>
      </w:r>
      <w:r w:rsidRPr="00B65CE5">
        <w:rPr>
          <w:rFonts w:ascii="Times New Roman" w:hAnsi="Times New Roman"/>
          <w:sz w:val="14"/>
          <w:szCs w:val="14"/>
          <w:lang w:eastAsia="zh-CN"/>
        </w:rPr>
        <w:t>       </w:t>
      </w:r>
      <w:r w:rsidRPr="00B65CE5">
        <w:rPr>
          <w:lang w:eastAsia="zh-CN"/>
        </w:rPr>
        <w:t>Conditionality – it allows it and encourages it. Condo is a voting issue because it encourages argumentative irresponsibility, kitchen sink strategies, and multiple contradictory arguments and destroys affirmatives competitive equities. </w:t>
      </w:r>
    </w:p>
    <w:p w14:paraId="06AA591B" w14:textId="77777777" w:rsidR="007E3D3F" w:rsidRPr="00B65CE5" w:rsidRDefault="007E3D3F" w:rsidP="007E3D3F">
      <w:pPr>
        <w:pStyle w:val="Heading4"/>
        <w:rPr>
          <w:rFonts w:ascii="Times New Roman" w:hAnsi="Times New Roman"/>
          <w:sz w:val="24"/>
          <w:lang w:eastAsia="zh-CN"/>
        </w:rPr>
      </w:pPr>
      <w:r w:rsidRPr="00B65CE5">
        <w:rPr>
          <w:sz w:val="24"/>
          <w:lang w:eastAsia="zh-CN"/>
        </w:rPr>
        <w:t>b.</w:t>
      </w:r>
      <w:r w:rsidRPr="00B65CE5">
        <w:rPr>
          <w:rFonts w:ascii="Times New Roman" w:hAnsi="Times New Roman"/>
          <w:sz w:val="14"/>
          <w:szCs w:val="14"/>
          <w:lang w:eastAsia="zh-CN"/>
        </w:rPr>
        <w:t>      </w:t>
      </w:r>
      <w:r w:rsidRPr="00B65CE5">
        <w:rPr>
          <w:sz w:val="24"/>
          <w:lang w:eastAsia="zh-CN"/>
        </w:rPr>
        <w:t>Plan Inclusive counterplans – plan focus guarantees PICs. PICs are a voting issue because they steal aff ground and for the aff to debate itself, encourages vague plan writing which destroys negs ground and result in trivial distinctions between the plan and the counterplan like a penny saved is a penny earned. You cannot PIC out of an embodied performance.</w:t>
      </w:r>
    </w:p>
    <w:p w14:paraId="5029188E" w14:textId="77777777" w:rsidR="007E3D3F" w:rsidRPr="00B65CE5" w:rsidRDefault="007E3D3F" w:rsidP="007E3D3F">
      <w:pPr>
        <w:pStyle w:val="Heading4"/>
        <w:rPr>
          <w:rFonts w:ascii="Times New Roman" w:hAnsi="Times New Roman"/>
          <w:sz w:val="24"/>
          <w:lang w:eastAsia="zh-CN"/>
        </w:rPr>
      </w:pPr>
      <w:r w:rsidRPr="00B65CE5">
        <w:rPr>
          <w:sz w:val="24"/>
          <w:lang w:eastAsia="zh-CN"/>
        </w:rPr>
        <w:t>c.</w:t>
      </w:r>
      <w:r w:rsidRPr="00B65CE5">
        <w:rPr>
          <w:rFonts w:ascii="Times New Roman" w:hAnsi="Times New Roman"/>
          <w:sz w:val="14"/>
          <w:szCs w:val="14"/>
          <w:lang w:eastAsia="zh-CN"/>
        </w:rPr>
        <w:t>       </w:t>
      </w:r>
      <w:r w:rsidRPr="00B65CE5">
        <w:rPr>
          <w:sz w:val="24"/>
          <w:lang w:eastAsia="zh-CN"/>
        </w:rPr>
        <w:t>Process CPs – Neg’s interpretation allows it because they focus on the process of implementation. Process PICs are a voting issue because they destroy topic specific education, they destroy the aff because they include the affirmative, and lastly, they are limitless and unpredictable. If you hate conditions, consult, and dirty word PICs - vote for us!</w:t>
      </w:r>
    </w:p>
    <w:p w14:paraId="539FDED2" w14:textId="77777777" w:rsidR="007E3D3F" w:rsidRPr="00B65CE5" w:rsidRDefault="007E3D3F" w:rsidP="007E3D3F">
      <w:pPr>
        <w:pStyle w:val="Heading4"/>
        <w:rPr>
          <w:lang w:eastAsia="zh-CN"/>
        </w:rPr>
      </w:pPr>
      <w:r w:rsidRPr="00B65CE5">
        <w:rPr>
          <w:lang w:eastAsia="zh-CN"/>
        </w:rPr>
        <w:t>3.</w:t>
      </w:r>
      <w:r w:rsidRPr="00B65CE5">
        <w:rPr>
          <w:rFonts w:ascii="Times New Roman" w:hAnsi="Times New Roman"/>
          <w:sz w:val="14"/>
          <w:szCs w:val="14"/>
          <w:lang w:eastAsia="zh-CN"/>
        </w:rPr>
        <w:t>       </w:t>
      </w:r>
      <w:r w:rsidRPr="00B65CE5">
        <w:rPr>
          <w:lang w:eastAsia="zh-CN"/>
        </w:rPr>
        <w:t>&lt;insert aff specific state-based offense&gt;</w:t>
      </w:r>
    </w:p>
    <w:p w14:paraId="3733F2F5" w14:textId="77777777" w:rsidR="007E3D3F" w:rsidRPr="005362F8" w:rsidRDefault="007E3D3F" w:rsidP="007E3D3F">
      <w:pPr>
        <w:spacing w:after="0" w:line="240" w:lineRule="auto"/>
        <w:rPr>
          <w:rFonts w:ascii="Times New Roman" w:eastAsia="Times New Roman" w:hAnsi="Times New Roman" w:cs="Times New Roman"/>
          <w:sz w:val="24"/>
          <w:lang w:eastAsia="zh-CN"/>
        </w:rPr>
      </w:pPr>
    </w:p>
    <w:p w14:paraId="5EFC8495" w14:textId="77777777" w:rsidR="007E3D3F" w:rsidRPr="00107E4B" w:rsidRDefault="007E3D3F" w:rsidP="007E3D3F">
      <w:pPr>
        <w:rPr>
          <w:lang w:eastAsia="zh-CN"/>
        </w:rPr>
      </w:pPr>
    </w:p>
    <w:p w14:paraId="18773155" w14:textId="77777777" w:rsidR="007E3D3F" w:rsidRPr="00107E4B" w:rsidRDefault="007E3D3F" w:rsidP="007E3D3F"/>
    <w:p w14:paraId="2FAC3E41" w14:textId="77777777" w:rsidR="007E3D3F" w:rsidRPr="00107E4B" w:rsidRDefault="007E3D3F" w:rsidP="007E3D3F">
      <w:pPr>
        <w:pStyle w:val="Heading2"/>
      </w:pPr>
      <w:r w:rsidRPr="00107E4B">
        <w:lastRenderedPageBreak/>
        <w:t xml:space="preserve">Discourse Matters </w:t>
      </w:r>
    </w:p>
    <w:p w14:paraId="7DDD1C2D" w14:textId="77777777" w:rsidR="007E3D3F" w:rsidRPr="00107E4B" w:rsidRDefault="007E3D3F" w:rsidP="007E3D3F">
      <w:pPr>
        <w:pStyle w:val="Heading4"/>
      </w:pPr>
      <w:r w:rsidRPr="00107E4B">
        <w:t xml:space="preserve">Critical arguments are necessary in debate to hold debaters accountable for their discourse and the potentially violent implications and impacts such discourse can have. </w:t>
      </w:r>
    </w:p>
    <w:p w14:paraId="268EDF03" w14:textId="77777777" w:rsidR="007E3D3F" w:rsidRPr="00107E4B" w:rsidRDefault="007E3D3F" w:rsidP="007E3D3F">
      <w:pPr>
        <w:rPr>
          <w:rStyle w:val="Style13ptBold"/>
        </w:rPr>
      </w:pPr>
      <w:r w:rsidRPr="00107E4B">
        <w:rPr>
          <w:rStyle w:val="Style13ptBold"/>
        </w:rPr>
        <w:t>Gehrke 98</w:t>
      </w:r>
    </w:p>
    <w:p w14:paraId="520E48E3" w14:textId="77777777" w:rsidR="007E3D3F" w:rsidRPr="00107E4B" w:rsidRDefault="007E3D3F" w:rsidP="007E3D3F">
      <w:pPr>
        <w:rPr>
          <w:rFonts w:ascii="Times New Roman" w:eastAsia="Times New Roman" w:hAnsi="Times New Roman" w:cs="Times New Roman"/>
        </w:rPr>
      </w:pPr>
      <w:r w:rsidRPr="00107E4B">
        <w:rPr>
          <w:rFonts w:ascii="Times New Roman" w:eastAsia="Times New Roman" w:hAnsi="Times New Roman" w:cs="Times New Roman"/>
        </w:rPr>
        <w:t>Gehrke, P.J. (1998). Critique Arguments as Policy Analysis: Policy Debate Beyond the Rationalist Perspective. Contemporary Argumentation and Debate, 19, 18-39./</w:t>
      </w:r>
    </w:p>
    <w:p w14:paraId="090EFB4B" w14:textId="77777777" w:rsidR="007E3D3F" w:rsidRPr="00107E4B" w:rsidRDefault="007E3D3F" w:rsidP="007E3D3F">
      <w:pPr>
        <w:rPr>
          <w:rFonts w:ascii="Times New Roman" w:eastAsia="Times New Roman" w:hAnsi="Times New Roman" w:cs="Times New Roman"/>
          <w:sz w:val="12"/>
        </w:rPr>
      </w:pPr>
      <w:r w:rsidRPr="00107E4B">
        <w:rPr>
          <w:rFonts w:ascii="Times New Roman" w:eastAsia="Times New Roman" w:hAnsi="Times New Roman" w:cs="Times New Roman"/>
          <w:sz w:val="12"/>
        </w:rPr>
        <w:t xml:space="preserve">While critique arguments were once rare in academic debates, today they are part of nearly every debater's experience. Contemporary debates frequently grapple with arguments that indict or advance values, systems of knowledge, and language choices. It is difficult to know whether this growing popularity is due to advances in critique theory, a growing dissatisfaction with traditional models of policy debate, or the competitive success of critiques in debate. What is apparent in debate literature and discussion is that a substantial amount of controversy still exists about the saliency of critiques to academic policy debate. Some policy debate advocates claim there is no place for critiques in the comparison of policy options, while advocates of critiques often consider such arguments broader than a policy perspective, arguing that </w:t>
      </w:r>
      <w:r w:rsidRPr="00107E4B">
        <w:rPr>
          <w:rStyle w:val="Emphasis"/>
        </w:rPr>
        <w:t xml:space="preserve">critics should consider critiques before resolving policy questions. </w:t>
      </w:r>
      <w:r w:rsidRPr="00107E4B">
        <w:rPr>
          <w:rFonts w:ascii="Times New Roman" w:eastAsia="Times New Roman" w:hAnsi="Times New Roman" w:cs="Times New Roman"/>
          <w:sz w:val="12"/>
        </w:rPr>
        <w:t xml:space="preserve">Whether one subscribes to Roger Solt's view that "the kritik is on balance bad for debate" (Anti-Kritik ii) or William Shanahan's view that "kritiks allow debate access to another of its fundamental assumptions" (AS), it is clear that at least for the near future </w:t>
      </w:r>
      <w:r w:rsidRPr="00107E4B">
        <w:rPr>
          <w:rStyle w:val="Emphasis"/>
        </w:rPr>
        <w:t>critiques will playa major role in the practice of academic policy debate.</w:t>
      </w:r>
      <w:r w:rsidRPr="00107E4B">
        <w:rPr>
          <w:rFonts w:ascii="Times New Roman" w:eastAsia="Times New Roman" w:hAnsi="Times New Roman" w:cs="Times New Roman"/>
          <w:sz w:val="12"/>
        </w:rPr>
        <w:t xml:space="preserve"> At this point, the controversy over critique argumentation is at an impasse. Both sides of this controversy marginalize critique arguments by positioning them outside of policy deliberation. The predominate notion among both supporters and opponents of critiques is that they are argued as a sidebar to the policy debate. While I am sympathetic to, and often agree with, the philosophical potential envisioned by those who endorse critique arguments, their reasoning often fails to address the questions raised by those who doubt the role of critiques in policy debate. We cannot transcend these differences without repositioning the relationship between critique arguments and policy deliberation. This essay contends that meaningful policy evaluation often includes arguments similar to those labeled "critiques" in academic debate. Specifically, it argues that </w:t>
      </w:r>
      <w:r w:rsidRPr="00107E4B">
        <w:rPr>
          <w:rStyle w:val="Emphasis"/>
        </w:rPr>
        <w:t>critique arguments, rather than serving as a priori or tangential issues, are relevant dimensions of policy analysis and should be treated as substantive issues in policy debate</w:t>
      </w:r>
      <w:r w:rsidRPr="00107E4B">
        <w:rPr>
          <w:rFonts w:ascii="Times New Roman" w:eastAsia="Times New Roman" w:hAnsi="Times New Roman" w:cs="Times New Roman"/>
          <w:sz w:val="12"/>
        </w:rPr>
        <w:t xml:space="preserve">. The idea that the issues raised by critique arguments are relevant to the substance of policy disputes is consistent with arguments made by innovative policy analysts and policy scholars. Many policy theorists argue for including in the policy discussion process arguments that mirror certain forms of critique argumentation. This position may seem unusual, given that some debate theorists tend to believe that policy analysis excludes critique arguments However, a considerable body of policy studies literature clearly supports the inclusion of critiques based upon competing value orientations and critiques based upon the communicative aspects of the policy process. The Status of Critique Arguments in Academic Debate In contemporary academic debate, critique arguments encompass a wide range of philosophical issues. Shanahan originally focused on the German existential philosopher Martin Heidegger's call to explore how we think about being in the world. This continental pedigree gave rise to the commonly used German spelling, kritik. Shanahan contends that </w:t>
      </w:r>
      <w:r w:rsidRPr="00107E4B">
        <w:rPr>
          <w:rStyle w:val="Emphasis"/>
        </w:rPr>
        <w:t>traditional policy debate "functions on a foundation of unquestioned assumptions</w:t>
      </w:r>
      <w:r w:rsidRPr="00107E4B">
        <w:rPr>
          <w:rFonts w:ascii="Times New Roman" w:eastAsia="Times New Roman" w:hAnsi="Times New Roman" w:cs="Times New Roman"/>
          <w:sz w:val="12"/>
        </w:rPr>
        <w:t xml:space="preserve">" (A4). He calls for debaters to advance arguments that can uncover and investigate these assumptions. Shanahan holds that </w:t>
      </w:r>
      <w:r w:rsidRPr="00107E4B">
        <w:rPr>
          <w:rStyle w:val="Emphasis"/>
        </w:rPr>
        <w:t>the focus ought not be on the results of such a questioning, but rather that the process of thinking and questioning itself is to be valued</w:t>
      </w:r>
      <w:r w:rsidRPr="00107E4B">
        <w:rPr>
          <w:rFonts w:ascii="Times New Roman" w:eastAsia="Times New Roman" w:hAnsi="Times New Roman" w:cs="Times New Roman"/>
          <w:sz w:val="12"/>
        </w:rPr>
        <w:t xml:space="preserve"> (A4). Since Shanahan, debaters have expanded critiques from their existential origins to include a broad diversity of philosophical and political perspectives. Recent critiques have been based on Riane Eisler's feminist anthropology, Herbert Marcuse's theory of repressive desublimation, Immanuel Kant's categorical imperative, and Ayn Rand's objectivism. A second origin of critique argumentation is Kenneth Broda-Bahm' s theory of the language-linked value objection, or "language critique." Broda-Bahrn </w:t>
      </w:r>
      <w:r w:rsidRPr="00107E4B">
        <w:rPr>
          <w:rStyle w:val="Emphasis"/>
        </w:rPr>
        <w:t>indicts academic debate for operating under the assumption that language is transparent and purely referential</w:t>
      </w:r>
      <w:r w:rsidRPr="00107E4B">
        <w:rPr>
          <w:rFonts w:ascii="Times New Roman" w:eastAsia="Times New Roman" w:hAnsi="Times New Roman" w:cs="Times New Roman"/>
          <w:sz w:val="12"/>
        </w:rPr>
        <w:t xml:space="preserve">. He uses Ludwig Wittgenstein' s theory of language games to argue that </w:t>
      </w:r>
      <w:r w:rsidRPr="00107E4B">
        <w:rPr>
          <w:rStyle w:val="Emphasis"/>
        </w:rPr>
        <w:t>words and their use have effects, and that critics should consider objections to certain language choices when adjudicating debates</w:t>
      </w:r>
      <w:r w:rsidRPr="00107E4B">
        <w:rPr>
          <w:rFonts w:ascii="Times New Roman" w:eastAsia="Times New Roman" w:hAnsi="Times New Roman" w:cs="Times New Roman"/>
          <w:sz w:val="12"/>
        </w:rPr>
        <w:t xml:space="preserve">. As originally conceived, the language-linked value objection focused "more directly on the actual language practices of an opponent" (Bahrn 69). Broda-Bahm gives </w:t>
      </w:r>
      <w:r w:rsidRPr="00107E4B">
        <w:rPr>
          <w:rStyle w:val="Emphasis"/>
        </w:rPr>
        <w:t>language critiques</w:t>
      </w:r>
      <w:r w:rsidRPr="00107E4B">
        <w:rPr>
          <w:rFonts w:ascii="Times New Roman" w:eastAsia="Times New Roman" w:hAnsi="Times New Roman" w:cs="Times New Roman"/>
          <w:sz w:val="12"/>
        </w:rPr>
        <w:t xml:space="preserve"> primacy as voting issues because they </w:t>
      </w:r>
      <w:r w:rsidRPr="00107E4B">
        <w:rPr>
          <w:rStyle w:val="Emphasis"/>
        </w:rPr>
        <w:t>make claims to immediate and tangible impacts that "uniquely happen as a direct result of our advocacy</w:t>
      </w:r>
      <w:r w:rsidRPr="00107E4B">
        <w:rPr>
          <w:rFonts w:ascii="Times New Roman" w:eastAsia="Times New Roman" w:hAnsi="Times New Roman" w:cs="Times New Roman"/>
          <w:sz w:val="12"/>
        </w:rPr>
        <w:t xml:space="preserve">" (Bahm 76). More recently, theorists and debaters have fashioned critiques involving such diverse arguments as evidence challenges, morality arguments, and objections to particular styles of delivery (Berube, "Kritiks"). For the purposes of this essay, critiques conveniently may be divided into three argument forms: value critiques, epistemology critiques, and language critiques. This classification system is relatively common in critique literature. David Berube refers to ideational (value), thinking (epistemology), and language critiques ("Criticizing" 68). Solt separates critiques into practical philosophical critiques (value), pure philosophical critiques (epistemology), and language critiques (Anti-Kritik ii-vii). While these ..... "I . · t. : .... classification schemes are neither universal nor comprehensive, they are functional for .... discussing the relationship between critique argumentation and policy deliberation. </w:t>
      </w:r>
      <w:r w:rsidRPr="00107E4B">
        <w:rPr>
          <w:rStyle w:val="Emphasis"/>
        </w:rPr>
        <w:t>Value critiques establish or indict value systems or advance ethical or moral claims.</w:t>
      </w:r>
      <w:r w:rsidRPr="00107E4B">
        <w:rPr>
          <w:rFonts w:ascii="Times New Roman" w:eastAsia="Times New Roman" w:hAnsi="Times New Roman" w:cs="Times New Roman"/>
          <w:sz w:val="12"/>
        </w:rPr>
        <w:t xml:space="preserve"> These take the shape of deontological critiques, decision rules, value hierarchies, ethics violations, and moral obligations. When an affirmative claims a moral obligation to implement their policy, they are advancing value arguments in an attempt to justify their policy position. Likewise, these arguments are frequently advanced by negatives contending that an affirmative's proposed policy is discriminatory (i.e., racist, patriarchal, heterosexist, etc.) or morally unacceptable as a COurse of action (such as the pacifist's opposition to committing violent acts). Value critiques were the stock and trade of "value" debate, usually referred to as criteria and value objections arguments (Zarefsky IS). Epistemology critiques establish or indict means of creating or finding truths. These include arguments such as Paul Feyerabend's critique of scientific method and Murray Edelman's theory of enemy construction. Epistemology critiques predominantly question the reliability of particular methods of making predictive and descriptive claims inherent in a particular policy advocacy</w:t>
      </w:r>
      <w:r w:rsidRPr="00107E4B">
        <w:rPr>
          <w:rStyle w:val="Emphasis"/>
        </w:rPr>
        <w:t xml:space="preserve">. Every policy case advances causal and predictive claims. These claims are each the result of a particular way of coming to or creating </w:t>
      </w:r>
      <w:r w:rsidRPr="00107E4B">
        <w:rPr>
          <w:rStyle w:val="Emphasis"/>
        </w:rPr>
        <w:lastRenderedPageBreak/>
        <w:t>knowledge, such as laboratory study, romantic introspection, field research, or humanist investigation. Epistemology critiques indict a method of coming to or creating knowledge, thus undercutting the claims derived through that method</w:t>
      </w:r>
      <w:r w:rsidRPr="00107E4B">
        <w:rPr>
          <w:rFonts w:ascii="Times New Roman" w:eastAsia="Times New Roman" w:hAnsi="Times New Roman" w:cs="Times New Roman"/>
          <w:sz w:val="12"/>
        </w:rPr>
        <w:t xml:space="preserve">. The best of these critiques will also advance an alternative knowledge system that produces results contrary to the claims advanced in the opponent's positions. GEHRKE 21 Language critiques can be differentiated from value and epistemology critiques in two respects. First, they focus upon communicative or interpretive aspects of either particular word choices or the broader advocacy of debaters. </w:t>
      </w:r>
      <w:r w:rsidRPr="00107E4B">
        <w:rPr>
          <w:rStyle w:val="Emphasis"/>
        </w:rPr>
        <w:t>Language critiques indict what an advocate communicates, intentionally or otherwise, and what others who endorse that advocacy might communicate</w:t>
      </w:r>
      <w:r w:rsidRPr="00107E4B">
        <w:rPr>
          <w:rFonts w:ascii="Times New Roman" w:eastAsia="Times New Roman" w:hAnsi="Times New Roman" w:cs="Times New Roman"/>
          <w:sz w:val="12"/>
        </w:rPr>
        <w:t xml:space="preserve">. Debaters have called these arguments language-linked value objections, language objections, language critiques, advocacy critiques, advocacy-linked disadvantages, and a host of other names. Second, </w:t>
      </w:r>
      <w:r w:rsidRPr="00107E4B">
        <w:rPr>
          <w:rStyle w:val="Emphasis"/>
        </w:rPr>
        <w:t>the most controversial element that differentiates these arguments from other objections to policy advocacy is the claim that their implications supersede the impacts of particular policy actions</w:t>
      </w:r>
      <w:r w:rsidRPr="00107E4B">
        <w:rPr>
          <w:rFonts w:ascii="Times New Roman" w:eastAsia="Times New Roman" w:hAnsi="Times New Roman" w:cs="Times New Roman"/>
          <w:sz w:val="12"/>
        </w:rPr>
        <w:t xml:space="preserve">. Advocates of language critiques often claim fiat to be illusory, that language creates reality, or that advocacy has "real-world" or "in-round" effects upon critics, debaters, and others. For example, a language critique might argue that an opponent has employed sexist language, such as using "mankind" as an androgynous term. The team advancing the critique may argue that a critic who fails to reject the sexist language likewise advocates using sexist language, and consequently perpetuates and reinforces sexism in the culture. Conversely, the policy issues debated are only fictions or imaginations used to simulate a policy decision in the debate. In actuality, </w:t>
      </w:r>
      <w:r w:rsidRPr="00107E4B">
        <w:rPr>
          <w:rStyle w:val="Emphasis"/>
        </w:rPr>
        <w:t>when the critic votes, no policy is enacted. Yet</w:t>
      </w:r>
      <w:r w:rsidRPr="00107E4B">
        <w:rPr>
          <w:rFonts w:ascii="Times New Roman" w:eastAsia="Times New Roman" w:hAnsi="Times New Roman" w:cs="Times New Roman"/>
          <w:sz w:val="12"/>
        </w:rPr>
        <w:t xml:space="preserve">, the critique proponents argue, </w:t>
      </w:r>
      <w:r w:rsidRPr="00107E4B">
        <w:rPr>
          <w:rStyle w:val="Emphasis"/>
        </w:rPr>
        <w:t>the effects of the language are real and immediate</w:t>
      </w:r>
      <w:r w:rsidRPr="00107E4B">
        <w:rPr>
          <w:rFonts w:ascii="Times New Roman" w:eastAsia="Times New Roman" w:hAnsi="Times New Roman" w:cs="Times New Roman"/>
          <w:sz w:val="12"/>
        </w:rPr>
        <w:t xml:space="preserve">. Thus, the debaters ask the critic to ignore the illusory or imagined impacts of the proposed policies and decide the debate based upon the real and immediate impacts of language. Some critiques, such as Critical Race Theory, cross these categories. Since Critical Race Theory indicts the American legal system for being racist, which makes its predictive and descriptive claims inaccurate, it combines a value critique and an epistemological critique. Similarly, debaters sometimes combine value arguments with language critiques to create a dual set of impacts for their positions. With the sexism example previously discussed, the critiquing team may add an argument that says that individuals have a moral obligation to reject sexism when they encounter it. Thus, in addition to the language critique of the use of the term "mankind," the critiquing team would also advance a value critique, holding that there is an obligation to reject sexism. The distinctions between value, epistemology, and language critiques are not always clean, and may leave out some critique arguments. Critique argumentation is in a constant state of mutation as debaters find new ways to think about particular issues. The classification scheme used here should be considered functional only for the purposes of this discussion. 22 CONTEMPORARY ARGUMENTATION AND DEBATE One of the primary CrIticisms leveled against all such critiques is that they fail to address policy questions (Jinks A14; Shors and Mancuso A15; Solt, Anti-Kritik xiii; Solt, "DemystifYing" A9). </w:t>
      </w:r>
    </w:p>
    <w:p w14:paraId="1ECB2305" w14:textId="77777777" w:rsidR="007E3D3F" w:rsidRPr="00107E4B" w:rsidRDefault="007E3D3F" w:rsidP="007E3D3F">
      <w:pPr>
        <w:rPr>
          <w:rFonts w:ascii="Times New Roman" w:eastAsia="Times New Roman" w:hAnsi="Times New Roman" w:cs="Times New Roman"/>
        </w:rPr>
      </w:pPr>
    </w:p>
    <w:p w14:paraId="720B4830" w14:textId="77777777" w:rsidR="007E3D3F" w:rsidRPr="00107E4B" w:rsidRDefault="007E3D3F" w:rsidP="007E3D3F">
      <w:pPr>
        <w:rPr>
          <w:rFonts w:ascii="Times New Roman" w:eastAsia="Times New Roman" w:hAnsi="Times New Roman" w:cs="Times New Roman"/>
        </w:rPr>
      </w:pPr>
    </w:p>
    <w:p w14:paraId="35DD3D51" w14:textId="77777777" w:rsidR="007E3D3F" w:rsidRPr="00107E4B" w:rsidRDefault="007E3D3F" w:rsidP="007E3D3F">
      <w:pPr>
        <w:pStyle w:val="Heading4"/>
      </w:pPr>
      <w:r w:rsidRPr="00107E4B">
        <w:t xml:space="preserve">Even if you like traditional policy debate, contemporary real world policy making requires looking into the assumptions behind the actions proposed, which is an analysis only critical debate can provide. </w:t>
      </w:r>
    </w:p>
    <w:p w14:paraId="03862B37" w14:textId="77777777" w:rsidR="007E3D3F" w:rsidRPr="00107E4B" w:rsidRDefault="007E3D3F" w:rsidP="007E3D3F">
      <w:pPr>
        <w:rPr>
          <w:rStyle w:val="Style13ptBold"/>
        </w:rPr>
      </w:pPr>
      <w:r w:rsidRPr="00107E4B">
        <w:rPr>
          <w:rStyle w:val="Style13ptBold"/>
        </w:rPr>
        <w:t>Gehrke 98</w:t>
      </w:r>
    </w:p>
    <w:p w14:paraId="4D3487D7" w14:textId="77777777" w:rsidR="007E3D3F" w:rsidRPr="00107E4B" w:rsidRDefault="007E3D3F" w:rsidP="007E3D3F">
      <w:pPr>
        <w:rPr>
          <w:rFonts w:ascii="Times New Roman" w:eastAsia="Times New Roman" w:hAnsi="Times New Roman" w:cs="Times New Roman"/>
        </w:rPr>
      </w:pPr>
      <w:r w:rsidRPr="00107E4B">
        <w:rPr>
          <w:rFonts w:ascii="Times New Roman" w:eastAsia="Times New Roman" w:hAnsi="Times New Roman" w:cs="Times New Roman"/>
        </w:rPr>
        <w:t>Gehrke, P.J. (1998). Critique Arguments as Policy Analysis: Policy Debate Beyond the Rationalist Perspective. Contemporary Argumentation and Debate, 19, 18-39./cdc</w:t>
      </w:r>
    </w:p>
    <w:p w14:paraId="734C190C" w14:textId="77777777" w:rsidR="007E3D3F" w:rsidRPr="00107E4B" w:rsidRDefault="007E3D3F" w:rsidP="007E3D3F">
      <w:pPr>
        <w:rPr>
          <w:rFonts w:ascii="Times New Roman" w:eastAsia="Times New Roman" w:hAnsi="Times New Roman" w:cs="Times New Roman"/>
        </w:rPr>
      </w:pPr>
    </w:p>
    <w:p w14:paraId="4969C850" w14:textId="77777777" w:rsidR="007E3D3F" w:rsidRPr="00107E4B" w:rsidRDefault="007E3D3F" w:rsidP="007E3D3F">
      <w:pPr>
        <w:rPr>
          <w:rFonts w:ascii="Times New Roman" w:eastAsia="Times New Roman" w:hAnsi="Times New Roman" w:cs="Times New Roman"/>
          <w:sz w:val="12"/>
        </w:rPr>
      </w:pPr>
      <w:r w:rsidRPr="00107E4B">
        <w:rPr>
          <w:rStyle w:val="Emphasis"/>
        </w:rPr>
        <w:t>Most debate theorists who oppose critique arguments advance</w:t>
      </w:r>
      <w:r w:rsidRPr="00107E4B">
        <w:rPr>
          <w:rFonts w:ascii="Times New Roman" w:eastAsia="Times New Roman" w:hAnsi="Times New Roman" w:cs="Times New Roman"/>
          <w:sz w:val="12"/>
        </w:rPr>
        <w:t xml:space="preserve"> a rationalist paradigm of policy evaluation. In their minds, a </w:t>
      </w:r>
      <w:r w:rsidRPr="00107E4B">
        <w:rPr>
          <w:rStyle w:val="Emphasis"/>
        </w:rPr>
        <w:t>strict cost-benefit analysis, particularly a quantitative analysis based on the preservation of human life, is the only means by which an advocate can justifY or dejustifY a policy</w:t>
      </w:r>
      <w:r w:rsidRPr="00107E4B">
        <w:rPr>
          <w:rFonts w:ascii="Times New Roman" w:eastAsia="Times New Roman" w:hAnsi="Times New Roman" w:cs="Times New Roman"/>
          <w:sz w:val="12"/>
        </w:rPr>
        <w:t xml:space="preserve">. In his criticism of scientific models of public policy, Robert Formaini, the former vice president for public policy at the Cato Institute, explains the rationalist policy paradigm: According to the policy rationalist, if the risks are "acceptable" and the "benefits" are greater than "costs," what person can argue that the proposed policy ought not be done, and on what inductive basis? It will not work to say that the proposed policy is "wrong," "immoral," "unjust," and a "waste of time and effort." These arguments are "unscientific" and "value-laden" with the citizen's personal, irrational prejudices. (69) </w:t>
      </w:r>
      <w:r w:rsidRPr="00107E4B">
        <w:rPr>
          <w:rStyle w:val="Emphasis"/>
        </w:rPr>
        <w:t>In policy debate, the rationalist perspective marginalizes critiques by mistakenly representing a particular approach to policy evaluation as the essential means of policy deliberation, implying that one theoretical perspective is both appropriate for all policy questions and preferable to all other means of policy comparison</w:t>
      </w:r>
      <w:r w:rsidRPr="00107E4B">
        <w:rPr>
          <w:rFonts w:ascii="Times New Roman" w:eastAsia="Times New Roman" w:hAnsi="Times New Roman" w:cs="Times New Roman"/>
          <w:sz w:val="12"/>
        </w:rPr>
        <w:t xml:space="preserve">. Marouf Hasian and Edward Panetta argue that "both the promise and the peril of the critique come from its use as a method of questioning some of the assumptions behind 'policy' debate itself' (47). They continue, "the use of 'the critique' in policy debate means a virtual abandonment of many of the cherished assumptions of policy decision making" (53). If by policy debate and policy decision making, Hasian and Panetta are referring only to the conventional practices of academic debate, they would be correct. However, their criticism is not that critiques simply challenge academic policy debate as we commonly practice it, but rather that critiques are "politically irrelevant and counterproductive" (54). This conclusion is arrived at by giving primacy to rationalist policy models, including claims such as that "debating is an inherently rationalistic activity" (54). Faith in rationalism as the core element of policy debate leads Derek Jinks to posit that if critiques have any theoretical legitimacy, "they should take the form of disadvantages, counterplans, solvency arguments, etc." (AI4). links argues that resolutions imply the context for academic debates, and since contemporary resolutions are interpreted as policy questions, they should be addressed from a policy perspective (AI2). While this line of reasoning may bear some merit, Jinks begs the question of whether the rationalist model is the only possible policy perspective. Jinks relies on a rationalist cost-benefit analysis model for decision making. He argues that policy decisions cannot be made without comparing unique costs and benefits of proposed courses of action (A 14). Jinks likewise contends that policy debate should begin from a set of shared assumptions about the values at stake, which should simply be taken as true (Al3). Matthew Shors and Steve Mancuso propose an extreme division between critiques and policy discourse. Shorsand Mancuso make the same error as Jinks · by generalizing from rationalist policy </w:t>
      </w:r>
      <w:r w:rsidRPr="00107E4B">
        <w:rPr>
          <w:rFonts w:ascii="Times New Roman" w:eastAsia="Times New Roman" w:hAnsi="Times New Roman" w:cs="Times New Roman"/>
          <w:sz w:val="12"/>
        </w:rPr>
        <w:lastRenderedPageBreak/>
        <w:t xml:space="preserve">models to all policy deliberation. </w:t>
      </w:r>
      <w:r w:rsidRPr="00107E4B">
        <w:rPr>
          <w:rStyle w:val="Emphasis"/>
        </w:rPr>
        <w:t>They claim that critiques are "utterly irrelevant" and that critiques ask us to believe that "it is pointless to discuss policies</w:t>
      </w:r>
      <w:r w:rsidRPr="00107E4B">
        <w:rPr>
          <w:rFonts w:ascii="Times New Roman" w:eastAsia="Times New Roman" w:hAnsi="Times New Roman" w:cs="Times New Roman"/>
          <w:sz w:val="12"/>
        </w:rPr>
        <w:t xml:space="preserve">" (A16). Shors and Mancuso would have us believe that critiques "ignore policy issues altogether" (A16). It is because critiques do not argue unique commensurable costs or benefits that they contend that critiques carry "little, if any, weight in policy comparison" (AI6). Only by failing to recognize the broad diversity of policy perspectives can Shors and Mancuso come to conclude that "the Critique is wholly incompatible with, and non-germane to, policy debate" (A 17). Perhaps the most vehement opponent of critiques has been Solt. Solt makes many of the same assumptions about policy analysis as do Jinks, Shors, and Mancuso. Solt so strongly believes that critiques challenge the assumption that "what we are essentially engaged in is a policy debate" that he recommends the first response to critiques be to reestablish the policy framework ("Demystifying" A9). For Solt, "the kl'itik is a non-policy argument" (Anti-hitik ii). He sees debate as a policy forum, and critiques are considered not to be "germane to the subject at hand" (Anli-Kl'itik xxii). Solt argues that "at root, the kritik misunderstands the nature of the policy calculus" (Anti-Kritik x:xiii). Solt's rationalist assumptions are apparent in arguments encouraging us to "take an a priori ethical and political framework for granted" ("De mystifying" A II). Similarly, </w:t>
      </w:r>
      <w:r w:rsidRPr="00107E4B">
        <w:rPr>
          <w:rStyle w:val="Emphasis"/>
        </w:rPr>
        <w:t>he ignores a whole body of interpretive and communicative policy analysis literature when he claims that "ideas are more important than the rhetoric with which they are expressed</w:t>
      </w:r>
      <w:r w:rsidRPr="00107E4B">
        <w:rPr>
          <w:rFonts w:ascii="Times New Roman" w:eastAsia="Times New Roman" w:hAnsi="Times New Roman" w:cs="Times New Roman"/>
          <w:sz w:val="12"/>
        </w:rPr>
        <w:t xml:space="preserve">" ("Demystifying" All). Here, Solt is attempting to refute language critiques by retreating to a separation of policies and the words that express, present, and form those policies. For So It, the policy has a pure form outside of language, and it is that form that is to be evaluated, rather than any of the words that might malign it. Such a position is distant from much of both contemporary communication studies and policy studies literature. 24 CONTEMPORARY ARGUMENTATION AND DEBATE </w:t>
      </w:r>
      <w:r w:rsidRPr="00107E4B">
        <w:rPr>
          <w:rStyle w:val="Emphasis"/>
        </w:rPr>
        <w:t>The arguments against critiques advanced by the policy debate rationalists are suspect because they are grounded in the traditions of academic debate rather than contemporary theories of policy studies. Consequently, they dismiss questions they can not force-fit into policy rationalism as neither worthwhile nor relevant to policy discussions</w:t>
      </w:r>
      <w:r w:rsidRPr="00107E4B">
        <w:rPr>
          <w:rFonts w:ascii="Times New Roman" w:eastAsia="Times New Roman" w:hAnsi="Times New Roman" w:cs="Times New Roman"/>
          <w:sz w:val="12"/>
        </w:rPr>
        <w:t xml:space="preserve">. As two policy analysts wrote of the hegemony of the rationalist paradigm, "When all you have is a hammer the whole world looks like a nail" (House and Shull 163-164). Berube attacks critiques from a perspective not overtly founded on policy rationalism, holding that critiques are fundamentally pre-fiat arguments and that they disregard post-fiat substantive claims ("Criticizing" 68-72). Nonetheless, he bases his arguments upon similar assumptions about the relationship between critiques and policy debate. Here, "fiat" is a stand-in for "policy focus," in that fiat represents an enacted policy. </w:t>
      </w:r>
      <w:r w:rsidRPr="00107E4B">
        <w:rPr>
          <w:rStyle w:val="Emphasis"/>
        </w:rPr>
        <w:t>To claim that critiques disregard issues that arise after fiat is to claim that they disregard questions raised by enacting policies</w:t>
      </w:r>
      <w:r w:rsidRPr="00107E4B">
        <w:rPr>
          <w:rFonts w:ascii="Times New Roman" w:eastAsia="Times New Roman" w:hAnsi="Times New Roman" w:cs="Times New Roman"/>
          <w:sz w:val="12"/>
        </w:rPr>
        <w:t xml:space="preserve">. Berube's argument is also </w:t>
      </w:r>
      <w:r w:rsidRPr="00107E4B">
        <w:rPr>
          <w:rStyle w:val="Emphasis"/>
        </w:rPr>
        <w:t>predicated upon the assumption that academic debate should extend no further than "intentional, intended, naIve, objective, and rogate" meanings</w:t>
      </w:r>
      <w:r w:rsidRPr="00107E4B">
        <w:rPr>
          <w:rFonts w:ascii="Times New Roman" w:eastAsia="Times New Roman" w:hAnsi="Times New Roman" w:cs="Times New Roman"/>
          <w:sz w:val="12"/>
        </w:rPr>
        <w:t xml:space="preserve"> ("Criticizing" 77). </w:t>
      </w:r>
      <w:r w:rsidRPr="00107E4B">
        <w:rPr>
          <w:rStyle w:val="Emphasis"/>
        </w:rPr>
        <w:t>This means that debaters and critics should not question any of the assumptions or presuppositions of texts or advocacies, uncritically accepting the premises inherent in propositions.</w:t>
      </w:r>
      <w:r w:rsidRPr="00107E4B">
        <w:rPr>
          <w:rFonts w:ascii="Times New Roman" w:eastAsia="Times New Roman" w:hAnsi="Times New Roman" w:cs="Times New Roman"/>
          <w:sz w:val="12"/>
        </w:rPr>
        <w:t xml:space="preserve"> In the context of policy analysis, Berube 's standards require that policy advocates and analysts not ask of each other: "But what are your assumptions? Are they valid, or consistent, or morally acceptable?" This position is extraordinarily dangerous. Wayne Booth argues that we must consider precisely those questions texts attempt to foreclose: Each literary work implicates within itself a set of norms about what questions are appropriate. Hemingway, to choose a favorite example of the new feminist critics, does not demand of us that we ask of his works, "Is it good for men or women to accept uncritically my machismo bravado?" Indeed, he seems to work quite hard to prevent our asking such a question. But surely, the feminist critics say, and I think they are right, surely any teacher who teaches A Farewell to Arms without inviting, somewhere along the line, a critical consideration of Hemingway's heroes as human ideals, and of his portraits of women as reflecting a peculiarly maimed creative vision, and of his vision of the good life as a singularly immature one-surely any such teacher is doing only half the job. (301) . . ; GEHRKE 25 . Similarly, we might say that </w:t>
      </w:r>
      <w:r w:rsidRPr="00107E4B">
        <w:rPr>
          <w:rStyle w:val="Emphasis"/>
        </w:rPr>
        <w:t xml:space="preserve">any policy debater who does not seek a critical consideration of the questions that a policy proposal tries to foreclose is only doing half the job of a policy analyst. </w:t>
      </w:r>
      <w:r w:rsidRPr="00107E4B">
        <w:rPr>
          <w:rFonts w:ascii="Times New Roman" w:eastAsia="Times New Roman" w:hAnsi="Times New Roman" w:cs="Times New Roman"/>
          <w:sz w:val="12"/>
        </w:rPr>
        <w:t xml:space="preserve">Additionally, Berube assumes that we have pure and direct knowledge of the meanings of a text. However, </w:t>
      </w:r>
      <w:r w:rsidRPr="00107E4B">
        <w:rPr>
          <w:rStyle w:val="Emphasis"/>
        </w:rPr>
        <w:t>in order to understand the meanings of a text we must interpret that text. When advocates speak, we inevitably interpret what they say. Meanings are found in the act of interpretation, and those meanings differ, at least slightly, between interpretations. There is virtually no text in a debate that can inspire one universally agreed upon interpretation</w:t>
      </w:r>
      <w:r w:rsidRPr="00107E4B">
        <w:rPr>
          <w:rFonts w:ascii="Times New Roman" w:eastAsia="Times New Roman" w:hAnsi="Times New Roman" w:cs="Times New Roman"/>
          <w:sz w:val="12"/>
        </w:rPr>
        <w:t xml:space="preserve">. As listeners and readers, we can never find ourselves at a point where the intentional, naive, and rogate meanings of a text are objectively transparent to us. Determining what questions a text invites requires interpreting the text, and these interpretations will vary, producing contrary readings of what questions may be asked of that text. There is no way to reconcile interpretations objectively. In order to evaluate competing interpretations, one would have to engage in precisely the critical textual analysis Berube attempts to foreclose. Since every interaction with a text is interpretive, Berube's objective standard for encountering a text never can be met. While opponents of critiques might be expected to position critiques outside of policy discussion, some advocates of critique arguments in debate have done the same. Many · critique proponents advance either the position that we should not consider ourselves policy analysts (Berube, "Kritiks" 21), or that critiques supersede policy questions (Bahm 76; Broda-Bahm and Murphy 21). These arguments unwittingly lend assistance to opponents of critiques by disconnecting critique arguments from policy discourse. Stepping outside the policy focus is not inviting to those who hold resolutely to a policy perspective; rationalist or otherwise. Rather, it makes it all the more difficult to recognize the unique role critique arguments can play in the enhancement of policy analysis and policy debate. Broda-Bahm probably has done more to popularize language critiques than any other theorist, but he clearly positions these arguments outside of policy deliberation. BrodaBahm and Thomas Murphy define a critique as "any argument which does not provide an answer to the resolutional question" (21). In this context, they refer to "the resolutional question" not merely as the resolution itself, but as the affirmative case which advocates it (31 n3). They make the same assumption often used as a premise against critiques, that we can and should separate policies from the language that advances them. Broda-Bahm separates policy and language by arguing that critiques do not answer substantive advocacy, but rather focus "more directly on the actual language practices of an opponent" (Bahrn 69). This is reinforced with attempts to give primacy to the "more immediate and more tangible" effects of language by claiming policy proposals to be fictions of debate rounds (Bahm 76). While positioning critiques outside of policy discourse is a common error amongst critique advocates, Shanahan is an exception. Much of Shanahan's essay is esoteric and philosophical, but he does recognize at least a potential for critiques to be a part of policy analysis. Making use of literature about development assistance, Shanahan considers "the possibility that the kritik is policy debate" (A8). Shanahan was nearest the mark when he claimed that "the kritik supplements, not supplants current debate practice" (A4). However, critique proponents have either ignored or simply reiterated these claims, and opponents of critique argumentation scoff at Shanahan's conception of policy analysis. Most likely, this is because Shanahan's theory is so deeply embedded in Heidegger's philosophy that it is difficult to read a policy focus beneath the existential vocabulary. This may also be because neither proponents nor opponents of critique argumentation have considered the policy studies literature that reinforces the need for critiques in policy discussions. </w:t>
      </w:r>
      <w:r w:rsidRPr="00107E4B">
        <w:rPr>
          <w:rStyle w:val="Emphasis"/>
        </w:rPr>
        <w:t>If one truly takes a policy perspective toward debate, one inevitably finds that critique argumentation is a necessary element of policy evaluation</w:t>
      </w:r>
      <w:r w:rsidRPr="00107E4B">
        <w:rPr>
          <w:rFonts w:ascii="Times New Roman" w:eastAsia="Times New Roman" w:hAnsi="Times New Roman" w:cs="Times New Roman"/>
          <w:sz w:val="12"/>
        </w:rPr>
        <w:t xml:space="preserve">. The impasse hence arises because opponents of critiques hold that the purpose of debate is to discuss policies exclusively, and assume that policy rationalism is the only mechanism debaters can use to do so. Many proponents of critiques maintain the impasse by arguing that critiques somehow supersede or exist outside of policy argumentation. The marginalization performed by both sides of this controversy disconnects </w:t>
      </w:r>
      <w:r w:rsidRPr="00107E4B">
        <w:rPr>
          <w:rFonts w:ascii="Times New Roman" w:eastAsia="Times New Roman" w:hAnsi="Times New Roman" w:cs="Times New Roman"/>
          <w:sz w:val="12"/>
        </w:rPr>
        <w:lastRenderedPageBreak/>
        <w:t xml:space="preserve">critique argumentation from politics, policy deliberation, and real world debates. </w:t>
      </w:r>
      <w:r w:rsidRPr="00107E4B">
        <w:rPr>
          <w:rStyle w:val="Emphasis"/>
        </w:rPr>
        <w:t>To move past the impasse and integrate critique argumentation and policy deliberation, we must reposition critiques within the spectrum of policy analysis.</w:t>
      </w:r>
    </w:p>
    <w:p w14:paraId="7A366EB7" w14:textId="77777777" w:rsidR="007E3D3F" w:rsidRPr="00107E4B" w:rsidRDefault="007E3D3F" w:rsidP="007E3D3F">
      <w:pPr>
        <w:pStyle w:val="Heading4"/>
      </w:pPr>
      <w:r w:rsidRPr="00107E4B">
        <w:t>The personal is political – critiques offer important world views on how structures demarcate violence and are important to teaching debaters how to engage in real world change.</w:t>
      </w:r>
    </w:p>
    <w:p w14:paraId="15425187" w14:textId="77777777" w:rsidR="007E3D3F" w:rsidRPr="00107E4B" w:rsidRDefault="007E3D3F" w:rsidP="007E3D3F">
      <w:pPr>
        <w:rPr>
          <w:rStyle w:val="Style13ptBold"/>
        </w:rPr>
      </w:pPr>
      <w:r w:rsidRPr="00107E4B">
        <w:rPr>
          <w:rStyle w:val="Style13ptBold"/>
        </w:rPr>
        <w:t>Gehrke 98</w:t>
      </w:r>
    </w:p>
    <w:p w14:paraId="2C3E6303" w14:textId="77777777" w:rsidR="007E3D3F" w:rsidRPr="00107E4B" w:rsidRDefault="007E3D3F" w:rsidP="007E3D3F">
      <w:pPr>
        <w:rPr>
          <w:rFonts w:ascii="Times New Roman" w:eastAsia="Times New Roman" w:hAnsi="Times New Roman" w:cs="Times New Roman"/>
        </w:rPr>
      </w:pPr>
      <w:r w:rsidRPr="00107E4B">
        <w:rPr>
          <w:rFonts w:ascii="Times New Roman" w:eastAsia="Times New Roman" w:hAnsi="Times New Roman" w:cs="Times New Roman"/>
        </w:rPr>
        <w:t>Gehrke, P.J. (1998). Critique Arguments as Policy Analysis: Policy Debate Beyond the Rationalist Perspective. Contemporary Argumentation and Debate, 19, 18-39.</w:t>
      </w:r>
    </w:p>
    <w:p w14:paraId="7069420E" w14:textId="77777777" w:rsidR="007E3D3F" w:rsidRPr="00107E4B" w:rsidRDefault="007E3D3F" w:rsidP="007E3D3F">
      <w:pPr>
        <w:rPr>
          <w:rStyle w:val="Emphasis"/>
        </w:rPr>
      </w:pPr>
      <w:r w:rsidRPr="00107E4B">
        <w:rPr>
          <w:sz w:val="14"/>
        </w:rPr>
        <w:t xml:space="preserve">Implications of Critiques as Policy Analysis These two views of </w:t>
      </w:r>
      <w:r w:rsidRPr="00107E4B">
        <w:rPr>
          <w:rStyle w:val="Emphasis"/>
        </w:rPr>
        <w:t>critique arguments</w:t>
      </w:r>
      <w:r w:rsidRPr="00107E4B">
        <w:rPr>
          <w:sz w:val="14"/>
        </w:rPr>
        <w:t xml:space="preserve"> -- critiques as policy criteria and critiques as interpretive policy analysis -- </w:t>
      </w:r>
      <w:r w:rsidRPr="00107E4B">
        <w:rPr>
          <w:rStyle w:val="Emphasis"/>
        </w:rPr>
        <w:t>expand our conceptions of policy debate by demonstrating the roles of critiques in policy discourse.</w:t>
      </w:r>
      <w:r w:rsidRPr="00107E4B">
        <w:rPr>
          <w:sz w:val="14"/>
        </w:rPr>
        <w:t xml:space="preserve"> Some may find the implications of these views uncomfortable. Policy analysis critiques should not replace all other theories of critique argumentation or methods of policy analysis. Rather, this theory expands the ways that we can think about and discuss policies. Any debater, theorist, coach, or critic who advocates a policy fOCllS has little theoretical basis from which to exclude critique argumentation from their decision making process. The further one entrenches oneself in the policy literature the more necessary critiques become. Time is always at a premium in debate rounds, and debaters may already feel they are dealing with too many issues. However, we should remember that there was a time when debates moved, in general, much slower and included a justification of decision criteria in the affirmative case in addition to the requisite policy evaluation. Constrained by time, some debates will focus more on policy instrumentalities, some more on competing values, and" some more on communicative implications. This is simply a reflection of the fact that </w:t>
      </w:r>
      <w:r w:rsidRPr="00107E4B">
        <w:rPr>
          <w:rStyle w:val="Emphasis"/>
        </w:rPr>
        <w:t>the art of policy analysis "lies in realizing when inadequate data or social values other than efficiency make the narrow benefit-cost approach inappropriate"</w:t>
      </w:r>
      <w:r w:rsidRPr="00107E4B">
        <w:rPr>
          <w:sz w:val="14"/>
        </w:rPr>
        <w:t xml:space="preserve"> (Weimer and Vining 311). </w:t>
      </w:r>
      <w:r w:rsidRPr="00107E4B">
        <w:rPr>
          <w:rStyle w:val="Emphasis"/>
        </w:rPr>
        <w:t xml:space="preserve">Critiques enhance our current model of policy discourse and can improve our ability to perform policy evaluation and advocacy. </w:t>
      </w:r>
      <w:r w:rsidRPr="00107E4B">
        <w:rPr>
          <w:sz w:val="14"/>
        </w:rPr>
        <w:t xml:space="preserve">A caveat here must be that viewing critiques as a dimension of policy analysis does not seem to provide a model from which we may comfortably evaluate arguments that critique the policy focus. Arguments that question the project of policy making may be ill-suited to the perspective of critiques as policy analysis. We should not indict or reject critiques that we can not frame as policy analysis. Rather, these positions simply must ground their relationship to policy advocacy in something other than the models outlined here. However, the vast majority of critiques do not break with the assumption that we are debating about what we should do. </w:t>
      </w:r>
      <w:r w:rsidRPr="00107E4B">
        <w:rPr>
          <w:rStyle w:val="Emphasis"/>
        </w:rPr>
        <w:t xml:space="preserve">Whether one critiques patriarchy, statism, legal objectivism, modernism, essentialist ontology, democracy, capitalism, or a host of other subjects, these arguments most often attempt to shape our actions -- our personal, social, and political policies. </w:t>
      </w:r>
      <w:r w:rsidRPr="00107E4B">
        <w:rPr>
          <w:sz w:val="14"/>
        </w:rPr>
        <w:t xml:space="preserve">Repositioning critiques within the realm of policy analysis provides an opportunity to overturn some common assumptions about critiques found in claims made by both proponents and opponents of critique argumentation. Perhaps most disturbing to some is that incorporating critiques into policy analysis revokes their status as a priori issues. However, we should resist so privileging any argument form. Placing critiques before all other arguments generates a structure that stultifies and stagnates the critical investigation of issues. Instead, we should place specific arguments in contingent hierarchies for the purpose of evaluation in a particular debate. Critiques are additional methodologies for discussing our shared world and shared action -- the realm of policy debate. Hence, the implications of a particular critique for a particular decision should be grounded in the particular arguments advanced in that particular debate. Accepting critiques as a part of policy analysis may help us to redefine the relationship between debate and politics. </w:t>
      </w:r>
      <w:r w:rsidRPr="00107E4B">
        <w:rPr>
          <w:rStyle w:val="Emphasis"/>
        </w:rPr>
        <w:t>Even the most radically esoteric critique arguments may be deeply political, and positioning critiques as policy analysis asks us to think of ourselves as policy analysts and policy makers</w:t>
      </w:r>
      <w:r w:rsidRPr="00107E4B">
        <w:rPr>
          <w:sz w:val="14"/>
        </w:rPr>
        <w:t xml:space="preserve">. This very proposition politicizes debate and revives the reality of the debate forum. </w:t>
      </w:r>
      <w:r w:rsidRPr="00107E4B">
        <w:rPr>
          <w:rStyle w:val="Emphasis"/>
        </w:rPr>
        <w:t>Thinking of debate and critiques as policy advocacy, policy analysis, and pol icy making explodes the distinction between debate and the "real world" by erasing the fictionality of debate rounds. Once debaters and critics recognize themselves as real citizen/policy makers rather than imagined governmental bodies, they will find it more difficult to exclude values, ethics, and morals from their decisions</w:t>
      </w:r>
      <w:r w:rsidRPr="00107E4B">
        <w:rPr>
          <w:sz w:val="14"/>
        </w:rPr>
        <w:t xml:space="preserve">. Critique opponents may argue this personalizes the politics of debate, making decisions more arbitrary or dependent upon a critic's subjective value system. We might more accurately say that it uncovers politics. If the policy theorists and. analysts discussed here are correct, then the rationalist model is no less political or personal; rationalism merely denies and masks its political and personal biases. In attempting to maintain the rationalist position, a body of value hierarchies and epistemological assumptions are enforced as given truths. Toppling the hegemony of the rationalist paradigm has the ' pleasant side effect of unmasking the non-rational and emotional bases for decisions made under the guise of the rationalist model. Debaters and critics will need to struggle with how these issues can be adjudicated in a debate round. Considering critiques as substantive issues removes the easy hierarchy of issues that gave critique arguments their trump status, and will require that critics and debaters develop more sophisticated practices of comparison and evaluation. Non-policy theorists such as Zarefsky may provide some guidance, but much work will have to be done in the debate rounds. For value </w:t>
      </w:r>
      <w:r w:rsidRPr="00107E4B">
        <w:rPr>
          <w:sz w:val="14"/>
        </w:rPr>
        <w:lastRenderedPageBreak/>
        <w:t>critiques, debaters might advance both a criteria for the adjudication of the issues at hand, and a value hierarchy that helps to place the competing values in the debate in relation to one another. Language and advocacy arguments might be advanced as substantive issues in a debate when a team argues that the critic, as a citizen/policy maker, should not specifically endorse the other team's advocacy. This could be as philosophical as a moral obligation to not engage in or endorse particular communicative behaviors, or as instrumental as a discussion of the implications of advocacy for policy implementation and interpretation. Executive and judicial bodies often interpret policies based upon the advocacy that advanced them. This is especially apparent in judicial attempts to interpret international treaties (Bederman 972-976; Koh 343). Solt may have provided grounds for language and advocacy arguments as substantive issues within the policy frame: "</w:t>
      </w:r>
      <w:r w:rsidRPr="00107E4B">
        <w:rPr>
          <w:rStyle w:val="Emphasis"/>
        </w:rPr>
        <w:t>If language is so abused that the integrity of the debate process has been undermined, then it probably should be a voting issue</w:t>
      </w:r>
      <w:r w:rsidRPr="00107E4B">
        <w:rPr>
          <w:sz w:val="14"/>
        </w:rPr>
        <w:t xml:space="preserve">" ("Demystifying" A I 0). If a citizen/policy maker feels that the language choices have impeded effective GEHRKE 35 consideration of the issues, they may opt simply to reject the proposal of the offending party. Solt's argument against critiques is that such abuses are uncommon in debate. This is not a criticism of the theoretical legitimacy of language critiques, but rather questions the common practice of relying upon tenuous links between arguments. </w:t>
      </w:r>
      <w:r w:rsidRPr="00107E4B">
        <w:rPr>
          <w:rStyle w:val="Emphasis"/>
        </w:rPr>
        <w:t>Ethics violations or critiques</w:t>
      </w:r>
      <w:r w:rsidRPr="00107E4B">
        <w:rPr>
          <w:sz w:val="14"/>
        </w:rPr>
        <w:t xml:space="preserve"> that are equivalent to "calling fouls" in the debate "game" </w:t>
      </w:r>
      <w:r w:rsidRPr="00107E4B">
        <w:rPr>
          <w:rStyle w:val="Emphasis"/>
        </w:rPr>
        <w:t>could also be reconsidered as substantive reasons why a citizen should not endorse a particular advocacy</w:t>
      </w:r>
      <w:r w:rsidRPr="00107E4B">
        <w:rPr>
          <w:sz w:val="14"/>
        </w:rPr>
        <w:t xml:space="preserve">. </w:t>
      </w:r>
      <w:r w:rsidRPr="00107E4B">
        <w:rPr>
          <w:rStyle w:val="Emphasis"/>
        </w:rPr>
        <w:t xml:space="preserve">Ethics violations question the reliability and character of the debaters, as weIl as all of their arg·umentation. Politically these are powerful arguments. In debate, we often remove them from the realm of debatable propositions in favor of having critics or tournament administrators adjudicate them independently. In politics they are openly discussed and debated and result in political ramifications for propositions, policies, and advocates long before any judicial body mandates criminal or civil penalty. If one can adequately convince a citizen/policy maker that an advocate of a proposition is lying, it is unlikely that the citizen/policy maker wiIl entertain many of the arguments of that advocate. </w:t>
      </w:r>
      <w:r w:rsidRPr="00107E4B">
        <w:rPr>
          <w:sz w:val="14"/>
        </w:rPr>
        <w:t xml:space="preserve">Of course, reconsidering critiques as policy analysis is not an unassailable proposition, and it may be subject to criticism for its focus on academic policy literature. The theorists discussed here include policy analysts and advocates from the RAND Corporation and the Cato Institute, and a variety of policy analysis educators and scholars. Their work does not comprise the entirety of perspectives on policy analysis, and there are many in the policy field who take issue with their positions. However, Dan Durning and Will Osuna do provide a quantitative analysis of the perspectives of working policy analysts. They conclude not only that most policy analysts are not objective technicians, but also that the majority of policy analysts recognize that no policy problem has a single right solution. AdditionaIly, the majority of analysts do not believe that a single unified theory of policy analysis can explain or solve all policy situations (649). It could also be claimed that the model of critiques as policy analysis is unrealistic in terms of what a policy analyst must do, which is to convince a client to foIlow their advice. While the rational policy model may manifest hegemony in academic debate, such is not always the case in policy analysis. Consider some advice from Weimer and Vining: "Sometimes doing good simply requires analysts to advise their clients to forgo some current popularity or success to achieve some important value. You are doing exceptionaIly well when you can convince your client to accept such advice" (408). 36 CONTEMPORARY ARGUMENTATION AND DEBATE Just as Weimer and Vining seek to ensure that the training of policy analysts considers perspectives other than policy rationalism, so must we as debate educators and critics ask ourselves if </w:t>
      </w:r>
      <w:r w:rsidRPr="00107E4B">
        <w:rPr>
          <w:rStyle w:val="Emphasis"/>
        </w:rPr>
        <w:t>limiting academic debate to a rationalist perspective pays too high a price in the values it sacrifices and messages it sends.</w:t>
      </w:r>
      <w:r w:rsidRPr="00107E4B">
        <w:rPr>
          <w:sz w:val="14"/>
        </w:rPr>
        <w:t xml:space="preserve"> </w:t>
      </w:r>
      <w:r w:rsidRPr="00107E4B">
        <w:rPr>
          <w:rStyle w:val="Emphasis"/>
        </w:rPr>
        <w:t>If policy debate is to train better citizens and political activists, then we must consider the inclusion of value arguments critical to this education.</w:t>
      </w:r>
      <w:r w:rsidRPr="00107E4B">
        <w:rPr>
          <w:sz w:val="14"/>
        </w:rPr>
        <w:t xml:space="preserve"> Political deliberation rarely relies solely upon instrumental rationality. Even given the tendency of some policy analysts to take a predominantly instrumental perspective, the inclusion of nonnative value claims is prerequisite to a meaningful and compelling justification or dejustification of a policy. Policy rationalism fails for the same reason Brownlee and Crossman specifically indicted cost-benefit analysis: "In the attempt to replace consent with reason, [it] typically omits vital steps in the debate over values" (I). Arguments focused upon value systems are a much-needed corrective to the weaknesses of the rationalist policy paradigm (Anderson 31). </w:t>
      </w:r>
      <w:r w:rsidRPr="00107E4B">
        <w:rPr>
          <w:rStyle w:val="Emphasis"/>
        </w:rPr>
        <w:t xml:space="preserve">In academic debate, it is critical that the training and experience of the students, coaches, and critics include the consideration and evaluation of competing value claims. </w:t>
      </w:r>
      <w:r w:rsidRPr="00107E4B">
        <w:rPr>
          <w:sz w:val="14"/>
        </w:rPr>
        <w:t xml:space="preserve">Value conflicts are increasingly central to politics in the United States. Brownlee and Crossman note that conflicts between constituencies over regulatory or redistributive policies are usually centered around "the absence of a common set of value priorities" (I). </w:t>
      </w:r>
      <w:r w:rsidRPr="00107E4B">
        <w:rPr>
          <w:rStyle w:val="Emphasis"/>
        </w:rPr>
        <w:t>If debaters, after spending hundreds of hours in the activity, are left with the impression that decision making only entails considerations of instrumentalities within the bounds of fonnal rules or ethical guides, academic debate will be responsible for proliferating amoral and value ignorant policy advocates, and citizens who are ill-equipped to cope with the valueladen issues of contemporary politics.</w:t>
      </w:r>
    </w:p>
    <w:p w14:paraId="1117F65E" w14:textId="77777777" w:rsidR="007E3D3F" w:rsidRPr="00107E4B" w:rsidRDefault="007E3D3F" w:rsidP="007E3D3F">
      <w:pPr>
        <w:pStyle w:val="Heading2"/>
      </w:pPr>
      <w:r w:rsidRPr="00107E4B">
        <w:lastRenderedPageBreak/>
        <w:t>AT: SSD</w:t>
      </w:r>
    </w:p>
    <w:p w14:paraId="5F53418C" w14:textId="77777777" w:rsidR="007E3D3F" w:rsidRPr="00107E4B" w:rsidRDefault="007E3D3F" w:rsidP="007E3D3F">
      <w:pPr>
        <w:pStyle w:val="Heading4"/>
        <w:rPr>
          <w:rStyle w:val="Emphasis"/>
          <w:b/>
          <w:iCs/>
          <w:u w:val="none"/>
        </w:rPr>
      </w:pPr>
      <w:r w:rsidRPr="00107E4B">
        <w:t xml:space="preserve">SSD doesn’t solve the impacts of framework- the process of the topic decision itself  is rooted in traditional pedagogy </w:t>
      </w:r>
    </w:p>
    <w:p w14:paraId="18068A0E" w14:textId="77777777" w:rsidR="007E3D3F" w:rsidRPr="00107E4B" w:rsidRDefault="007E3D3F" w:rsidP="007E3D3F">
      <w:pPr>
        <w:rPr>
          <w:rFonts w:ascii="Times New Roman" w:eastAsia="Times New Roman" w:hAnsi="Times New Roman" w:cs="Times New Roman"/>
        </w:rPr>
      </w:pPr>
      <w:r w:rsidRPr="00107E4B">
        <w:rPr>
          <w:rFonts w:ascii="Times New Roman" w:eastAsia="Times New Roman" w:hAnsi="Times New Roman" w:cs="Times New Roman"/>
        </w:rPr>
        <w:t>Dillard-Knox 2014 (Tiffany Yvonne, "Against the grain : the challenges of black discourse within intercollegiate policy debate." (2014). Electronic Theses and Dissertations. Paper 2161.)</w:t>
      </w:r>
    </w:p>
    <w:p w14:paraId="4DEAE7AB" w14:textId="77777777" w:rsidR="007E3D3F" w:rsidRPr="00107E4B" w:rsidRDefault="007E3D3F" w:rsidP="007E3D3F">
      <w:pPr>
        <w:rPr>
          <w:rFonts w:ascii="Times New Roman" w:eastAsia="Times New Roman" w:hAnsi="Times New Roman" w:cs="Times New Roman"/>
          <w:sz w:val="16"/>
        </w:rPr>
      </w:pPr>
      <w:r w:rsidRPr="00107E4B">
        <w:rPr>
          <w:rStyle w:val="Emphasis"/>
        </w:rPr>
        <w:t xml:space="preserve">The biggest defense for the set prescriptive rubric for debating the topic is </w:t>
      </w:r>
      <w:r w:rsidRPr="00107E4B">
        <w:rPr>
          <w:rFonts w:ascii="Times New Roman" w:eastAsia="Times New Roman" w:hAnsi="Times New Roman" w:cs="Times New Roman"/>
          <w:sz w:val="16"/>
        </w:rPr>
        <w:t xml:space="preserve">the theory of </w:t>
      </w:r>
      <w:r w:rsidRPr="00107E4B">
        <w:rPr>
          <w:rStyle w:val="Emphasis"/>
        </w:rPr>
        <w:t>switch-side debate (SSD).</w:t>
      </w:r>
      <w:r w:rsidRPr="00107E4B">
        <w:rPr>
          <w:rFonts w:ascii="Times New Roman" w:eastAsia="Times New Roman" w:hAnsi="Times New Roman" w:cs="Times New Roman"/>
          <w:sz w:val="16"/>
        </w:rPr>
        <w:t xml:space="preserve"> According to Casey Harrigan (2008) that rubric ―requires students to argue both for and against a given topic during the course of a season. As part of this process, it has been generally accepted that student debaters are allowed, if not encouraged, to ‗step outside of the box‘ and gain additional insight into controversial issues during contest rounds by arguing on the behalf of positions that they 68 do not personally hold (p. 37).‖ Aside from the fact that </w:t>
      </w:r>
      <w:r w:rsidRPr="00107E4B">
        <w:rPr>
          <w:rStyle w:val="Emphasis"/>
        </w:rPr>
        <w:t>SSD does not account for difference in discoursal styles,</w:t>
      </w:r>
      <w:r w:rsidRPr="00107E4B">
        <w:rPr>
          <w:rFonts w:ascii="Times New Roman" w:eastAsia="Times New Roman" w:hAnsi="Times New Roman" w:cs="Times New Roman"/>
          <w:sz w:val="16"/>
        </w:rPr>
        <w:t xml:space="preserve"> </w:t>
      </w:r>
      <w:r w:rsidRPr="00107E4B">
        <w:rPr>
          <w:rStyle w:val="Emphasis"/>
        </w:rPr>
        <w:t>there are a couple of other reasons that SSD does not account for difference. The premise behind the benefits of SSD is that this format encourages debaters to argue on behalf of positions that they do not personally hold; allowing for pragmatic, pedagogical, and social benefits. In theory, SSD is productive and beneficial.</w:t>
      </w:r>
      <w:r w:rsidRPr="00107E4B">
        <w:rPr>
          <w:rFonts w:ascii="Times New Roman" w:eastAsia="Times New Roman" w:hAnsi="Times New Roman" w:cs="Times New Roman"/>
          <w:sz w:val="16"/>
        </w:rPr>
        <w:t xml:space="preserve"> However, </w:t>
      </w:r>
      <w:r w:rsidRPr="00107E4B">
        <w:rPr>
          <w:rStyle w:val="Emphasis"/>
        </w:rPr>
        <w:t>the way that the topic is constructed limits the pedagogical and social possibilities of SSD.</w:t>
      </w:r>
      <w:r w:rsidRPr="00107E4B">
        <w:rPr>
          <w:rFonts w:ascii="Times New Roman" w:eastAsia="Times New Roman" w:hAnsi="Times New Roman" w:cs="Times New Roman"/>
          <w:sz w:val="16"/>
        </w:rPr>
        <w:t xml:space="preserve"> </w:t>
      </w:r>
      <w:r w:rsidRPr="00107E4B">
        <w:rPr>
          <w:rStyle w:val="Emphasis"/>
        </w:rPr>
        <w:t>Understanding the process of topic selection is a pre-requisite for examining the implications of topic construction</w:t>
      </w:r>
      <w:r w:rsidRPr="00107E4B">
        <w:rPr>
          <w:rFonts w:ascii="Times New Roman" w:eastAsia="Times New Roman" w:hAnsi="Times New Roman" w:cs="Times New Roman"/>
          <w:sz w:val="16"/>
        </w:rPr>
        <w:t xml:space="preserve"> on the benefits of SSD. </w:t>
      </w:r>
      <w:r w:rsidRPr="00107E4B">
        <w:rPr>
          <w:rStyle w:val="Emphasis"/>
        </w:rPr>
        <w:t>The topic selection process occurs in several stages.</w:t>
      </w:r>
      <w:r w:rsidRPr="00107E4B">
        <w:rPr>
          <w:rFonts w:ascii="Times New Roman" w:eastAsia="Times New Roman" w:hAnsi="Times New Roman" w:cs="Times New Roman"/>
          <w:sz w:val="16"/>
        </w:rPr>
        <w:t xml:space="preserve"> The first stage is an open call for papers, where any member of the community can submit a controversy paper. According to the CEDA National website, </w:t>
      </w:r>
      <w:r w:rsidRPr="00107E4B">
        <w:rPr>
          <w:rStyle w:val="StyleUnderline"/>
        </w:rPr>
        <w:t>the goal of this stage of the process is to develop papers that outline the 'problem areas' involved with a public policy controversy and provide some guidance as to how such a topic might develop.</w:t>
      </w:r>
      <w:r w:rsidRPr="00107E4B">
        <w:rPr>
          <w:rFonts w:ascii="Times New Roman" w:eastAsia="Times New Roman" w:hAnsi="Times New Roman" w:cs="Times New Roman"/>
          <w:sz w:val="16"/>
        </w:rPr>
        <w:t xml:space="preserve"> A controversy paper is then selected by a mail ballot of all CEDA member schools. During the second stage the selected controversy is researched with an interest in developing the possible specific propositions (or resolutions) for the coming season in the form of wording papers. The committee and community will both be invited to prepare such wording papers. Finally </w:t>
      </w:r>
      <w:r w:rsidRPr="00107E4B">
        <w:rPr>
          <w:rStyle w:val="Emphasis"/>
        </w:rPr>
        <w:t>there is a topic meeting</w:t>
      </w:r>
      <w:r w:rsidRPr="00107E4B">
        <w:rPr>
          <w:rFonts w:ascii="Times New Roman" w:eastAsia="Times New Roman" w:hAnsi="Times New Roman" w:cs="Times New Roman"/>
          <w:sz w:val="16"/>
        </w:rPr>
        <w:t xml:space="preserve">, open to the membership, to finalize the slate of specific propositions </w:t>
      </w:r>
      <w:r w:rsidRPr="00107E4B">
        <w:rPr>
          <w:rStyle w:val="Emphasis"/>
        </w:rPr>
        <w:t>to be voted on by all of the CEDA member schools.</w:t>
      </w:r>
      <w:r w:rsidRPr="00107E4B">
        <w:rPr>
          <w:rFonts w:ascii="Times New Roman" w:eastAsia="Times New Roman" w:hAnsi="Times New Roman" w:cs="Times New Roman"/>
          <w:sz w:val="16"/>
        </w:rPr>
        <w:t xml:space="preserve"> On face, this is a neutral process that allows for all of the CEDA membership to have an ―equal‖ voice in the process of topic selection. Unfortunately, </w:t>
      </w:r>
      <w:r w:rsidRPr="00107E4B">
        <w:rPr>
          <w:rStyle w:val="Emphasis"/>
        </w:rPr>
        <w:t>the break down occurs at the level of the voting, much like in the larger ―democratic‖ society. Voting 69 becomes a numbers game whereas, the majority has voting power</w:t>
      </w:r>
      <w:r w:rsidRPr="00107E4B">
        <w:rPr>
          <w:rFonts w:ascii="Times New Roman" w:eastAsia="Times New Roman" w:hAnsi="Times New Roman" w:cs="Times New Roman"/>
          <w:sz w:val="16"/>
        </w:rPr>
        <w:t xml:space="preserve">. While this is true of any democratic voting process, </w:t>
      </w:r>
      <w:r w:rsidRPr="00107E4B">
        <w:rPr>
          <w:rStyle w:val="Emphasis"/>
        </w:rPr>
        <w:t>the ability to maintain a majority has historically advantaged traditional debaters and coaches. Thus the language of the topic has been constructed in ways that reinforce the pedagogical and social values of traditional debate.</w:t>
      </w:r>
      <w:r w:rsidRPr="00107E4B">
        <w:rPr>
          <w:rFonts w:ascii="Times New Roman" w:eastAsia="Times New Roman" w:hAnsi="Times New Roman" w:cs="Times New Roman"/>
          <w:sz w:val="16"/>
        </w:rPr>
        <w:t xml:space="preserve"> At the heart of the arguments in favor of or against SSD lies the topic.</w:t>
      </w:r>
    </w:p>
    <w:p w14:paraId="47C667E2" w14:textId="77777777" w:rsidR="007E3D3F" w:rsidRPr="00107E4B" w:rsidRDefault="007E3D3F" w:rsidP="007E3D3F">
      <w:pPr>
        <w:pStyle w:val="Heading2"/>
      </w:pPr>
      <w:r w:rsidRPr="00107E4B">
        <w:lastRenderedPageBreak/>
        <w:t xml:space="preserve">Dettatchment Turn </w:t>
      </w:r>
    </w:p>
    <w:p w14:paraId="218C1DFF" w14:textId="77777777" w:rsidR="007E3D3F" w:rsidRPr="00107E4B" w:rsidRDefault="007E3D3F" w:rsidP="007E3D3F">
      <w:pPr>
        <w:pStyle w:val="Heading4"/>
      </w:pPr>
      <w:r w:rsidRPr="00107E4B">
        <w:t xml:space="preserve">The aff attempts to mimic the needs and cries of the oppressed, inserting the states agenda in the places of a meaningful engagement and inclusion of the perspectives immigrant people. Failure to begin analysis from the experiences of the oppressed replicates the same impacts the aff seeks to avoid. </w:t>
      </w:r>
    </w:p>
    <w:p w14:paraId="176791C3" w14:textId="77777777" w:rsidR="007E3D3F" w:rsidRPr="00107E4B" w:rsidRDefault="007E3D3F" w:rsidP="007E3D3F">
      <w:pPr>
        <w:shd w:val="clear" w:color="auto" w:fill="FFFFFF"/>
        <w:rPr>
          <w:rFonts w:ascii="Arial" w:eastAsia="Times New Roman" w:hAnsi="Arial" w:cs="Arial"/>
          <w:color w:val="222222"/>
          <w:sz w:val="20"/>
          <w:szCs w:val="20"/>
        </w:rPr>
      </w:pPr>
      <w:r w:rsidRPr="00107E4B">
        <w:rPr>
          <w:rFonts w:ascii="Arial" w:eastAsia="Times New Roman" w:hAnsi="Arial" w:cs="Arial"/>
          <w:color w:val="222222"/>
          <w:sz w:val="20"/>
          <w:szCs w:val="20"/>
        </w:rPr>
        <w:t xml:space="preserve"> (Brent R. Henze, 2000, Associate Prof of Communication at East Carolina University, </w:t>
      </w:r>
      <w:r w:rsidRPr="00107E4B">
        <w:rPr>
          <w:rFonts w:ascii="Arial" w:eastAsia="Times New Roman" w:hAnsi="Arial" w:cs="Arial"/>
          <w:i/>
          <w:iCs/>
          <w:color w:val="222222"/>
          <w:sz w:val="20"/>
          <w:szCs w:val="20"/>
        </w:rPr>
        <w:t>Who Says Who Says? The Epistemological Grounds for Agency in Liberatory Political Projects</w:t>
      </w:r>
      <w:r w:rsidRPr="00107E4B">
        <w:rPr>
          <w:rFonts w:ascii="Arial" w:eastAsia="Times New Roman" w:hAnsi="Arial" w:cs="Arial"/>
          <w:color w:val="222222"/>
          <w:sz w:val="20"/>
          <w:szCs w:val="20"/>
        </w:rPr>
        <w:t>, p. 246-247)</w:t>
      </w:r>
    </w:p>
    <w:p w14:paraId="7B4F9C4F" w14:textId="77777777" w:rsidR="007E3D3F" w:rsidRPr="00107E4B" w:rsidRDefault="007E3D3F" w:rsidP="007E3D3F">
      <w:pPr>
        <w:shd w:val="clear" w:color="auto" w:fill="FFFFFF"/>
        <w:rPr>
          <w:rStyle w:val="StyleUnderline"/>
        </w:rPr>
      </w:pPr>
      <w:r w:rsidRPr="00107E4B">
        <w:rPr>
          <w:rStyle w:val="StyleUnderline"/>
        </w:rPr>
        <w:t>Though I argue against efforts to speak for those otherwise able to produce and enact liberatory agendas for themselves,¶ “starting off thought” from the lives of the oppressed is useful for grounding the knowledge of outsiders¶ seeking to understand their own complex relations to systems of oppression. Outsiders cannot simply¶ investigate the effects of oppressive power structures in their own lives;</w:t>
      </w:r>
      <w:r w:rsidRPr="00107E4B">
        <w:rPr>
          <w:rFonts w:ascii="Arial" w:eastAsia="Times New Roman" w:hAnsi="Arial" w:cs="Arial"/>
          <w:bCs/>
          <w:color w:val="222222"/>
          <w:sz w:val="12"/>
          <w:szCs w:val="12"/>
        </w:rPr>
        <w:t xml:space="preserve"> on the contrary, their relationships to¶ the oppressed require them to understand systems of oppression from the perspective of the oppressed,¶ producing a less partial awareness of matrices of power, as well as their specific relationships with those¶ matrices (including the broader implications of their experiences of enablement). Only by becoming conscious of the¶ experiences of the garment worker can I properly understand my contribution to the power structure that¶ incongruously yields me a T-shirt and yields the laborer a penny on every dollar I spend. Without working to¶ understand her perspective, my own partial perspective is ineffectual. But by supplementing my perspective¶ with hers, I am enabled to make better-informed choices about my own actions—actions that resist or¶ contribute to the oppression that I may only witness secondhand. Hence </w:t>
      </w:r>
      <w:r w:rsidRPr="00107E4B">
        <w:rPr>
          <w:rStyle w:val="StyleUnderline"/>
        </w:rPr>
        <w:t>the first result of this approach is a more¶ suitable platform from which to understand and manage the effects of our own actions as they feed into and are shaped by¶ systems of power that oppress others. Instead of seeing our activity simply as a kind of transaction between ourselves and¶ a system of power (which we may manipulate to our benefit), we may become better able to understand the effects of our¶ involvement in relation to the involvement of others. In other words, the standpoint of the oppressed is necessary to¶ manage our own involvement with systems of oppression so as most effectively to combat oppression as a¶ systemic yet particular effect of power.7¶</w:t>
      </w:r>
    </w:p>
    <w:p w14:paraId="382C84ED" w14:textId="77777777" w:rsidR="007E3D3F" w:rsidRPr="00107E4B" w:rsidRDefault="007E3D3F" w:rsidP="007E3D3F">
      <w:pPr>
        <w:shd w:val="clear" w:color="auto" w:fill="FFFFFF"/>
        <w:rPr>
          <w:rFonts w:ascii="Arial" w:eastAsia="Times New Roman" w:hAnsi="Arial" w:cs="Arial"/>
          <w:b/>
          <w:bCs/>
          <w:color w:val="222222"/>
          <w:sz w:val="12"/>
          <w:szCs w:val="12"/>
        </w:rPr>
      </w:pPr>
    </w:p>
    <w:p w14:paraId="1EF44640" w14:textId="77777777" w:rsidR="007E3D3F" w:rsidRPr="00107E4B" w:rsidRDefault="007E3D3F" w:rsidP="007E3D3F">
      <w:pPr>
        <w:pStyle w:val="Heading4"/>
      </w:pPr>
      <w:r w:rsidRPr="00107E4B">
        <w:t xml:space="preserve">The use of the victim narrative reifies the distinction between perpetrator and victim which entrenches the problems of the squo </w:t>
      </w:r>
    </w:p>
    <w:p w14:paraId="1C37CA09" w14:textId="77777777" w:rsidR="007E3D3F" w:rsidRPr="00107E4B" w:rsidRDefault="007E3D3F" w:rsidP="007E3D3F">
      <w:pPr>
        <w:rPr>
          <w:rStyle w:val="StyleUnderline"/>
          <w:rFonts w:eastAsia="Calibri" w:cs="Calibri"/>
          <w:u w:val="none"/>
        </w:rPr>
      </w:pPr>
      <w:r w:rsidRPr="00107E4B">
        <w:rPr>
          <w:rStyle w:val="Heading4Char"/>
        </w:rPr>
        <w:t>Sharpless 16</w:t>
      </w:r>
      <w:r w:rsidRPr="00107E4B">
        <w:rPr>
          <w:rFonts w:eastAsia="Calibri" w:cs="Calibri"/>
        </w:rPr>
        <w:t xml:space="preserve"> – (Sharpless, Rebecca, 'Immigrants Are Not Criminals': Respectability, Immigration Reform, and Hyperincarceration. 53 Houston Law Review 691 (2016). Available at SSRN: </w:t>
      </w:r>
      <w:hyperlink r:id="rId5" w:history="1">
        <w:r w:rsidRPr="00107E4B">
          <w:rPr>
            <w:rStyle w:val="Hyperlink"/>
            <w:rFonts w:eastAsia="Calibri" w:cs="Calibri"/>
          </w:rPr>
          <w:t>https://ssrn.com/abstract=2589664</w:t>
        </w:r>
      </w:hyperlink>
      <w:r w:rsidRPr="00107E4B">
        <w:rPr>
          <w:rStyle w:val="Hyperlink"/>
          <w:rFonts w:eastAsia="Calibri" w:cs="Calibri"/>
        </w:rPr>
        <w:t>)</w:t>
      </w:r>
      <w:r w:rsidRPr="00107E4B">
        <w:rPr>
          <w:rFonts w:eastAsia="Calibri" w:cs="Calibri"/>
        </w:rPr>
        <w:t xml:space="preserve"> //AA</w:t>
      </w:r>
    </w:p>
    <w:p w14:paraId="234E8B5F" w14:textId="77777777" w:rsidR="007E3D3F" w:rsidRPr="00107E4B" w:rsidRDefault="007E3D3F" w:rsidP="007E3D3F">
      <w:pPr>
        <w:rPr>
          <w:rStyle w:val="StyleUnderline"/>
        </w:rPr>
      </w:pPr>
      <w:r w:rsidRPr="00107E4B">
        <w:rPr>
          <w:rStyle w:val="StyleUnderline"/>
        </w:rPr>
        <w:t>Reframing immigration reform discourse requires careful attention to the labeling of certain classes of immigrants as victims or innocents</w:t>
      </w:r>
      <w:r w:rsidRPr="00107E4B">
        <w:rPr>
          <w:sz w:val="16"/>
        </w:rPr>
        <w:t xml:space="preserve">. In parallel to the rise in punitiveness that started in the 1970s, the crime victim has "emerge [d] as an idealized political subject." 32 5 </w:t>
      </w:r>
      <w:r w:rsidRPr="00107E4B">
        <w:rPr>
          <w:rStyle w:val="StyleUnderline"/>
        </w:rPr>
        <w:t>The immigrant-as-victim narrative is potent, enabling powerful messaging that has resulted in entire new categories of immigration remedies.</w:t>
      </w:r>
      <w:r w:rsidRPr="00107E4B">
        <w:rPr>
          <w:sz w:val="16"/>
        </w:rPr>
        <w:t xml:space="preserve"> 326 </w:t>
      </w:r>
      <w:r w:rsidRPr="00107E4B">
        <w:rPr>
          <w:rStyle w:val="StyleUnderline"/>
        </w:rPr>
        <w:t xml:space="preserve">The most prominent example is the broad set of remedies for immigrant victims of violent crimes, including intimate partner violence. </w:t>
      </w:r>
      <w:r w:rsidRPr="00107E4B">
        <w:rPr>
          <w:sz w:val="16"/>
        </w:rPr>
        <w:t xml:space="preserve">327 The crime victim legislative gains have been so significant that advocates now routinely screen 324. See Weissman, supra note 2, at 202-03 (discussing the need "to shift the narrative [to] address [ the larger context for drug cartel violence and the root causes of migration"). 325. SIMON, supra note 31, at 8. For a discussion of the movement against gender violence's "appeal[] to the ideology of the 'deserving poor' and the 'victim,"' see Mark Matthew Graham, Domestic Violence Victims and Welfare "Reform" The Family Violence Option in Illinois, 5 J. GENDER RACE &amp; JUST. 433, 470 (2002) (citing LINDA GORDON, PITIED BUT NOT ENTITLED: SINGLE MOTHERS AND THE HISTORY OF WELFARE 1890-1935 (1994)); see also id. at 476 (discussing advocates who lobby on behalf of abused women utilizing the "deserving poor" and "victim" rhetoric, and how this is damaging to the societal image of abused women). 326. See Michael Kagan, Immigrant Victims, Immigrant Accusers, 48 U. MICH. J.L. REFORM 915, 922-25 (2015) (discussing immigration remedies for victims of crime). 327. See, e.g., </w:t>
      </w:r>
      <w:r w:rsidRPr="00107E4B">
        <w:rPr>
          <w:sz w:val="16"/>
        </w:rPr>
        <w:lastRenderedPageBreak/>
        <w:t xml:space="preserve">Violence Against Women Act of 1994, Pub. L. No. 103-322, tit. IV (codified in scattered sections of of 42 U.S.C.); 8 U.S.C. § 1229b(b)(2)(A) (2012); 8 C.F.R. § 204.2(c)(1)(vi) (2015). The Violence Against Women Act (VAWA), in providing that the Attorney General may grant status to noncitizens who have been domestically battered or subjected to extreme cruelty in the United States, provides protection not only to those presently experiencing battery, but also to those who experienced battery in the past. Immigration law also provides remedies for victims of sex and labor trafficking and enumerated violent crimes. For an overview of the relief available to immigrant victims, see PENN STATE LAw'S CTR. FOR IMIVIIGRANTS' RIGHTS &amp; CTR. CTY. WOMEN'S RES. CTR., IMMIGRATION RELIEF FOR VICTIMS OF ABUSE AND DOMESTIC VIOLENCE: PRACTITIONERS' GUIDE TO SERVING NON-CITIZENS (2012), https://law.psu.eduLfile/Immigrants/toolkit2Ol2/Handbook.pdf. 759 760 HOUSTON LAW REVIEW [53:3 for victim status and a large percentage of direct service resources are dedicated to helping people access relief under these laws. 328 Without diminishing the importance of the life-saving remedies now available to immigrant victims, it is critical to understand the limitations of the framing of immigrants as victims for the purposes of immigration reform. First and foremost, </w:t>
      </w:r>
      <w:r w:rsidRPr="00107E4B">
        <w:rPr>
          <w:rStyle w:val="StyleUnderline"/>
        </w:rPr>
        <w:t>such messaging relies on an implicit contrast with several groups of people, including immigrants who are not victims and immigrants and citizens who create victims by committing crimes</w:t>
      </w:r>
      <w:r w:rsidRPr="00107E4B">
        <w:rPr>
          <w:sz w:val="16"/>
        </w:rPr>
        <w:t xml:space="preserve">. 329 </w:t>
      </w:r>
      <w:r w:rsidRPr="00107E4B">
        <w:rPr>
          <w:rStyle w:val="StyleUnderline"/>
        </w:rPr>
        <w:t>The category of immigrant victim, like the broader category of victim, connotes a bright line, good/bad distinction between victims and lawbreakers, whereas reality is much more nuanced</w:t>
      </w:r>
      <w:r w:rsidRPr="00107E4B">
        <w:rPr>
          <w:sz w:val="16"/>
        </w:rPr>
        <w:t xml:space="preserve">. 330 </w:t>
      </w:r>
      <w:r w:rsidRPr="00107E4B">
        <w:rPr>
          <w:rStyle w:val="StyleUnderline"/>
        </w:rPr>
        <w:t>A significant number of victims have themselves been convicted of crimes, including violent ones</w:t>
      </w:r>
      <w:r w:rsidRPr="00107E4B">
        <w:rPr>
          <w:sz w:val="16"/>
        </w:rPr>
        <w:t xml:space="preserve">. 3 3 1 Moreover, </w:t>
      </w:r>
      <w:r w:rsidRPr="00107E4B">
        <w:rPr>
          <w:rStyle w:val="StyleUnderline"/>
        </w:rPr>
        <w:t>the perpetrator/victim distinction itself can be complicated, as some situations involve mutual aggression, such that the person who calls the police first often receives the victim status</w:t>
      </w:r>
      <w:r w:rsidRPr="00107E4B">
        <w:rPr>
          <w:sz w:val="16"/>
        </w:rPr>
        <w:t xml:space="preserve">. The fluid boundaries of the concept of a victim detract from its usefulness as a basis for drawing distinctions between people. Immigrant-as-victim messaging constructs a category of undocumented immigrants whose sin of being unlawfully present is outweighed by their victim status. But this messaging also makes it difficult to argue for humane and proportionate responses to immigrants who are convicted of a crime. If only immigrant victims are worthy, logic dictates that we should deport as unworthy immigrants who are convicted of a crime. In the simple world of victim and perpetrator, there is no room for the latter. 328. Rocio Molina et al., Screening for Victims Who Qualify for Immigration Protective Relief Eligibility Questions for Protective Relief, BUREAU JUST. ASSISTANCE, http://iwp.legalmomentum.org/reference/additional-materials/iwp-training-powerpoints IMarch-24-2015-Use-of-T-visa/Bluecard%20for%2OLaw%20Enforcement.pdf (last visited Feb. 6, 2016). 329. Other stereotypes might also be in play, such as the portrayal of victims of domestic violence as passive and lacking agency. Martha R. Mahoney, Legal Images of Battered Women: Redefining the Issue of Separation, 90 MICH. L. REV. 1, 24-30 (1991); Ann Shalleck, Theory and Experience in Constructing the Relationship Between Lawyer and Client: Representing Women Who Have Been Abused, 64 TENN. L. REV. 1019, 1024 (1997). 330. For a discussion of how our human trafficking laws should recognize the reality of trafficking survivors' lives, see Srikantiah, supra note 74, at 191-92, 211. 331. Domestic violence victimization or fighting back accounts for some, but not all, of these crimes. See SHERYL KUBIAK ET AL., BEST PRACTICE TOOLKIT FOR WORKING WITH DOMESTIC VIOLENCE SURVIVORS WITH CRIMINAL HISTORIES 14 (2011), http://community solutionsva.org/files/PREA-ToolkitWorkingwithSurvivors wCriminalHistories.pdf (detailing the common profile of women involved in the criminal legal system, including survivors of domestic and/or sexual violence). 2016] "IMMIGRANTS ARE NOT CRIMINALS" </w:t>
      </w:r>
      <w:r w:rsidRPr="00107E4B">
        <w:rPr>
          <w:rStyle w:val="StyleUnderline"/>
        </w:rPr>
        <w:t>The temptation, of course, is to use victim messaging precisely because it is so very effective. The public has been trained to take a reductive view of the categories of victim and perpetrator. Reformers, however, should not ignore the downsides of invoking the victim narrative in the cause of immigrant justice. As a version of respectability politics, the victim narrative not only makes it harder to advocate for noncitizens and citizens convicted of a crime (and other people not dubbed victims), but it reinforces the underlying economic and social policies that drive crime rates and migratory flows</w:t>
      </w:r>
    </w:p>
    <w:p w14:paraId="174575A9" w14:textId="77777777" w:rsidR="007E3D3F" w:rsidRPr="00107E4B" w:rsidRDefault="007E3D3F" w:rsidP="007E3D3F">
      <w:pPr>
        <w:pStyle w:val="Heading4"/>
      </w:pPr>
      <w:r w:rsidRPr="00107E4B">
        <w:t>Speaking for others negatively affects and excludes those that are being spoken for</w:t>
      </w:r>
    </w:p>
    <w:p w14:paraId="5EBF8612" w14:textId="77777777" w:rsidR="007E3D3F" w:rsidRPr="00107E4B" w:rsidRDefault="007E3D3F" w:rsidP="007E3D3F">
      <w:r w:rsidRPr="00107E4B">
        <w:rPr>
          <w:b/>
          <w:sz w:val="26"/>
          <w:szCs w:val="26"/>
        </w:rPr>
        <w:t xml:space="preserve">Alcoff 91 </w:t>
      </w:r>
      <w:r w:rsidRPr="00107E4B">
        <w:rPr>
          <w:b/>
        </w:rPr>
        <w:t xml:space="preserve">- </w:t>
      </w:r>
      <w:r w:rsidRPr="00107E4B">
        <w:t xml:space="preserve">(Linda Alcoff, “The Problem of Speaking for Others”, </w:t>
      </w:r>
      <w:r w:rsidRPr="00107E4B">
        <w:rPr>
          <w:i/>
        </w:rPr>
        <w:t xml:space="preserve">Cultural Critique, </w:t>
      </w:r>
      <w:r w:rsidRPr="00107E4B">
        <w:t>pp.5-32) &lt; https://www.jstor.org/stable/1354221?item_view=read_online&amp;refreqid=excelsior%3A1d2ad6f025cbcbae6e9264496e578d7c&gt;)</w:t>
      </w:r>
    </w:p>
    <w:p w14:paraId="74874AC9" w14:textId="77777777" w:rsidR="007E3D3F" w:rsidRPr="00107E4B" w:rsidRDefault="007E3D3F" w:rsidP="007E3D3F">
      <w:pPr>
        <w:rPr>
          <w:u w:val="single"/>
        </w:rPr>
      </w:pPr>
      <w:r w:rsidRPr="00107E4B">
        <w:t xml:space="preserve">Consider the following true stories: 1. Anne Cameron, </w:t>
      </w:r>
      <w:r w:rsidRPr="00107E4B">
        <w:rPr>
          <w:u w:val="single"/>
        </w:rPr>
        <w:t>a</w:t>
      </w:r>
      <w:r w:rsidRPr="00107E4B">
        <w:t xml:space="preserve"> very gifted </w:t>
      </w:r>
      <w:r w:rsidRPr="00107E4B">
        <w:rPr>
          <w:u w:val="single"/>
        </w:rPr>
        <w:t>white Canadian author, writes</w:t>
      </w:r>
      <w:r w:rsidRPr="00107E4B">
        <w:t xml:space="preserve"> several </w:t>
      </w:r>
      <w:r w:rsidRPr="00107E4B">
        <w:rPr>
          <w:u w:val="single"/>
        </w:rPr>
        <w:t>first person</w:t>
      </w:r>
      <w:r w:rsidRPr="00107E4B">
        <w:t xml:space="preserve"> accounts of the lives </w:t>
      </w:r>
      <w:r w:rsidRPr="00107E4B">
        <w:rPr>
          <w:u w:val="single"/>
        </w:rPr>
        <w:t>of Native Canadian women</w:t>
      </w:r>
      <w:r w:rsidRPr="00107E4B">
        <w:t xml:space="preserve">. At the 1988 International Feminist Book Fair in Montreal, </w:t>
      </w:r>
      <w:r w:rsidRPr="00107E4B">
        <w:rPr>
          <w:u w:val="single"/>
        </w:rPr>
        <w:t xml:space="preserve">a group of Native Canadian writers ask Cameron </w:t>
      </w:r>
      <w:r w:rsidRPr="00107E4B">
        <w:rPr>
          <w:u w:val="single"/>
        </w:rPr>
        <w:lastRenderedPageBreak/>
        <w:t>to</w:t>
      </w:r>
      <w:r w:rsidRPr="00107E4B">
        <w:t>, in their words, "</w:t>
      </w:r>
      <w:r w:rsidRPr="00107E4B">
        <w:rPr>
          <w:u w:val="single"/>
        </w:rPr>
        <w:t>move over</w:t>
      </w:r>
      <w:r w:rsidRPr="00107E4B">
        <w:t xml:space="preserve">" on the grounds </w:t>
      </w:r>
      <w:r w:rsidRPr="00107E4B">
        <w:rPr>
          <w:u w:val="single"/>
        </w:rPr>
        <w:t>that her writings are disempowering for Native authors</w:t>
      </w:r>
      <w:r w:rsidRPr="00107E4B">
        <w:t xml:space="preserve">. She agrees.2 2. After the 1989 elections in Panama are overturned by Manuel Noriega, </w:t>
      </w:r>
      <w:r w:rsidRPr="00107E4B">
        <w:rPr>
          <w:u w:val="single"/>
        </w:rPr>
        <w:t>U.S. President</w:t>
      </w:r>
      <w:r w:rsidRPr="00107E4B">
        <w:t xml:space="preserve"> George </w:t>
      </w:r>
      <w:r w:rsidRPr="00107E4B">
        <w:rPr>
          <w:u w:val="single"/>
        </w:rPr>
        <w:t>Bush declares</w:t>
      </w:r>
      <w:r w:rsidRPr="00107E4B">
        <w:t xml:space="preserve"> in a public address that Noriega's actions constitute an "outrageous fraud" and that "</w:t>
      </w:r>
      <w:r w:rsidRPr="00107E4B">
        <w:rPr>
          <w:u w:val="single"/>
        </w:rPr>
        <w:t>the voice of the Panamanian people have spoken.</w:t>
      </w:r>
      <w:r w:rsidRPr="00107E4B">
        <w:t xml:space="preserve">" "The Panamanian people," he tells us, "want democracy </w:t>
      </w:r>
      <w:r w:rsidRPr="00107E4B">
        <w:rPr>
          <w:u w:val="single"/>
        </w:rPr>
        <w:t>and</w:t>
      </w:r>
      <w:r w:rsidRPr="00107E4B">
        <w:t xml:space="preserve"> not tyranny, and want Noriega out." He </w:t>
      </w:r>
      <w:r w:rsidRPr="00107E4B">
        <w:rPr>
          <w:u w:val="single"/>
        </w:rPr>
        <w:t>proceeds to</w:t>
      </w:r>
      <w:r w:rsidRPr="00107E4B">
        <w:t xml:space="preserve"> plan </w:t>
      </w:r>
      <w:r w:rsidRPr="00107E4B">
        <w:rPr>
          <w:u w:val="single"/>
        </w:rPr>
        <w:t>the invasion of Panama</w:t>
      </w:r>
      <w:r w:rsidRPr="00107E4B">
        <w:t xml:space="preserve">. 3. At a recent symposium at my university, a prestigious theorist was invited to give a lecture on the political problems of post-modernism. Those of us in the audience, including many white women and people of oppressed nationalities and races, wait in eager anticipation for what he has to contribute to this important discussion. To our disappointment, he introduces his lecture by explaining that he can not cover the assigned topic, because as a white male he does not feel that he can speak for the feminist and post-colonial perspectives which have launched the critical interrogation of postmodernism's politics. He lectures instead on architecture. </w:t>
      </w:r>
      <w:r w:rsidRPr="00107E4B">
        <w:rPr>
          <w:u w:val="single"/>
        </w:rPr>
        <w:t>These examples demonstrate the range of current practices of speaking for others in our society</w:t>
      </w:r>
      <w:r w:rsidRPr="00107E4B">
        <w:t xml:space="preserve">. While the prerogative of speaking for others remains unquestioned in the citadels of colonial administration, among activists and in the academy it elicits a growing unease and, in some communities of discourse, it is being rejected. </w:t>
      </w:r>
      <w:r w:rsidRPr="00107E4B">
        <w:rPr>
          <w:u w:val="single"/>
        </w:rPr>
        <w:t>There is a strong</w:t>
      </w:r>
      <w:r w:rsidRPr="00107E4B">
        <w:t xml:space="preserve">, albeit contested, </w:t>
      </w:r>
      <w:r w:rsidRPr="00107E4B">
        <w:rPr>
          <w:u w:val="single"/>
        </w:rPr>
        <w:t>current within feminism which holds that speaking for others</w:t>
      </w:r>
      <w:r w:rsidRPr="00107E4B">
        <w:t xml:space="preserve">---even for other women---is arrogant, vain, </w:t>
      </w:r>
      <w:r w:rsidRPr="00107E4B">
        <w:rPr>
          <w:u w:val="single"/>
        </w:rPr>
        <w:t>unethical, and</w:t>
      </w:r>
      <w:r w:rsidRPr="00107E4B">
        <w:t xml:space="preserve"> politically </w:t>
      </w:r>
      <w:r w:rsidRPr="00107E4B">
        <w:rPr>
          <w:u w:val="single"/>
        </w:rPr>
        <w:t>illegitimate. Feminist scholarship</w:t>
      </w:r>
      <w:r w:rsidRPr="00107E4B">
        <w:t xml:space="preserve"> has a liberatory agenda which </w:t>
      </w:r>
      <w:r w:rsidRPr="00107E4B">
        <w:rPr>
          <w:u w:val="single"/>
        </w:rPr>
        <w:t>almost requires</w:t>
      </w:r>
      <w:r w:rsidRPr="00107E4B">
        <w:t xml:space="preserve"> that </w:t>
      </w:r>
      <w:r w:rsidRPr="00107E4B">
        <w:rPr>
          <w:u w:val="single"/>
        </w:rPr>
        <w:t>women</w:t>
      </w:r>
      <w:r w:rsidRPr="00107E4B">
        <w:t xml:space="preserve"> scholars </w:t>
      </w:r>
      <w:r w:rsidRPr="00107E4B">
        <w:rPr>
          <w:u w:val="single"/>
        </w:rPr>
        <w:t>speak on behalf of other women</w:t>
      </w:r>
      <w:r w:rsidRPr="00107E4B">
        <w:t xml:space="preserve">, and yet the dangers of speaking across differences of race, culture, sexuality, and power are becoming increasingly clear to all. In feminist magazines such as Sojourner, it is common to find articles and letters in which the author states that she can only speak for herself. In her important paper, "Dyke Methods," Joyce Trebilcot offers a philosophical articulation of this view. She renounces for herself the practice of </w:t>
      </w:r>
      <w:r w:rsidRPr="00107E4B">
        <w:rPr>
          <w:u w:val="single"/>
        </w:rPr>
        <w:t>speaking for others</w:t>
      </w:r>
      <w:r w:rsidRPr="00107E4B">
        <w:t xml:space="preserve"> within a lesbian feminist community, arguing that she "will not try to get other wimmin to accept my beliefs in place of their own" on the grounds that to do so </w:t>
      </w:r>
      <w:r w:rsidRPr="00107E4B">
        <w:rPr>
          <w:u w:val="single"/>
        </w:rPr>
        <w:t>would be to practice a kind of discursive coercion and even a violence</w:t>
      </w:r>
      <w:r w:rsidRPr="00107E4B">
        <w:t xml:space="preserve">.3 Feminist discourse is not the only site in which the problem of speaking for others has been acknowledged and addressed. </w:t>
      </w:r>
      <w:r w:rsidRPr="00107E4B">
        <w:rPr>
          <w:u w:val="single"/>
        </w:rPr>
        <w:t>In anthropology</w:t>
      </w:r>
      <w:r w:rsidRPr="00107E4B">
        <w:t xml:space="preserve"> there is similar discussion about whether it is possible to speak for others either adequately or justifiably. Trinh T. Minh-ha explains the grounds for skepticism when she says that anthropology </w:t>
      </w:r>
      <w:r w:rsidRPr="00107E4B">
        <w:rPr>
          <w:u w:val="single"/>
        </w:rPr>
        <w:t>is</w:t>
      </w:r>
      <w:r w:rsidRPr="00107E4B">
        <w:t xml:space="preserve"> "mainly </w:t>
      </w:r>
      <w:r w:rsidRPr="00107E4B">
        <w:rPr>
          <w:u w:val="single"/>
        </w:rPr>
        <w:t>a conversation of `us' with `us' about `them,' of the white man</w:t>
      </w:r>
      <w:r w:rsidRPr="00107E4B">
        <w:t xml:space="preserve"> with the white man about the primitive-nature man...</w:t>
      </w:r>
      <w:r w:rsidRPr="00107E4B">
        <w:rPr>
          <w:u w:val="single"/>
        </w:rPr>
        <w:t>in which `them' is silenced</w:t>
      </w:r>
      <w:r w:rsidRPr="00107E4B">
        <w:t xml:space="preserve">. `Them' always stands on the other side of the hill, naked and speechless...`them' is only admitted among `us', the discussing subjects, when accompanied or introduced by an `us'..."4 Given this analysis, </w:t>
      </w:r>
      <w:r w:rsidRPr="00107E4B">
        <w:rPr>
          <w:u w:val="single"/>
        </w:rPr>
        <w:t>even ethnographies written by progressive anthropologists are</w:t>
      </w:r>
      <w:r w:rsidRPr="00107E4B">
        <w:t xml:space="preserve"> a priori </w:t>
      </w:r>
      <w:r w:rsidRPr="00107E4B">
        <w:rPr>
          <w:u w:val="single"/>
        </w:rPr>
        <w:t>regressive</w:t>
      </w:r>
      <w:r w:rsidRPr="00107E4B">
        <w:t xml:space="preserve"> because of the structural features of anthropological discursive practice. The recognition that there is a problem in speaking for others has followed from the widespread acceptance of two claims. First, </w:t>
      </w:r>
      <w:r w:rsidRPr="00107E4B">
        <w:rPr>
          <w:u w:val="single"/>
        </w:rPr>
        <w:t>there has been a growing awareness that where one speaks from affects both the meaning and truth of what one says</w:t>
      </w:r>
      <w:r w:rsidRPr="00107E4B">
        <w:t xml:space="preserve">, and thus that one cannot assume an ability to transcend her location. In other words, </w:t>
      </w:r>
      <w:r w:rsidRPr="00107E4B">
        <w:rPr>
          <w:u w:val="single"/>
        </w:rPr>
        <w:t>a speaker's location</w:t>
      </w:r>
      <w:r w:rsidRPr="00107E4B">
        <w:t xml:space="preserve"> (which I take here to refer to her social location or social identity) </w:t>
      </w:r>
      <w:r w:rsidRPr="00107E4B">
        <w:rPr>
          <w:u w:val="single"/>
        </w:rPr>
        <w:t>has an epistemically significant impact on that speaker's claims, and can serve either to authorize or dis-authorize one's</w:t>
      </w:r>
      <w:r w:rsidRPr="00107E4B">
        <w:t xml:space="preserve"> The Problem of Speaking For Others http://alcoff.com/content/speaothers.html 3 of 26 1/30/08 11:09 AM </w:t>
      </w:r>
      <w:r w:rsidRPr="00107E4B">
        <w:rPr>
          <w:u w:val="single"/>
        </w:rPr>
        <w:t>speech</w:t>
      </w:r>
      <w:r w:rsidRPr="00107E4B">
        <w:t xml:space="preserve">. The creation of Women's Studies and African American Studies departments were founded on this very belief: </w:t>
      </w:r>
      <w:r w:rsidRPr="00107E4B">
        <w:lastRenderedPageBreak/>
        <w:t xml:space="preserve">that both </w:t>
      </w:r>
      <w:r w:rsidRPr="00107E4B">
        <w:rPr>
          <w:u w:val="single"/>
        </w:rPr>
        <w:t>the study of and the advocacy for the oppressed must come to be done principally by the oppressed themselves</w:t>
      </w:r>
      <w:r w:rsidRPr="00107E4B">
        <w:t xml:space="preserve">, and that we must finally acknowledge that systematic divergences in social location between speakers and those spoken for will have a significant effect on the content of what is said. The unspoken premise here is simply that a speaker's location is epistemically salient. I shall explore this issue further in the next section. The second claim holds that not only is location epistemically salient, but certain </w:t>
      </w:r>
      <w:r w:rsidRPr="00107E4B">
        <w:rPr>
          <w:u w:val="single"/>
        </w:rPr>
        <w:t>privileged locations are</w:t>
      </w:r>
      <w:r w:rsidRPr="00107E4B">
        <w:t xml:space="preserve"> discursively dangerous.5 In particular, the practice of privileged persons speaking for or on behalf of less privileged persons has actually resulted (in many cases) in </w:t>
      </w:r>
      <w:r w:rsidRPr="00107E4B">
        <w:rPr>
          <w:u w:val="single"/>
        </w:rPr>
        <w:t>increasing</w:t>
      </w:r>
      <w:r w:rsidRPr="00107E4B">
        <w:t xml:space="preserve"> or reenforcing </w:t>
      </w:r>
      <w:r w:rsidRPr="00107E4B">
        <w:rPr>
          <w:u w:val="single"/>
        </w:rPr>
        <w:t>the</w:t>
      </w:r>
      <w:r w:rsidRPr="00107E4B">
        <w:t xml:space="preserve"> oppression of the </w:t>
      </w:r>
      <w:r w:rsidRPr="00107E4B">
        <w:rPr>
          <w:u w:val="single"/>
        </w:rPr>
        <w:t>group spoken for</w:t>
      </w:r>
      <w:r w:rsidRPr="00107E4B">
        <w:t xml:space="preserve">. This was part of the argument made against Anne Cameron's speaking for Native women: Cameron's intentions were never in question, but the effects of her writing were argued to be harmful to the needs of Native authors because it is Cameron rather than they who will be listened to and whose books will be bought by readers interested in Native women. </w:t>
      </w:r>
      <w:r w:rsidRPr="00107E4B">
        <w:rPr>
          <w:u w:val="single"/>
        </w:rPr>
        <w:t>Persons from dominant groups who speak for others are often treated as authenticating presences that confer legitimacy and credibility on the demands of subjugated speakers; such speaking for others does nothing to disrupt the discursive hierarchies that operate in public spaces.</w:t>
      </w:r>
      <w:r w:rsidRPr="00107E4B">
        <w:t xml:space="preserve"> For this reason, the work of privileged authors who speak on behalf of the oppressed is becoming increasingly criticized by members of those oppressed groups themselves.6 As social theorists, </w:t>
      </w:r>
      <w:r w:rsidRPr="00107E4B">
        <w:rPr>
          <w:u w:val="single"/>
        </w:rPr>
        <w:t xml:space="preserve">we are authorized by virtue of our academic positions to develop theories that express and encompass the ideas, needs, and goals of others. </w:t>
      </w:r>
    </w:p>
    <w:p w14:paraId="054CF097" w14:textId="77777777" w:rsidR="007E3D3F" w:rsidRPr="00107E4B" w:rsidRDefault="007E3D3F" w:rsidP="007E3D3F"/>
    <w:p w14:paraId="73B69629" w14:textId="77777777" w:rsidR="007E3D3F" w:rsidRPr="00107E4B" w:rsidRDefault="007E3D3F" w:rsidP="007E3D3F">
      <w:pPr>
        <w:pStyle w:val="Heading4"/>
      </w:pPr>
      <w:r w:rsidRPr="00107E4B">
        <w:t>Accurate representation becomes skewed when speaking for others</w:t>
      </w:r>
    </w:p>
    <w:p w14:paraId="3EABA3C6" w14:textId="77777777" w:rsidR="007E3D3F" w:rsidRPr="00107E4B" w:rsidRDefault="007E3D3F" w:rsidP="007E3D3F">
      <w:r w:rsidRPr="00107E4B">
        <w:rPr>
          <w:b/>
          <w:sz w:val="26"/>
          <w:szCs w:val="26"/>
        </w:rPr>
        <w:t>Alcoff 91</w:t>
      </w:r>
      <w:r w:rsidRPr="00107E4B">
        <w:rPr>
          <w:b/>
          <w:sz w:val="28"/>
        </w:rPr>
        <w:t xml:space="preserve"> </w:t>
      </w:r>
      <w:r w:rsidRPr="00107E4B">
        <w:t xml:space="preserve">- (Linda Alcoff, “The Problem of Speaking for Others”, </w:t>
      </w:r>
      <w:r w:rsidRPr="00107E4B">
        <w:rPr>
          <w:i/>
        </w:rPr>
        <w:t xml:space="preserve">Cultural Critique, </w:t>
      </w:r>
      <w:r w:rsidRPr="00107E4B">
        <w:t>pp.5-32) &lt; https://www.jstor.org/stable/1354221?item_view=read_online&amp;refreqid=excelsior%3A1d2ad6f025cbcbae6e9264496e578d7c&gt;)</w:t>
      </w:r>
    </w:p>
    <w:p w14:paraId="59B6A697" w14:textId="77777777" w:rsidR="007E3D3F" w:rsidRPr="00107E4B" w:rsidRDefault="007E3D3F" w:rsidP="007E3D3F">
      <w:r w:rsidRPr="00107E4B">
        <w:t xml:space="preserve">However, we must begin to ask ourselves whether this is ever a legitimate authority, and if so, what are the criteria for legitimacy? In particular, is it ever valid to speak for others who are unlike me or who are less privileged than me? We might try to delimit this problem as only arising when a more privileged person speaks for a less privileged one. In this case, we might say that I should only speak for groups of which I am a member. But this does not tell us how groups themselves should be delimited. For example, can a white woman speak for all women simply by virtue of being a woman? If not, how narrowly should we draw the The Problem of Speaking For Others http://alcoff.com/content/speaothers.html 4 of 26 1/30/08 11:09 AM categories? The complexity and multiplicity of group identifications could result in "communities" composed of single individuals. Moreover, the concept of groups assumes specious notions about clear-cut boundaries and "pure" identities. I am a Panamanian-American and a person of mixed ethnicity and race: half white/Angla and half Panamanian mestiza. The criterion of group identity leaves many unanswered questions for a person such as myself, since I have membership in many conflicting groups but my membership in all of them is problematic. </w:t>
      </w:r>
      <w:r w:rsidRPr="00107E4B">
        <w:rPr>
          <w:u w:val="single"/>
        </w:rPr>
        <w:t xml:space="preserve">Group identities and boundaries are ambiguous and permeable, and decisions about demarcating identity are always partly arbitrary. </w:t>
      </w:r>
      <w:r w:rsidRPr="00107E4B">
        <w:t xml:space="preserve">Another problem concerns how specific an identity needs to be to confer epistemic authority. Reflection on such problems quickly reveals that no easy solution to the problem of speaking for others can be found by simply restricting the practice to speaking for </w:t>
      </w:r>
      <w:r w:rsidRPr="00107E4B">
        <w:lastRenderedPageBreak/>
        <w:t xml:space="preserve">groups of which one is a member. Adopting the position that one should only speak for oneself raises similarly difficult questions. If I don't speak for those less privileged than myself, am I abandoning my political responsibility to speak out against oppression, a responsibility incurred by the very fact of my privilege? If I should not speak for others, should I restrict myself to following their lead uncritically? Is my greatest contribution to move over and get out of the way? And if so, what is the best way to do this---to keep silent or to deconstruct my own discourse? The answers to these questions will certainly depend on who is asking them. While some of us may want to undermine, for example, the U.S. government's practice of speaking for the "Third world," we may not want to undermine someone such as Rigoberta Menchu's ability to speak for Guatemalan Indians.7 So the question arises about whether all instances of speaking for should be condemned and, if not, how we can justify a position which would repudiate some speakers while accepting others. In order to answer these questions </w:t>
      </w:r>
      <w:r w:rsidRPr="00107E4B">
        <w:rPr>
          <w:u w:val="single"/>
        </w:rPr>
        <w:t>we need to become clearer on the epistemological and metaphysical issues which are involved in the articulation of the problem of speaking for others</w:t>
      </w:r>
      <w:r w:rsidRPr="00107E4B">
        <w:t xml:space="preserve">, issues which most often remain implicit. I will attempt to make these issues clear before turning to discuss some of the possible responses to the problem and advancing a provisional, procedural solution of my own. But first I need to explain further my framing of the problem. The Problem of Speaking For Others http://alcoff.com/content/speaothers.html 5 of 26 1/30/08 11:09 AM In the examples used above, there may appear to be a conflation between the issue of speaking for others and the issue of speaking about others. This conflation was intentional on my part, because </w:t>
      </w:r>
      <w:r w:rsidRPr="00107E4B">
        <w:rPr>
          <w:u w:val="single"/>
        </w:rPr>
        <w:t>it is difficult to distinguish speaking about from speaking for in all cases</w:t>
      </w:r>
      <w:r w:rsidRPr="00107E4B">
        <w:t xml:space="preserve">. There is an ambiguity in the two phrases: when one is speaking for another one may be describing their situation and thus also speaking about them. In fact, it may be impossible to speak for another without simultaneously conferring information about them. Similarly, </w:t>
      </w:r>
      <w:r w:rsidRPr="00107E4B">
        <w:rPr>
          <w:u w:val="single"/>
        </w:rPr>
        <w:t>when one is speaking about another, or</w:t>
      </w:r>
      <w:r w:rsidRPr="00107E4B">
        <w:t xml:space="preserve"> simply trying to </w:t>
      </w:r>
      <w:r w:rsidRPr="00107E4B">
        <w:rPr>
          <w:u w:val="single"/>
        </w:rPr>
        <w:t>describe their situation</w:t>
      </w:r>
      <w:r w:rsidRPr="00107E4B">
        <w:t xml:space="preserve"> or some aspect of it, </w:t>
      </w:r>
      <w:r w:rsidRPr="00107E4B">
        <w:rPr>
          <w:u w:val="single"/>
        </w:rPr>
        <w:t>one may also be</w:t>
      </w:r>
      <w:r w:rsidRPr="00107E4B">
        <w:t xml:space="preserve"> speaking in place of them, i.e. </w:t>
      </w:r>
      <w:r w:rsidRPr="00107E4B">
        <w:rPr>
          <w:u w:val="single"/>
        </w:rPr>
        <w:t>speaking for them</w:t>
      </w:r>
      <w:r w:rsidRPr="00107E4B">
        <w:t xml:space="preserve">. One may be speaking about another as an advocate or a messenger if the person cannot speak for herself. Thus I would maintain that if </w:t>
      </w:r>
      <w:r w:rsidRPr="00107E4B">
        <w:rPr>
          <w:u w:val="single"/>
        </w:rPr>
        <w:t>the practice of speaking for others is problematic, so too</w:t>
      </w:r>
      <w:r w:rsidRPr="00107E4B">
        <w:t xml:space="preserve"> must be </w:t>
      </w:r>
      <w:r w:rsidRPr="00107E4B">
        <w:rPr>
          <w:u w:val="single"/>
        </w:rPr>
        <w:t>the practice of speaking about others.</w:t>
      </w:r>
      <w:r w:rsidRPr="00107E4B">
        <w:t xml:space="preserve">8 This is partly the case because of what has been called </w:t>
      </w:r>
      <w:r w:rsidRPr="00107E4B">
        <w:rPr>
          <w:u w:val="single"/>
        </w:rPr>
        <w:t>the "crisis of representation</w:t>
      </w:r>
      <w:r w:rsidRPr="00107E4B">
        <w:t xml:space="preserve">." For in both the practice of speaking for as well as the practice of speaking about others, I am </w:t>
      </w:r>
      <w:r w:rsidRPr="00107E4B">
        <w:rPr>
          <w:u w:val="single"/>
        </w:rPr>
        <w:t>engaging in</w:t>
      </w:r>
      <w:r w:rsidRPr="00107E4B">
        <w:t xml:space="preserve"> the act of </w:t>
      </w:r>
      <w:r w:rsidRPr="00107E4B">
        <w:rPr>
          <w:u w:val="single"/>
        </w:rPr>
        <w:t>representing the other's needs, goals, situation, and</w:t>
      </w:r>
      <w:r w:rsidRPr="00107E4B">
        <w:t xml:space="preserve"> in fact, </w:t>
      </w:r>
      <w:r w:rsidRPr="00107E4B">
        <w:rPr>
          <w:u w:val="single"/>
        </w:rPr>
        <w:t>who they are</w:t>
      </w:r>
      <w:r w:rsidRPr="00107E4B">
        <w:t xml:space="preserve">, based on my own situated interpretation. In post-structuralist terms, I am </w:t>
      </w:r>
      <w:r w:rsidRPr="00107E4B">
        <w:rPr>
          <w:u w:val="single"/>
        </w:rPr>
        <w:t>participating in the construction of their subject-positions rather than simply discovering their true selves</w:t>
      </w:r>
      <w:r w:rsidRPr="00107E4B">
        <w:t xml:space="preserve">. Once we pose it as a problem of representation, we see that, not only are speaking for and speaking about analytically close, so too are the practices of speaking for others and speaking for myself. For, in speaking for myself, I am also representing my self in a certain way, as occupying a specific subject-position, having certain characteristics and not others, and so on. In speaking for myself, I (momentarily) create my self---just as much as when I speak for others I create them as a public, discursive self, a self which is more unified than any subjective experience can support. And this public self will in most cases have an effect on the self experienced as interiority. The point here is that the problem of representation underlies all cases of speaking for, whether I am speaking for myself or for others. This is not to suggest that all representations are fictions: they have very real material effects, as well as material origins, but they are always mediated in complex ways by discourse, power, and location. However, the problem of speaking for others is more specific </w:t>
      </w:r>
      <w:r w:rsidRPr="00107E4B">
        <w:lastRenderedPageBreak/>
        <w:t xml:space="preserve">than the problem of representation generally, and requires its own The Problem of Speaking For Others http://alcoff.com/content/speaothers.html 6 of 26 1/30/08 11:09 AM particular analysis. There is one final point I want to make before we can pursue this analysis. The way I have articulated this problem may imply that individuals make conscious choices about their discursive practice free of ideology and the constraints of material reality. This is not what I wish to imply. </w:t>
      </w:r>
      <w:r w:rsidRPr="00107E4B">
        <w:rPr>
          <w:u w:val="single"/>
        </w:rPr>
        <w:t>The problem of speaking for others is a social one, the options available to us are socially constructed, and the practices we engage in cannot be understood as simply the results of autonomous individual choice.</w:t>
      </w:r>
      <w:r w:rsidRPr="00107E4B">
        <w:t xml:space="preserve"> Yet to replace both "I" and "we" with a passive voice that erases agency results in </w:t>
      </w:r>
      <w:r w:rsidRPr="00107E4B">
        <w:rPr>
          <w:u w:val="single"/>
        </w:rPr>
        <w:t>an erasure of responsibility and accountability for one's speech</w:t>
      </w:r>
      <w:r w:rsidRPr="00107E4B">
        <w:t xml:space="preserve">, an erasure I would strenuously argue against (there is too little responsibility-taking already in Western practice!). When we sit down to write, or get up to speak, we experience ourselves as making choices. We may experience hesitation from fear of being criticized or from fear of exacerbating a problem we would like to remedy, or we may experience a resolve to speak despite existing obstacles, but in many cases we experience having the possibility to speak or not to speak. On the one hand, a theory which explains this experience as involving autonomous choices free of material structures would be false and ideological, but on the other hand, if we do not acknowledge the activity of choice and the experience of individual doubt, we are denying a reality of our experiential lives.9 So I see the argument of this paper as addressing that small space of discursive agency we all experience, however multi-layered, fictional, and constrained it in fact is. Ultimately, the question of speaking for others bears crucially on the possibility of political effectivity. </w:t>
      </w:r>
      <w:r w:rsidRPr="00107E4B">
        <w:rPr>
          <w:u w:val="single"/>
        </w:rPr>
        <w:t>Both collective action and coalitions would seem to require the possibility of speaking for</w:t>
      </w:r>
      <w:r w:rsidRPr="00107E4B">
        <w:t xml:space="preserve">. Yet influential postmodernists such as Gilles Deleuze have characterized as "absolutely fundamental: </w:t>
      </w:r>
      <w:r w:rsidRPr="00107E4B">
        <w:rPr>
          <w:u w:val="single"/>
        </w:rPr>
        <w:t>the indignity of speaking for others</w:t>
      </w:r>
      <w:r w:rsidRPr="00107E4B">
        <w:t xml:space="preserve">"10 and important feminist theorists have renounced the practice as </w:t>
      </w:r>
      <w:r w:rsidRPr="00107E4B">
        <w:rPr>
          <w:u w:val="single"/>
        </w:rPr>
        <w:t>irretrievably harmful</w:t>
      </w:r>
      <w:r w:rsidRPr="00107E4B">
        <w:t xml:space="preserve">. What is at stake in rejecting or validating speaking for others as a discursive practice? To answer this, we must become clearer on the epistemological and metaphysical claims which are implicit in the articulation of the problem. I. The Problem of Speaking For Others http://alcoff.com/content/speaothers.html 7 of 26 1/30/08 11:09 AM A plethora of sources have argued in this century that the neutrality of the theorizer can no longer, can never again, be sustained, even for a moment. </w:t>
      </w:r>
    </w:p>
    <w:p w14:paraId="4F21C985" w14:textId="77777777" w:rsidR="007E3D3F" w:rsidRPr="00107E4B" w:rsidRDefault="007E3D3F" w:rsidP="007E3D3F"/>
    <w:p w14:paraId="5E3CC4E9" w14:textId="77777777" w:rsidR="007E3D3F" w:rsidRPr="00107E4B" w:rsidRDefault="007E3D3F" w:rsidP="007E3D3F">
      <w:pPr>
        <w:pStyle w:val="Heading4"/>
      </w:pPr>
      <w:r w:rsidRPr="00107E4B">
        <w:t>The position of a speaker can change the meaning or distort the context of what they are speaking about</w:t>
      </w:r>
    </w:p>
    <w:p w14:paraId="5C5B176D" w14:textId="77777777" w:rsidR="007E3D3F" w:rsidRPr="00107E4B" w:rsidRDefault="007E3D3F" w:rsidP="007E3D3F">
      <w:r w:rsidRPr="00107E4B">
        <w:rPr>
          <w:b/>
          <w:sz w:val="26"/>
          <w:szCs w:val="26"/>
        </w:rPr>
        <w:t>Alcoff 91</w:t>
      </w:r>
      <w:r w:rsidRPr="00107E4B">
        <w:rPr>
          <w:b/>
          <w:sz w:val="28"/>
        </w:rPr>
        <w:t xml:space="preserve"> </w:t>
      </w:r>
      <w:r w:rsidRPr="00107E4B">
        <w:t xml:space="preserve">- (Linda Alcoff, “The Problem of Speaking for Others”, </w:t>
      </w:r>
      <w:r w:rsidRPr="00107E4B">
        <w:rPr>
          <w:i/>
        </w:rPr>
        <w:t xml:space="preserve">Cultural Critique, </w:t>
      </w:r>
      <w:r w:rsidRPr="00107E4B">
        <w:t>pp.5-32) &lt; https://www.jstor.org/stable/1354221?item_view=read_online&amp;refreqid=excelsior%3A1d2ad6f025cbcbae6e9264496e578d7c&gt;)</w:t>
      </w:r>
    </w:p>
    <w:p w14:paraId="2D9EA94F" w14:textId="77777777" w:rsidR="007E3D3F" w:rsidRPr="00107E4B" w:rsidRDefault="007E3D3F" w:rsidP="007E3D3F">
      <w:r w:rsidRPr="00107E4B">
        <w:t xml:space="preserve">Critical theory, discourses of empowerment, psychoanalytic theory, post-structuralism, feminist and anti-colonialist theories have all concurred on this point. Who is speaking to whom turns out to be as important for meaning and truth as what is said; in fact </w:t>
      </w:r>
      <w:r w:rsidRPr="00107E4B">
        <w:rPr>
          <w:u w:val="single"/>
        </w:rPr>
        <w:t>what is said turns out to change according to who is speaking and who is listening</w:t>
      </w:r>
      <w:r w:rsidRPr="00107E4B">
        <w:t xml:space="preserve">. Following Foucault, I will call these "rituals of speaking" to identify discursive practices of speaking or writing which involve not only the text or utterance but their position within a social space which includes the persons involved </w:t>
      </w:r>
      <w:r w:rsidRPr="00107E4B">
        <w:lastRenderedPageBreak/>
        <w:t xml:space="preserve">in, acting upon, and/or affected by the words. Two elements within these rituals will deserve our attention: </w:t>
      </w:r>
      <w:r w:rsidRPr="00107E4B">
        <w:rPr>
          <w:u w:val="single"/>
        </w:rPr>
        <w:t>the positionality or location of the speaker and the discursive context. We</w:t>
      </w:r>
      <w:r w:rsidRPr="00107E4B">
        <w:t xml:space="preserve"> can take the latter to </w:t>
      </w:r>
      <w:r w:rsidRPr="00107E4B">
        <w:rPr>
          <w:u w:val="single"/>
        </w:rPr>
        <w:t>refer to the connections and relations of involvement between the utterance/text and</w:t>
      </w:r>
      <w:r w:rsidRPr="00107E4B">
        <w:t xml:space="preserve"> other utterances and texts as well as </w:t>
      </w:r>
      <w:r w:rsidRPr="00107E4B">
        <w:rPr>
          <w:u w:val="single"/>
        </w:rPr>
        <w:t>the material practices</w:t>
      </w:r>
      <w:r w:rsidRPr="00107E4B">
        <w:t xml:space="preserve"> in the relevant environment, which should not be confused with an environment spatially adjacent to the particular discursive event. </w:t>
      </w:r>
      <w:r w:rsidRPr="00107E4B">
        <w:rPr>
          <w:u w:val="single"/>
        </w:rPr>
        <w:t>Rituals of speaking are constitutive of meaning</w:t>
      </w:r>
      <w:r w:rsidRPr="00107E4B">
        <w:t xml:space="preserve">, the meaning of the words spoken as well as the meaning of the event. This claim requires us to shift the ontology of meaning from its location in a text or utterance to a larger space, a space which includes the text or utterance but which also includes the discursive context. And an important implication of this claim is that meaning must be understood as plural and shifting, since a single text can engender diverse meanings given diverse contexts. Not only what is emphasized, noticed, and how it is understood will be affected by the location of both speaker and hearer, but the truth-value or epistemic status will also be affected. </w:t>
      </w:r>
      <w:r w:rsidRPr="00107E4B">
        <w:rPr>
          <w:b/>
          <w:u w:val="single"/>
        </w:rPr>
        <w:t xml:space="preserve">For example, in many situations when a woman speaks the presumption is against her; when a man speaks he is usually taken seriously </w:t>
      </w:r>
      <w:r w:rsidRPr="00107E4B">
        <w:t xml:space="preserve">(unless his speech patterns mark him as socially inferior by dominant standards). When writers from oppressed races and nationalities have insisted that all writing is political the claim has been dismissed as foolish or grounded in ressentiment or it is simply ignored; when prestigious European philosophers say that all writing is political it is taken up as a new and original "truth" (Judith Wilson calls this "the intellectual equivalent of the `cover The Problem of Speaking For Others http://alcoff.com/content/speaothers.html 8 of 26 1/30/08 11:09 AM record'.")11 </w:t>
      </w:r>
      <w:r w:rsidRPr="00107E4B">
        <w:rPr>
          <w:u w:val="single"/>
        </w:rPr>
        <w:t>The rituals of speaking which involve the location of speaker and listeners affect whether a claim is taken as true, well-reasoned, a compelling argument, or a significant idea</w:t>
      </w:r>
      <w:r w:rsidRPr="00107E4B">
        <w:t>. Thus, how what is said gets heard depends on who says it, and who says it will affect the style and language in which it is stated</w:t>
      </w:r>
      <w:r w:rsidRPr="00107E4B">
        <w:rPr>
          <w:b/>
          <w:u w:val="single"/>
        </w:rPr>
        <w:t>. The discursive style in which some European post-structuralists have made the claim that all writing is political marks it as important and likely to be true for a certain (powerful) milieu; whereas the style in which African-American writers made the same claim marked their speech as dismissable in the eyes of the same milieu</w:t>
      </w:r>
      <w:r w:rsidRPr="00107E4B">
        <w:t xml:space="preserve">. This point might be conceded by those who admit to the political mutability of interpretation, but they might continue to maintain that truth is a different matter altogether. And they would be right that </w:t>
      </w:r>
      <w:r w:rsidRPr="00107E4B">
        <w:rPr>
          <w:u w:val="single"/>
        </w:rPr>
        <w:t>acknowledging the effect of location on meaning and even on whether something is taken as true within a particular discursive context does not entail that the "actual" truth of the claim is contingent upon its context.</w:t>
      </w:r>
      <w:r w:rsidRPr="00107E4B">
        <w:t xml:space="preserve"> However, this objection presupposes a particular conception of truth, one in which the truth of a statement can be distinguished from its interpretation and its acceptance. Such a concept would require truth to be independent of the speakers' or listeners' embodied and perspectival location. Thus, the question of whether location bears simply on what is taken to be true or what is really true, and whether such a distinction can be upheld, involves the very difficult problem of the meaning of truth. In the history of Western philosophy, there have existed multiple, competing definitions and ontologies of truth: correspondence, idealist, pragmatist, coherentist, and consensual notions. The dominant modernist view has been that truth represents a relationship of correspondence between a proposition and an extra-discursive reality. On this view, truth is about a realm completely independent of human action and expresses things "as they are in themselves," that is, free of human interpretation. Arguably since Kant, more obviously since Hegel, it has been widely accepted that an understanding of truth which requires it to be free of human interpretation leads inexorably to </w:t>
      </w:r>
      <w:r w:rsidRPr="00107E4B">
        <w:lastRenderedPageBreak/>
        <w:t xml:space="preserve">skepticism, since it makes truth inaccessible by definition. This created an impetus to reconfigure the ontology of truth, from a locus outside human interpretation to one within it. Hegel, for example, understood truth as an "identity in difference" between subjective and objective elements. Thus, The Problem of Speaking For Others http://alcoff.com/content/speaothers.html 9 of 26 1/30/08 11:09 AM in the Hegelian aftermath, so-called subjective elements, or the historically specific conditions in which human knowledge occurs, are no longer rendered irrelevant or even obstacles to truth. </w:t>
      </w:r>
    </w:p>
    <w:p w14:paraId="3AD20714" w14:textId="77777777" w:rsidR="007E3D3F" w:rsidRPr="00107E4B" w:rsidRDefault="007E3D3F" w:rsidP="007E3D3F">
      <w:pPr>
        <w:shd w:val="clear" w:color="auto" w:fill="FFFFFF"/>
        <w:rPr>
          <w:rFonts w:ascii="Arial" w:eastAsia="Times New Roman" w:hAnsi="Arial" w:cs="Arial"/>
          <w:b/>
          <w:bCs/>
          <w:color w:val="222222"/>
          <w:sz w:val="12"/>
          <w:szCs w:val="12"/>
        </w:rPr>
      </w:pPr>
    </w:p>
    <w:p w14:paraId="266659C4" w14:textId="77777777" w:rsidR="007E3D3F" w:rsidRPr="00107E4B" w:rsidRDefault="007E3D3F" w:rsidP="007E3D3F">
      <w:pPr>
        <w:shd w:val="clear" w:color="auto" w:fill="FFFFFF"/>
        <w:rPr>
          <w:rFonts w:ascii="Arial" w:eastAsia="Times New Roman" w:hAnsi="Arial" w:cs="Arial"/>
          <w:b/>
          <w:bCs/>
          <w:color w:val="222222"/>
          <w:sz w:val="12"/>
          <w:szCs w:val="12"/>
        </w:rPr>
      </w:pPr>
    </w:p>
    <w:p w14:paraId="3F8E8354" w14:textId="77777777" w:rsidR="007E3D3F" w:rsidRPr="00107E4B" w:rsidRDefault="007E3D3F" w:rsidP="007E3D3F">
      <w:pPr>
        <w:pStyle w:val="Heading4"/>
      </w:pPr>
      <w:r w:rsidRPr="00107E4B">
        <w:t>Traditional debate revolves around discourse that distances the reality of suffering and violence, narratives in debate allow for inclusion of minority perspectives</w:t>
      </w:r>
    </w:p>
    <w:p w14:paraId="59510029" w14:textId="77777777" w:rsidR="007E3D3F" w:rsidRPr="00107E4B" w:rsidRDefault="007E3D3F" w:rsidP="007E3D3F"/>
    <w:p w14:paraId="13800C26" w14:textId="77777777" w:rsidR="007E3D3F" w:rsidRPr="00107E4B" w:rsidRDefault="007E3D3F" w:rsidP="007E3D3F">
      <w:pPr>
        <w:rPr>
          <w:rFonts w:ascii="Times New Roman" w:eastAsia="Times New Roman" w:hAnsi="Times New Roman" w:cs="Times New Roman"/>
        </w:rPr>
      </w:pPr>
      <w:r w:rsidRPr="00107E4B">
        <w:rPr>
          <w:rFonts w:ascii="Times New Roman" w:eastAsia="Times New Roman" w:hAnsi="Times New Roman" w:cs="Times New Roman"/>
        </w:rPr>
        <w:t>Dillard-Knox, Tiffany Yvonne, "Against the grain : the challenges of black discourse within intercollegiate policy debate." (2014). Electronic Theses and Dissertations. Paper 2161./cdc</w:t>
      </w:r>
    </w:p>
    <w:p w14:paraId="325ECCD2" w14:textId="77777777" w:rsidR="007E3D3F" w:rsidRPr="00107E4B" w:rsidRDefault="007E3D3F" w:rsidP="007E3D3F">
      <w:pPr>
        <w:rPr>
          <w:rFonts w:ascii="Times New Roman" w:eastAsia="Times New Roman" w:hAnsi="Times New Roman" w:cs="Times New Roman"/>
        </w:rPr>
      </w:pPr>
    </w:p>
    <w:p w14:paraId="79E464E9" w14:textId="77777777" w:rsidR="007E3D3F" w:rsidRPr="00107E4B" w:rsidRDefault="007E3D3F" w:rsidP="007E3D3F">
      <w:pPr>
        <w:rPr>
          <w:b/>
          <w:iCs/>
          <w:u w:val="single"/>
        </w:rPr>
      </w:pPr>
      <w:r w:rsidRPr="00107E4B">
        <w:rPr>
          <w:rFonts w:ascii="Times New Roman" w:eastAsia="Times New Roman" w:hAnsi="Times New Roman" w:cs="Times New Roman"/>
          <w:sz w:val="16"/>
        </w:rPr>
        <w:t>There are three types of arguments that Zompetti (2004) used to define personalized arguments: ―</w:t>
      </w:r>
      <w:r w:rsidRPr="00107E4B">
        <w:rPr>
          <w:rStyle w:val="Emphasis"/>
        </w:rPr>
        <w:t>traditional debate excludes certain types of evidence</w:t>
      </w:r>
      <w:r w:rsidRPr="00107E4B">
        <w:rPr>
          <w:rFonts w:ascii="Times New Roman" w:eastAsia="Times New Roman" w:hAnsi="Times New Roman" w:cs="Times New Roman"/>
          <w:sz w:val="16"/>
        </w:rPr>
        <w:t xml:space="preserve">, traditional debate </w:t>
      </w:r>
      <w:r w:rsidRPr="00107E4B">
        <w:rPr>
          <w:rStyle w:val="Emphasis"/>
        </w:rPr>
        <w:t>privileges affluent individuals, and</w:t>
      </w:r>
      <w:r w:rsidRPr="00107E4B">
        <w:rPr>
          <w:rFonts w:ascii="Times New Roman" w:eastAsia="Times New Roman" w:hAnsi="Times New Roman" w:cs="Times New Roman"/>
          <w:sz w:val="16"/>
        </w:rPr>
        <w:t xml:space="preserve"> traditional debate </w:t>
      </w:r>
      <w:r w:rsidRPr="00107E4B">
        <w:rPr>
          <w:rStyle w:val="Emphasis"/>
        </w:rPr>
        <w:t>ignores the reality of many individuals who are already at a disadvantage in the activity</w:t>
      </w:r>
      <w:r w:rsidRPr="00107E4B">
        <w:rPr>
          <w:rFonts w:ascii="Times New Roman" w:eastAsia="Times New Roman" w:hAnsi="Times New Roman" w:cs="Times New Roman"/>
          <w:sz w:val="16"/>
        </w:rPr>
        <w:t xml:space="preserve"> (p.28).‖ The first 62 argument type, that ―debate excludes certain types of evidence,‖ maintains that </w:t>
      </w:r>
      <w:r w:rsidRPr="00107E4B">
        <w:rPr>
          <w:rStyle w:val="Emphasis"/>
        </w:rPr>
        <w:t>the Debate community values academic evidence and devalues other forms of knowledge</w:t>
      </w:r>
      <w:r w:rsidRPr="00107E4B">
        <w:rPr>
          <w:rFonts w:ascii="Times New Roman" w:eastAsia="Times New Roman" w:hAnsi="Times New Roman" w:cs="Times New Roman"/>
          <w:sz w:val="16"/>
        </w:rPr>
        <w:t xml:space="preserve"> that come from what Antonio Gramsci (1978) calls organic intellectuals. The type of organic intellectuals being referred to here are the ones that Gramsci identifies as the permanent persuaders, a group of organic intellectuals that grows within the subordinated class(es). He goes on to state, ―Organic intellectuals in the subordinated class(es) are defined by social function rather than the characteristics of formal education, cultural distinction, or social status (p. 42).‖ </w:t>
      </w:r>
      <w:r w:rsidRPr="00107E4B">
        <w:rPr>
          <w:rStyle w:val="Emphasis"/>
        </w:rPr>
        <w:t>Alternative debaters</w:t>
      </w:r>
      <w:r w:rsidRPr="00107E4B">
        <w:rPr>
          <w:rFonts w:ascii="Times New Roman" w:eastAsia="Times New Roman" w:hAnsi="Times New Roman" w:cs="Times New Roman"/>
          <w:sz w:val="16"/>
        </w:rPr>
        <w:t xml:space="preserve"> have introduced some forms of hip hop as a source of organic intellectualism that </w:t>
      </w:r>
      <w:r w:rsidRPr="00107E4B">
        <w:rPr>
          <w:rStyle w:val="Emphasis"/>
        </w:rPr>
        <w:t>provides a perspective that is counter to that of the dominant ideological constructs of the world</w:t>
      </w:r>
      <w:r w:rsidRPr="00107E4B">
        <w:rPr>
          <w:rFonts w:ascii="Times New Roman" w:eastAsia="Times New Roman" w:hAnsi="Times New Roman" w:cs="Times New Roman"/>
          <w:sz w:val="16"/>
        </w:rPr>
        <w:t xml:space="preserve">. The second argument type argues that ―traditional debate privileges affluent individuals.‖ This argument encompasses things associated with material privileges. Some of the material privileges include things such as the financial costs associated with attending debate camps, travelling to a large number of national tournaments, access to the amount of ―free time‖ to prepare for debate tournaments in order to be nationally competitive, etc. As mentioned above, learning the language of Debate requires extensive training, debate camp is one of the mechanisms used to train debaters but camps generally cost between $1500-3000 to attend. Additionally, competitive success typically depends upon one‘s ability to travel to the national circuit tournaments. The reasoning is that the best of the best compete at these tournaments, as opposed to the regional tournament circuit. Lastly, debaters spend anywhere from 40-100 hours per week in preparation for tournaments. Unfortunately, there are many debaters who have 63 academic, familial and work obligations outside of Debate that prohibit them from being able to commit that amount of time towards preparing for debates. Finally, the argument that ―debate ignores the reality of many individuals who are already at a disadvantage in the activity‖ makes claims about the way that traditional debate does not allow for the implications that race, class, gender, sexuality, and disability can have on how Debate, in general, and debate tournaments, more specifically, function. These arguments typically make claims about what types of perspectives and Debate norms develop from positions of privilege. Tim Wise (2005) while discussing his experiences in Debate argues that </w:t>
      </w:r>
      <w:r w:rsidRPr="00107E4B">
        <w:rPr>
          <w:rStyle w:val="Emphasis"/>
        </w:rPr>
        <w:t>Debate is an ―extraordinarily white‖ activity</w:t>
      </w:r>
      <w:r w:rsidRPr="00107E4B">
        <w:rPr>
          <w:rFonts w:ascii="Times New Roman" w:eastAsia="Times New Roman" w:hAnsi="Times New Roman" w:cs="Times New Roman"/>
          <w:sz w:val="16"/>
        </w:rPr>
        <w:t xml:space="preserve"> (p. 69). He goes on to state, the reason that I call this process a white one is </w:t>
      </w:r>
      <w:r w:rsidRPr="00107E4B">
        <w:rPr>
          <w:rStyle w:val="Emphasis"/>
        </w:rPr>
        <w:t xml:space="preserve">because white people (and especially affluent ones), much more so than folks of color, have the luxury of looking at life or death issues of war, peace, famine, unemployment or criminal justice as a game, a mere exercise in intellectual and rhetorical banter…kids of color and working class youth of all colors are simply not as likely to gravitate to an activity where pretty much half the time they‘ll be forced to take positions that, if implemented in the real world, might devastate their communities </w:t>
      </w:r>
      <w:r w:rsidRPr="00107E4B">
        <w:rPr>
          <w:rFonts w:ascii="Times New Roman" w:eastAsia="Times New Roman" w:hAnsi="Times New Roman" w:cs="Times New Roman"/>
          <w:sz w:val="16"/>
        </w:rPr>
        <w:t xml:space="preserve">(p. 71-72). These three argument types are usually made by debaters identifying themselves as being affected by these patterns of exclusion. </w:t>
      </w:r>
      <w:r w:rsidRPr="00107E4B">
        <w:rPr>
          <w:rFonts w:ascii="Times New Roman" w:eastAsia="Times New Roman" w:hAnsi="Times New Roman" w:cs="Times New Roman"/>
          <w:sz w:val="16"/>
        </w:rPr>
        <w:lastRenderedPageBreak/>
        <w:t xml:space="preserve">Thus, it is believed by debate scholars that these debaters are using their ―victimage‖ to gain a competitive advantage in debate rounds (Zompetti, 2004. p. 30). These scholars have argued that these narratives of exclusion are not contestable because one cannot effectively debate another‘s personal experience. Recalling Smitherman‘s definition of narrative sequencing, as the relating of events (real or hypothetical) to explain a point, to persuade holders of opposing views to one‘s own point of view, and in general to ―win friends and influence people‖ (p. 148), 64 </w:t>
      </w:r>
      <w:r w:rsidRPr="00107E4B">
        <w:rPr>
          <w:rStyle w:val="Emphasis"/>
        </w:rPr>
        <w:t>narratives should be considered valuable components of debate strategy and technique</w:t>
      </w:r>
      <w:r w:rsidRPr="00107E4B">
        <w:rPr>
          <w:rFonts w:ascii="Times New Roman" w:eastAsia="Times New Roman" w:hAnsi="Times New Roman" w:cs="Times New Roman"/>
          <w:sz w:val="16"/>
        </w:rPr>
        <w:t xml:space="preserve">. However, while these scholars acknowledge these narratives as important, they fail to accurately understand and portray the function of these narratives, thus missing the value in using narratives in debates. The sociolinguistics literature offers an alternative perspective for understanding the function of these narrative discourses. While most Debate scholars would argue that these narratives in debate only serve as personal testimony, or complaints of oppression, the sociolinguistic literature surrounding identity and language would suggest that </w:t>
      </w:r>
      <w:r w:rsidRPr="00107E4B">
        <w:rPr>
          <w:rStyle w:val="Emphasis"/>
        </w:rPr>
        <w:t>these narratives are ways of positioning the self in the context of a larger interactional scheme.</w:t>
      </w:r>
      <w:r w:rsidRPr="00107E4B">
        <w:rPr>
          <w:rFonts w:ascii="Times New Roman" w:eastAsia="Times New Roman" w:hAnsi="Times New Roman" w:cs="Times New Roman"/>
          <w:sz w:val="16"/>
        </w:rPr>
        <w:t xml:space="preserve"> Therefore, as Bucholtz and Hall (2005) suggests, when approaching identity—in Debate—to ―consider a relational and sociocultural phenomenon (p. 585). This phenomenon emerges and circulates in discourse contexts of interaction rather than as a stable structure located primarily in the individual psyche or in fixed social categories (p. 586).‖ </w:t>
      </w:r>
      <w:r w:rsidRPr="00107E4B">
        <w:rPr>
          <w:rStyle w:val="Emphasis"/>
        </w:rPr>
        <w:t xml:space="preserve">Conceptualizing personalized arguments in this way allows one to understand that all language interactions in debates communicate at least part of one‘s identity, whether it is explicit or implicit. Therefore, debates are always ―personal‖. However, criticizing one group of students for positioning their arguments within a larger social, political, or cultural context creates an unfair barrier for inclusion into Debate for that group. </w:t>
      </w:r>
    </w:p>
    <w:p w14:paraId="4A002991" w14:textId="77777777" w:rsidR="007E3D3F" w:rsidRPr="00107E4B" w:rsidRDefault="007E3D3F" w:rsidP="007E3D3F">
      <w:pPr>
        <w:pStyle w:val="Heading2"/>
      </w:pPr>
      <w:r w:rsidRPr="00107E4B">
        <w:lastRenderedPageBreak/>
        <w:t xml:space="preserve">AT: Plan Debate </w:t>
      </w:r>
    </w:p>
    <w:p w14:paraId="03478150" w14:textId="77777777" w:rsidR="007E3D3F" w:rsidRPr="00107E4B" w:rsidRDefault="007E3D3F" w:rsidP="007E3D3F">
      <w:pPr>
        <w:pStyle w:val="Heading4"/>
      </w:pPr>
      <w:r w:rsidRPr="00107E4B">
        <w:rPr>
          <w:u w:val="single"/>
        </w:rPr>
        <w:t>USFG Role-Playing Bad</w:t>
      </w:r>
      <w:r w:rsidRPr="00107E4B">
        <w:t xml:space="preserve"> — it forces students to adopt </w:t>
      </w:r>
      <w:r w:rsidRPr="00107E4B">
        <w:rPr>
          <w:u w:val="single"/>
        </w:rPr>
        <w:t>an imperialist perspective</w:t>
      </w:r>
      <w:r w:rsidRPr="00107E4B">
        <w:t xml:space="preserve"> and promotes </w:t>
      </w:r>
      <w:r w:rsidRPr="00107E4B">
        <w:rPr>
          <w:u w:val="single"/>
        </w:rPr>
        <w:t>spectatorship</w:t>
      </w:r>
      <w:r w:rsidRPr="00107E4B">
        <w:t>, not engagement. This turns their “deliberation skills” and “policy engagement good” impacts to why fiat is good.</w:t>
      </w:r>
    </w:p>
    <w:p w14:paraId="6938812C" w14:textId="77777777" w:rsidR="007E3D3F" w:rsidRPr="00107E4B" w:rsidRDefault="007E3D3F" w:rsidP="007E3D3F">
      <w:r w:rsidRPr="00107E4B">
        <w:rPr>
          <w:rStyle w:val="Style13ptBold"/>
        </w:rPr>
        <w:t>Reid-Brinkley 8</w:t>
      </w:r>
      <w:r w:rsidRPr="00107E4B">
        <w:t xml:space="preserve"> — Shanara Rose Reid-Brinkley, Ph.D. Candidate in Communication at the University of Georgia, holds an M.A. in Communication from the University of Alabama and a B.A. in Political Science and Government from Emory University, 2008 (“The Harsh Realities of ‘Acting Black’: How African-American Policy Debaters Negotiate Representation Through Racial Performance and Style,” University of Georgia Ph.D. Dissertation, Available Online at http://www.scribd.com/doc/93057917/Reid-brinkley-Shanara-r-200805-Phd, Accessed 07-09-2014, p. 117-119)</w:t>
      </w:r>
    </w:p>
    <w:p w14:paraId="37C06E26" w14:textId="77777777" w:rsidR="007E3D3F" w:rsidRPr="00107E4B" w:rsidRDefault="007E3D3F" w:rsidP="007E3D3F">
      <w:pPr>
        <w:rPr>
          <w:sz w:val="14"/>
        </w:rPr>
      </w:pPr>
      <w:r w:rsidRPr="00107E4B">
        <w:rPr>
          <w:sz w:val="14"/>
        </w:rPr>
        <w:t xml:space="preserve">Genre Violation Four: Policymaker as Impersonal and the Rhetoric of Personal Experience. </w:t>
      </w:r>
      <w:r w:rsidRPr="00107E4B">
        <w:rPr>
          <w:rStyle w:val="StyleUnderline"/>
        </w:rPr>
        <w:t>Debate</w:t>
      </w:r>
      <w:r w:rsidRPr="00107E4B">
        <w:rPr>
          <w:sz w:val="14"/>
        </w:rPr>
        <w:t xml:space="preserve"> is a competitive game. 112 It </w:t>
      </w:r>
      <w:r w:rsidRPr="00107E4B">
        <w:rPr>
          <w:rStyle w:val="StyleUnderline"/>
        </w:rPr>
        <w:t>requires that its participants take on the positions of state actors (at least when they are affirming the resolution). Debate resolutions normally call for federal action</w:t>
      </w:r>
      <w:r w:rsidRPr="00107E4B">
        <w:rPr>
          <w:sz w:val="14"/>
        </w:rPr>
        <w:t xml:space="preserve"> in some area of domestic or foreign policy. </w:t>
      </w:r>
      <w:r w:rsidRPr="00107E4B">
        <w:rPr>
          <w:rStyle w:val="StyleUnderline"/>
        </w:rPr>
        <w:t>Affirmative teams must support the resolution, while the negative negates it. The debate then becomes a “laboratory” within which debaters may test policies</w:t>
      </w:r>
      <w:r w:rsidRPr="00107E4B">
        <w:rPr>
          <w:sz w:val="14"/>
        </w:rPr>
        <w:t xml:space="preserve">. 113 Argumentation scholar Gordon Mitchell notes that “Although they [end page 117] may research and track public argument as it unfolds outside the confines of the laboratory for research purposes, </w:t>
      </w:r>
      <w:r w:rsidRPr="00107E4B">
        <w:rPr>
          <w:rStyle w:val="StyleUnderline"/>
        </w:rPr>
        <w:t xml:space="preserve">in this approach students witness argumentation beyond the walls of the academy </w:t>
      </w:r>
      <w:r w:rsidRPr="00107E4B">
        <w:rPr>
          <w:rStyle w:val="Emphasis"/>
        </w:rPr>
        <w:t>as spectators</w:t>
      </w:r>
      <w:r w:rsidRPr="00107E4B">
        <w:rPr>
          <w:rStyle w:val="StyleUnderline"/>
        </w:rPr>
        <w:t xml:space="preserve">, with </w:t>
      </w:r>
      <w:r w:rsidRPr="00107E4B">
        <w:rPr>
          <w:rStyle w:val="Emphasis"/>
        </w:rPr>
        <w:t>little or no apparent recourse</w:t>
      </w:r>
      <w:r w:rsidRPr="00107E4B">
        <w:rPr>
          <w:rStyle w:val="StyleUnderline"/>
        </w:rPr>
        <w:t xml:space="preserve"> to </w:t>
      </w:r>
      <w:r w:rsidRPr="00107E4B">
        <w:rPr>
          <w:rStyle w:val="Emphasis"/>
        </w:rPr>
        <w:t>directly participate</w:t>
      </w:r>
      <w:r w:rsidRPr="00107E4B">
        <w:rPr>
          <w:rStyle w:val="StyleUnderline"/>
        </w:rPr>
        <w:t xml:space="preserve"> or </w:t>
      </w:r>
      <w:r w:rsidRPr="00107E4B">
        <w:rPr>
          <w:rStyle w:val="Emphasis"/>
        </w:rPr>
        <w:t>alter the course of events</w:t>
      </w:r>
      <w:r w:rsidRPr="00107E4B">
        <w:rPr>
          <w:sz w:val="14"/>
        </w:rPr>
        <w:t xml:space="preserve">.” 114 </w:t>
      </w:r>
      <w:r w:rsidRPr="00107E4B">
        <w:rPr>
          <w:rStyle w:val="StyleUnderline"/>
        </w:rPr>
        <w:t xml:space="preserve">Although debaters spend a great deal of time discussing and researching government action and articulating arguments relevant to such action, what happens in debate rounds has </w:t>
      </w:r>
      <w:r w:rsidRPr="00107E4B">
        <w:rPr>
          <w:rStyle w:val="Emphasis"/>
        </w:rPr>
        <w:t>limited or no real impact</w:t>
      </w:r>
      <w:r w:rsidRPr="00107E4B">
        <w:rPr>
          <w:rStyle w:val="StyleUnderline"/>
        </w:rPr>
        <w:t xml:space="preserve"> on contemporary governmental policy making. And participation does </w:t>
      </w:r>
      <w:r w:rsidRPr="00107E4B">
        <w:rPr>
          <w:rStyle w:val="Emphasis"/>
        </w:rPr>
        <w:t>not</w:t>
      </w:r>
      <w:r w:rsidRPr="00107E4B">
        <w:rPr>
          <w:rStyle w:val="StyleUnderline"/>
        </w:rPr>
        <w:t xml:space="preserve"> result in the majority of the debate community engaging in activism around the issues they research</w:t>
      </w:r>
      <w:r w:rsidRPr="00107E4B">
        <w:rPr>
          <w:sz w:val="14"/>
        </w:rPr>
        <w:t xml:space="preserve">. Mitchell observes that </w:t>
      </w:r>
      <w:r w:rsidRPr="00107E4B">
        <w:rPr>
          <w:rStyle w:val="StyleUnderline"/>
        </w:rPr>
        <w:t xml:space="preserve">the stance of the policymaker in debate comes with a “sense of </w:t>
      </w:r>
      <w:r w:rsidRPr="00107E4B">
        <w:rPr>
          <w:rStyle w:val="Emphasis"/>
        </w:rPr>
        <w:t>detachment</w:t>
      </w:r>
      <w:r w:rsidRPr="00107E4B">
        <w:rPr>
          <w:rStyle w:val="StyleUnderline"/>
        </w:rPr>
        <w:t xml:space="preserve"> associated with </w:t>
      </w:r>
      <w:r w:rsidRPr="00107E4B">
        <w:rPr>
          <w:rStyle w:val="Emphasis"/>
        </w:rPr>
        <w:t>the spectator posture</w:t>
      </w:r>
      <w:r w:rsidRPr="00107E4B">
        <w:rPr>
          <w:rStyle w:val="StyleUnderline"/>
        </w:rPr>
        <w:t>.”</w:t>
      </w:r>
      <w:r w:rsidRPr="00107E4B">
        <w:rPr>
          <w:sz w:val="14"/>
        </w:rPr>
        <w:t xml:space="preserve">115 In other words, </w:t>
      </w:r>
      <w:r w:rsidRPr="00107E4B">
        <w:rPr>
          <w:rStyle w:val="StyleUnderline"/>
        </w:rPr>
        <w:t xml:space="preserve">its participants are able to engage in debates where they are able to </w:t>
      </w:r>
      <w:r w:rsidRPr="00107E4B">
        <w:rPr>
          <w:rStyle w:val="Emphasis"/>
        </w:rPr>
        <w:t>distance themselves from the events that are the subjects of debates</w:t>
      </w:r>
      <w:r w:rsidRPr="00107E4B">
        <w:rPr>
          <w:rStyle w:val="StyleUnderline"/>
        </w:rPr>
        <w:t xml:space="preserve">. Debaters can throw around terms like torture, terrorism, genocide and nuclear war without blinking. Debate simulations can only serve to </w:t>
      </w:r>
      <w:r w:rsidRPr="00107E4B">
        <w:rPr>
          <w:rStyle w:val="Emphasis"/>
        </w:rPr>
        <w:t>distance the debaters from real world participation</w:t>
      </w:r>
      <w:r w:rsidRPr="00107E4B">
        <w:rPr>
          <w:rStyle w:val="StyleUnderline"/>
        </w:rPr>
        <w:t xml:space="preserve"> in the political contexts they debate about</w:t>
      </w:r>
      <w:r w:rsidRPr="00107E4B">
        <w:rPr>
          <w:sz w:val="14"/>
        </w:rPr>
        <w:t>. As William Shanahan remarks: …</w:t>
      </w:r>
      <w:r w:rsidRPr="00107E4B">
        <w:rPr>
          <w:rStyle w:val="StyleUnderline"/>
        </w:rPr>
        <w:t>the topic established a relationship through interpellation that inhered irrespective of what the particular political affinities of the debaters were</w:t>
      </w:r>
      <w:r w:rsidRPr="00107E4B">
        <w:rPr>
          <w:sz w:val="14"/>
        </w:rPr>
        <w:t xml:space="preserve">. The relationship was both political and ethical, and needed to be debated as such. </w:t>
      </w:r>
      <w:r w:rsidRPr="00107E4B">
        <w:rPr>
          <w:rStyle w:val="StyleUnderline"/>
        </w:rPr>
        <w:t>When we blithely call for U</w:t>
      </w:r>
      <w:r w:rsidRPr="00107E4B">
        <w:rPr>
          <w:sz w:val="14"/>
        </w:rPr>
        <w:t xml:space="preserve">nited </w:t>
      </w:r>
      <w:r w:rsidRPr="00107E4B">
        <w:rPr>
          <w:rStyle w:val="StyleUnderline"/>
        </w:rPr>
        <w:t>S</w:t>
      </w:r>
      <w:r w:rsidRPr="00107E4B">
        <w:rPr>
          <w:sz w:val="14"/>
        </w:rPr>
        <w:t xml:space="preserve">tates </w:t>
      </w:r>
      <w:r w:rsidRPr="00107E4B">
        <w:rPr>
          <w:rStyle w:val="StyleUnderline"/>
        </w:rPr>
        <w:t>F</w:t>
      </w:r>
      <w:r w:rsidRPr="00107E4B">
        <w:rPr>
          <w:sz w:val="14"/>
        </w:rPr>
        <w:t xml:space="preserve">ederal </w:t>
      </w:r>
      <w:r w:rsidRPr="00107E4B">
        <w:rPr>
          <w:rStyle w:val="StyleUnderline"/>
        </w:rPr>
        <w:t>G</w:t>
      </w:r>
      <w:r w:rsidRPr="00107E4B">
        <w:rPr>
          <w:sz w:val="14"/>
        </w:rPr>
        <w:t xml:space="preserve">overnment </w:t>
      </w:r>
      <w:r w:rsidRPr="00107E4B">
        <w:rPr>
          <w:rStyle w:val="StyleUnderline"/>
        </w:rPr>
        <w:t xml:space="preserve">policymaking, we are not immune to the </w:t>
      </w:r>
      <w:r w:rsidRPr="00107E4B">
        <w:rPr>
          <w:rStyle w:val="Emphasis"/>
        </w:rPr>
        <w:t>colonialist legacy</w:t>
      </w:r>
      <w:r w:rsidRPr="00107E4B">
        <w:rPr>
          <w:rStyle w:val="StyleUnderline"/>
        </w:rPr>
        <w:t xml:space="preserve"> that establishes our place on this continent. We cannot </w:t>
      </w:r>
      <w:r w:rsidRPr="00107E4B">
        <w:rPr>
          <w:rStyle w:val="Emphasis"/>
        </w:rPr>
        <w:t>wish away</w:t>
      </w:r>
      <w:r w:rsidRPr="00107E4B">
        <w:rPr>
          <w:rStyle w:val="StyleUnderline"/>
        </w:rPr>
        <w:t xml:space="preserve"> the horrific atrocities perpetrated </w:t>
      </w:r>
      <w:r w:rsidRPr="00107E4B">
        <w:rPr>
          <w:rStyle w:val="Emphasis"/>
        </w:rPr>
        <w:t>everyday in our name</w:t>
      </w:r>
      <w:r w:rsidRPr="00107E4B">
        <w:rPr>
          <w:rStyle w:val="StyleUnderline"/>
        </w:rPr>
        <w:t xml:space="preserve"> simply by refusing to acknowledge these implications</w:t>
      </w:r>
      <w:r w:rsidRPr="00107E4B">
        <w:rPr>
          <w:sz w:val="14"/>
        </w:rPr>
        <w:t xml:space="preserve">”(emphasis in original).116 [end page 118] </w:t>
      </w:r>
      <w:r w:rsidRPr="00107E4B">
        <w:rPr>
          <w:rStyle w:val="StyleUnderline"/>
        </w:rPr>
        <w:t xml:space="preserve">The “objective” stance of the policymaker is </w:t>
      </w:r>
      <w:r w:rsidRPr="00107E4B">
        <w:rPr>
          <w:rStyle w:val="Emphasis"/>
        </w:rPr>
        <w:t>an impersonal or imperialist persona</w:t>
      </w:r>
      <w:r w:rsidRPr="00107E4B">
        <w:rPr>
          <w:rStyle w:val="StyleUnderline"/>
        </w:rPr>
        <w:t>. The policymaker relies upon “acceptable” forms of evidence, engaging in logical discussion, producing rational thoughts</w:t>
      </w:r>
      <w:r w:rsidRPr="00107E4B">
        <w:rPr>
          <w:sz w:val="14"/>
        </w:rPr>
        <w:t xml:space="preserve">. As Shanahan, and the Louisville debaters’ note, </w:t>
      </w:r>
      <w:r w:rsidRPr="00107E4B">
        <w:rPr>
          <w:rStyle w:val="StyleUnderline"/>
        </w:rPr>
        <w:t xml:space="preserve">such a stance is integrally linked to the </w:t>
      </w:r>
      <w:r w:rsidRPr="00107E4B">
        <w:rPr>
          <w:rStyle w:val="Emphasis"/>
        </w:rPr>
        <w:t>normative</w:t>
      </w:r>
      <w:r w:rsidRPr="00107E4B">
        <w:rPr>
          <w:rStyle w:val="StyleUnderline"/>
        </w:rPr>
        <w:t xml:space="preserve">, </w:t>
      </w:r>
      <w:r w:rsidRPr="00107E4B">
        <w:rPr>
          <w:rStyle w:val="Emphasis"/>
        </w:rPr>
        <w:t>historical</w:t>
      </w:r>
      <w:r w:rsidRPr="00107E4B">
        <w:rPr>
          <w:rStyle w:val="StyleUnderline"/>
        </w:rPr>
        <w:t xml:space="preserve"> and </w:t>
      </w:r>
      <w:r w:rsidRPr="00107E4B">
        <w:rPr>
          <w:rStyle w:val="Emphasis"/>
        </w:rPr>
        <w:t>contemporary practices of power</w:t>
      </w:r>
      <w:r w:rsidRPr="00107E4B">
        <w:rPr>
          <w:rStyle w:val="StyleUnderline"/>
        </w:rPr>
        <w:t xml:space="preserve"> that produce and maintain </w:t>
      </w:r>
      <w:r w:rsidRPr="00107E4B">
        <w:rPr>
          <w:rStyle w:val="Emphasis"/>
        </w:rPr>
        <w:t>varying networks of oppression</w:t>
      </w:r>
      <w:r w:rsidRPr="00107E4B">
        <w:rPr>
          <w:sz w:val="14"/>
        </w:rPr>
        <w:t xml:space="preserve">. In other words, </w:t>
      </w:r>
      <w:r w:rsidRPr="00107E4B">
        <w:rPr>
          <w:rStyle w:val="StyleUnderline"/>
        </w:rPr>
        <w:t xml:space="preserve">the discursive practices of policy-oriented debate are developed </w:t>
      </w:r>
      <w:r w:rsidRPr="00107E4B">
        <w:rPr>
          <w:rStyle w:val="Emphasis"/>
        </w:rPr>
        <w:t>within</w:t>
      </w:r>
      <w:r w:rsidRPr="00107E4B">
        <w:rPr>
          <w:rStyle w:val="StyleUnderline"/>
        </w:rPr>
        <w:t xml:space="preserve">, </w:t>
      </w:r>
      <w:r w:rsidRPr="00107E4B">
        <w:rPr>
          <w:rStyle w:val="Emphasis"/>
        </w:rPr>
        <w:t>through</w:t>
      </w:r>
      <w:r w:rsidRPr="00107E4B">
        <w:rPr>
          <w:rStyle w:val="StyleUnderline"/>
        </w:rPr>
        <w:t xml:space="preserve"> and </w:t>
      </w:r>
      <w:r w:rsidRPr="00107E4B">
        <w:rPr>
          <w:rStyle w:val="Emphasis"/>
        </w:rPr>
        <w:t>from</w:t>
      </w:r>
      <w:r w:rsidRPr="00107E4B">
        <w:rPr>
          <w:rStyle w:val="StyleUnderline"/>
        </w:rPr>
        <w:t xml:space="preserve"> systems of </w:t>
      </w:r>
      <w:r w:rsidRPr="00107E4B">
        <w:rPr>
          <w:rStyle w:val="Emphasis"/>
        </w:rPr>
        <w:t>power and privilege</w:t>
      </w:r>
      <w:r w:rsidRPr="00107E4B">
        <w:rPr>
          <w:rStyle w:val="StyleUnderline"/>
        </w:rPr>
        <w:t xml:space="preserve">. Thus, these practices are </w:t>
      </w:r>
      <w:r w:rsidRPr="00107E4B">
        <w:rPr>
          <w:rStyle w:val="Emphasis"/>
        </w:rPr>
        <w:t>critically implicated in the maintenance of hegemony</w:t>
      </w:r>
      <w:r w:rsidRPr="00107E4B">
        <w:rPr>
          <w:sz w:val="14"/>
        </w:rPr>
        <w:t>. So, rather than seeing themselves as government or state actors, Jones and Green choose to perform themselves in debate, violating the more “objective” stance of the “policymaker” and require their opponents to do the same.</w:t>
      </w:r>
    </w:p>
    <w:p w14:paraId="6C4E6744" w14:textId="77777777" w:rsidR="007E3D3F" w:rsidRPr="00107E4B" w:rsidRDefault="007E3D3F" w:rsidP="007E3D3F">
      <w:pPr>
        <w:rPr>
          <w:sz w:val="14"/>
        </w:rPr>
      </w:pPr>
    </w:p>
    <w:p w14:paraId="16DC9624" w14:textId="77777777" w:rsidR="007E3D3F" w:rsidRPr="00107E4B" w:rsidRDefault="007E3D3F" w:rsidP="007E3D3F"/>
    <w:p w14:paraId="27788F10" w14:textId="77777777" w:rsidR="007E3D3F" w:rsidRPr="00107E4B" w:rsidRDefault="007E3D3F" w:rsidP="007E3D3F">
      <w:pPr>
        <w:pStyle w:val="Heading4"/>
      </w:pPr>
      <w:r w:rsidRPr="00107E4B">
        <w:t xml:space="preserve">Rigid plans are ineffective for education  </w:t>
      </w:r>
    </w:p>
    <w:p w14:paraId="57152430" w14:textId="77777777" w:rsidR="007E3D3F" w:rsidRPr="00107E4B" w:rsidRDefault="007E3D3F" w:rsidP="007E3D3F">
      <w:pPr>
        <w:rPr>
          <w:rStyle w:val="StyleUnderline"/>
        </w:rPr>
      </w:pPr>
      <w:r w:rsidRPr="00107E4B">
        <w:rPr>
          <w:rStyle w:val="Style13ptBold"/>
        </w:rPr>
        <w:t>Sandholtz 11</w:t>
      </w:r>
      <w:r w:rsidRPr="00107E4B">
        <w:rPr>
          <w:rStyle w:val="StyleUnderline"/>
        </w:rPr>
        <w:t xml:space="preserve">, Sandholtz, Judith Haymore. “Preservice Teachers' Conceptions of Effective and Ineffective Teaching Practices.” Teacher Education Quarterly, vol. 38, no. 3, 2011, pp. 27–47. JSTOR, JSTOR, </w:t>
      </w:r>
      <w:hyperlink r:id="rId6" w:history="1">
        <w:r w:rsidRPr="00107E4B">
          <w:rPr>
            <w:rStyle w:val="Hyperlink"/>
          </w:rPr>
          <w:t>www.jstor.org/stable/23479616</w:t>
        </w:r>
      </w:hyperlink>
      <w:r w:rsidRPr="00107E4B">
        <w:rPr>
          <w:rStyle w:val="StyleUnderline"/>
        </w:rPr>
        <w:t xml:space="preserve">. </w:t>
      </w:r>
    </w:p>
    <w:p w14:paraId="611A3B4C" w14:textId="77777777" w:rsidR="007E3D3F" w:rsidRPr="00107E4B" w:rsidRDefault="007E3D3F" w:rsidP="007E3D3F">
      <w:pPr>
        <w:rPr>
          <w:sz w:val="16"/>
        </w:rPr>
      </w:pPr>
      <w:r w:rsidRPr="00107E4B">
        <w:rPr>
          <w:rStyle w:val="StyleUnderline"/>
        </w:rPr>
        <w:t>In other cases, the teachers didn't alter plans</w:t>
      </w:r>
      <w:r w:rsidRPr="00107E4B">
        <w:rPr>
          <w:sz w:val="16"/>
        </w:rPr>
        <w:t xml:space="preserve">, but instead attempted to complete all planned activities. As </w:t>
      </w:r>
      <w:r w:rsidRPr="00107E4B">
        <w:rPr>
          <w:rStyle w:val="StyleUnderline"/>
        </w:rPr>
        <w:t>one teacher stated, she "had all of these good ideas on how to enhance the lesson" and rushed through the activities, but later realized that "it would have been much more effective if I had split it up into two or three separate lessons</w:t>
      </w:r>
      <w:r w:rsidRPr="00107E4B">
        <w:rPr>
          <w:sz w:val="16"/>
        </w:rPr>
        <w:t xml:space="preserve">." </w:t>
      </w:r>
      <w:r w:rsidRPr="00107E4B">
        <w:rPr>
          <w:rStyle w:val="StyleUnderline"/>
        </w:rPr>
        <w:t>One</w:t>
      </w:r>
      <w:r w:rsidRPr="00107E4B">
        <w:rPr>
          <w:sz w:val="16"/>
        </w:rPr>
        <w:t xml:space="preserve"> preservice </w:t>
      </w:r>
      <w:r w:rsidRPr="00107E4B">
        <w:rPr>
          <w:rStyle w:val="StyleUnderline"/>
        </w:rPr>
        <w:t>teacher</w:t>
      </w:r>
      <w:r w:rsidRPr="00107E4B">
        <w:rPr>
          <w:sz w:val="16"/>
        </w:rPr>
        <w:t>, who finally secured a one-hour block of time to teach a science lesson in an elementary classroom</w:t>
      </w:r>
      <w:r w:rsidRPr="00107E4B">
        <w:rPr>
          <w:rStyle w:val="StyleUnderline"/>
        </w:rPr>
        <w:t>, incorporated a variety of teach ing strategies but later acknowledged that "even though the lesson was interesting to students, there was too much information and. .. the students did not benefit much from it</w:t>
      </w:r>
      <w:r w:rsidRPr="00107E4B">
        <w:rPr>
          <w:sz w:val="16"/>
        </w:rPr>
        <w:t xml:space="preserve">." As happened with others, she ended up having to re-teach some concepts. But </w:t>
      </w:r>
      <w:r w:rsidRPr="00107E4B">
        <w:rPr>
          <w:rStyle w:val="StyleUnderline"/>
        </w:rPr>
        <w:t>some teachers couldn't alter their schedules to re-teach.</w:t>
      </w:r>
      <w:r w:rsidRPr="00107E4B">
        <w:rPr>
          <w:sz w:val="16"/>
        </w:rPr>
        <w:t xml:space="preserve"> For instance, </w:t>
      </w:r>
      <w:r w:rsidRPr="00107E4B">
        <w:rPr>
          <w:rStyle w:val="StyleUnderline"/>
        </w:rPr>
        <w:t>a teacher</w:t>
      </w:r>
      <w:r w:rsidRPr="00107E4B">
        <w:rPr>
          <w:sz w:val="16"/>
        </w:rPr>
        <w:t xml:space="preserve"> who was required to follow the district pacing schedule described her frustration when she realized students did not understand the concept and she </w:t>
      </w:r>
      <w:r w:rsidRPr="00107E4B">
        <w:rPr>
          <w:rStyle w:val="StyleUnderline"/>
        </w:rPr>
        <w:t>"could not go back and re-teach" the next day</w:t>
      </w:r>
      <w:r w:rsidRPr="00107E4B">
        <w:rPr>
          <w:sz w:val="16"/>
        </w:rPr>
        <w:t xml:space="preserve"> after finding an alternative strategy</w:t>
      </w:r>
      <w:r w:rsidRPr="00107E4B">
        <w:rPr>
          <w:rStyle w:val="StyleUnderline"/>
        </w:rPr>
        <w:t>. Instead, she "had to move on knowing they didn't understand." Another student teacher wanted "to include more hands-on activities and try to spend more time on each lesson to ensure that students were grasping concepts and were really ready to move on to the next level," but she was required to teach one mathematics lesson</w:t>
      </w:r>
      <w:r w:rsidRPr="00107E4B">
        <w:rPr>
          <w:sz w:val="16"/>
        </w:rPr>
        <w:t xml:space="preserve"> from the book </w:t>
      </w:r>
      <w:r w:rsidRPr="00107E4B">
        <w:rPr>
          <w:rStyle w:val="StyleUnderline"/>
        </w:rPr>
        <w:t>each day</w:t>
      </w:r>
      <w:r w:rsidRPr="00107E4B">
        <w:rPr>
          <w:sz w:val="16"/>
        </w:rPr>
        <w:t>.</w:t>
      </w:r>
    </w:p>
    <w:p w14:paraId="4661C819" w14:textId="77777777" w:rsidR="007E3D3F" w:rsidRPr="00107E4B" w:rsidRDefault="007E3D3F" w:rsidP="007E3D3F">
      <w:pPr>
        <w:pStyle w:val="Heading4"/>
      </w:pPr>
      <w:r w:rsidRPr="00107E4B">
        <w:t>Plan based debate relies on a topic wording that inherently gives agency and only gives power to debaters who have access to the state, and limits out a literature base of critical race studies which reaffies structures of oppression.</w:t>
      </w:r>
    </w:p>
    <w:p w14:paraId="304639BB" w14:textId="77777777" w:rsidR="007E3D3F" w:rsidRPr="00107E4B" w:rsidRDefault="007E3D3F" w:rsidP="007E3D3F">
      <w:pPr>
        <w:rPr>
          <w:rFonts w:ascii="Times New Roman" w:eastAsia="Times New Roman" w:hAnsi="Times New Roman" w:cs="Times New Roman"/>
        </w:rPr>
      </w:pPr>
    </w:p>
    <w:p w14:paraId="11217BD3" w14:textId="77777777" w:rsidR="007E3D3F" w:rsidRPr="00107E4B" w:rsidRDefault="007E3D3F" w:rsidP="007E3D3F">
      <w:pPr>
        <w:rPr>
          <w:rFonts w:ascii="Times New Roman" w:eastAsia="Times New Roman" w:hAnsi="Times New Roman" w:cs="Times New Roman"/>
        </w:rPr>
      </w:pPr>
      <w:r w:rsidRPr="00107E4B">
        <w:rPr>
          <w:rFonts w:ascii="Times New Roman" w:eastAsia="Times New Roman" w:hAnsi="Times New Roman" w:cs="Times New Roman"/>
        </w:rPr>
        <w:t>Dillard-Knox, Tiffany Yvonne, "Against the grain : the challenges of black discourse within intercollegiate policy debate." (2014). Electronic Theses and Dissertations. Paper 2161./cdc</w:t>
      </w:r>
    </w:p>
    <w:p w14:paraId="4C980CAB" w14:textId="77777777" w:rsidR="007E3D3F" w:rsidRPr="00107E4B" w:rsidRDefault="007E3D3F" w:rsidP="007E3D3F">
      <w:pPr>
        <w:rPr>
          <w:rFonts w:ascii="Times New Roman" w:eastAsia="Times New Roman" w:hAnsi="Times New Roman" w:cs="Times New Roman"/>
        </w:rPr>
      </w:pPr>
    </w:p>
    <w:p w14:paraId="002ACCC0" w14:textId="77777777" w:rsidR="007E3D3F" w:rsidRPr="00107E4B" w:rsidRDefault="007E3D3F" w:rsidP="007E3D3F">
      <w:pPr>
        <w:rPr>
          <w:rStyle w:val="Emphasis"/>
        </w:rPr>
      </w:pPr>
      <w:r w:rsidRPr="00107E4B">
        <w:rPr>
          <w:rFonts w:ascii="Times New Roman" w:eastAsia="Times New Roman" w:hAnsi="Times New Roman" w:cs="Times New Roman"/>
          <w:sz w:val="16"/>
        </w:rPr>
        <w:t xml:space="preserve">Historically, </w:t>
      </w:r>
      <w:r w:rsidRPr="00107E4B">
        <w:rPr>
          <w:rStyle w:val="Emphasis"/>
        </w:rPr>
        <w:t>the topics that have been selected have been constructed utilizing the active voice as opposed to a passive voice</w:t>
      </w:r>
      <w:r w:rsidRPr="00107E4B">
        <w:rPr>
          <w:rFonts w:ascii="Times New Roman" w:eastAsia="Times New Roman" w:hAnsi="Times New Roman" w:cs="Times New Roman"/>
          <w:sz w:val="16"/>
        </w:rPr>
        <w:t xml:space="preserve">. An active voice example would be, ―Resolved: The United States Federal Government should substantially increase statutory and/or judicial restrictions on the war powers authority of the President of the United States.‖ A passive voice example would be, ―Resolved: The war powers authority of the President of the United States should be substantially restricted.‖ </w:t>
      </w:r>
      <w:r w:rsidRPr="00107E4B">
        <w:rPr>
          <w:rStyle w:val="Emphasis"/>
        </w:rPr>
        <w:t xml:space="preserve">The active voice topics require debaters to defend that the United States Federal Government </w:t>
      </w:r>
      <w:r w:rsidRPr="00107E4B">
        <w:rPr>
          <w:rFonts w:ascii="Times New Roman" w:eastAsia="Times New Roman" w:hAnsi="Times New Roman" w:cs="Times New Roman"/>
          <w:sz w:val="16"/>
        </w:rPr>
        <w:t xml:space="preserve">―do something‖ in a more limited capacity, whereas a passive voice topic could allow debaters the opportunity to defend a variety of interpretations of ―something being done‖ by or to the United States Federal Government. </w:t>
      </w:r>
      <w:r w:rsidRPr="00107E4B">
        <w:rPr>
          <w:rStyle w:val="Emphasis"/>
        </w:rPr>
        <w:t>The active voice topic always gives the agency to act to the United States Government.</w:t>
      </w:r>
      <w:r w:rsidRPr="00107E4B">
        <w:rPr>
          <w:rFonts w:ascii="Times New Roman" w:eastAsia="Times New Roman" w:hAnsi="Times New Roman" w:cs="Times New Roman"/>
          <w:sz w:val="16"/>
        </w:rPr>
        <w:t xml:space="preserve"> For students that see themselves as having the possibility to access these positions of power, acquiring these skills become empowering. However, many </w:t>
      </w:r>
      <w:r w:rsidRPr="00107E4B">
        <w:rPr>
          <w:rStyle w:val="Emphasis"/>
        </w:rPr>
        <w:t>marginalized students come to Debate from communities that have historically been excluded from these positions of power. Having a passive topic that removes the agency from the United States Federal Government and allows debaters the flexibility to choose who has agency thus becomes more empowering to this population of students</w:t>
      </w:r>
      <w:r w:rsidRPr="00107E4B">
        <w:rPr>
          <w:rFonts w:ascii="Times New Roman" w:eastAsia="Times New Roman" w:hAnsi="Times New Roman" w:cs="Times New Roman"/>
          <w:sz w:val="16"/>
        </w:rPr>
        <w:t xml:space="preserve">. These students would then be more motivated to participate in the process of 70 debate through which they can acquire a variety of skill sets from politician to </w:t>
      </w:r>
      <w:r w:rsidRPr="00107E4B">
        <w:rPr>
          <w:rFonts w:ascii="Times New Roman" w:eastAsia="Times New Roman" w:hAnsi="Times New Roman" w:cs="Times New Roman"/>
          <w:sz w:val="16"/>
        </w:rPr>
        <w:lastRenderedPageBreak/>
        <w:t>community activist. Secondly, t</w:t>
      </w:r>
      <w:r w:rsidRPr="00107E4B">
        <w:rPr>
          <w:rStyle w:val="Emphasis"/>
        </w:rPr>
        <w:t>he literature base used to construct the topic has failed to include perspectives found within the race literature,</w:t>
      </w:r>
      <w:r w:rsidRPr="00107E4B">
        <w:rPr>
          <w:rFonts w:ascii="Times New Roman" w:eastAsia="Times New Roman" w:hAnsi="Times New Roman" w:cs="Times New Roman"/>
          <w:sz w:val="16"/>
        </w:rPr>
        <w:t xml:space="preserve"> such as the legal and political scholarship of Derrick Bell (1992), Cornel West (1994), and bell hooks (1995). </w:t>
      </w:r>
      <w:r w:rsidRPr="00107E4B">
        <w:rPr>
          <w:rStyle w:val="Emphasis"/>
        </w:rPr>
        <w:t>Very little, if any, attention has been given to Critical Race Theory or Critical Legal Studies within the chosen controversy areas, such as Immigration and Supreme Court Cases</w:t>
      </w:r>
      <w:r w:rsidRPr="00107E4B">
        <w:rPr>
          <w:rFonts w:ascii="Times New Roman" w:eastAsia="Times New Roman" w:hAnsi="Times New Roman" w:cs="Times New Roman"/>
          <w:sz w:val="16"/>
        </w:rPr>
        <w:t xml:space="preserve">. </w:t>
      </w:r>
      <w:r w:rsidRPr="00107E4B">
        <w:rPr>
          <w:rStyle w:val="Emphasis"/>
        </w:rPr>
        <w:t>Even when topic papers are submitted that do include this literature, they are rarely,</w:t>
      </w:r>
      <w:r w:rsidRPr="00107E4B">
        <w:rPr>
          <w:rFonts w:ascii="Times New Roman" w:eastAsia="Times New Roman" w:hAnsi="Times New Roman" w:cs="Times New Roman"/>
          <w:sz w:val="16"/>
        </w:rPr>
        <w:t xml:space="preserve"> if </w:t>
      </w:r>
      <w:r w:rsidRPr="00107E4B">
        <w:rPr>
          <w:rStyle w:val="Emphasis"/>
        </w:rPr>
        <w:t>ever selected in the voting process.</w:t>
      </w:r>
      <w:r w:rsidRPr="00107E4B">
        <w:rPr>
          <w:rFonts w:ascii="Times New Roman" w:eastAsia="Times New Roman" w:hAnsi="Times New Roman" w:cs="Times New Roman"/>
          <w:sz w:val="16"/>
        </w:rPr>
        <w:t xml:space="preserve"> This is important to the conversation of debating the topic in that the topic paper sets the definitional guidelines of what is considered topical. If the topic paper is limited to the language and perspective of the dominant, then so too will the </w:t>
      </w:r>
      <w:r w:rsidRPr="00107E4B">
        <w:rPr>
          <w:rStyle w:val="Emphasis"/>
        </w:rPr>
        <w:t>debates be limited to the language and perspective of the dominant</w:t>
      </w:r>
      <w:r w:rsidRPr="00107E4B">
        <w:rPr>
          <w:rFonts w:ascii="Times New Roman" w:eastAsia="Times New Roman" w:hAnsi="Times New Roman" w:cs="Times New Roman"/>
          <w:sz w:val="16"/>
        </w:rPr>
        <w:t xml:space="preserve">. Thus, it could be argued that </w:t>
      </w:r>
      <w:r w:rsidRPr="00107E4B">
        <w:rPr>
          <w:rStyle w:val="Emphasis"/>
        </w:rPr>
        <w:t xml:space="preserve">the topic does not account for the discourse strategies of marginalized populations and could be an additional source of exclusion from Debate. </w:t>
      </w:r>
    </w:p>
    <w:p w14:paraId="04FD7FF3" w14:textId="77777777" w:rsidR="007E3D3F" w:rsidRPr="00107E4B" w:rsidRDefault="007E3D3F" w:rsidP="007E3D3F">
      <w:pPr>
        <w:pStyle w:val="Heading4"/>
      </w:pPr>
      <w:r w:rsidRPr="00107E4B">
        <w:t>The rejection of fiat in debate allows debaters to reclaim agency and empowerment in order to challenge the power structures that fiat enforces.</w:t>
      </w:r>
    </w:p>
    <w:p w14:paraId="0C22487A" w14:textId="77777777" w:rsidR="007E3D3F" w:rsidRPr="00107E4B" w:rsidRDefault="007E3D3F" w:rsidP="007E3D3F"/>
    <w:p w14:paraId="1A431ED7" w14:textId="77777777" w:rsidR="007E3D3F" w:rsidRPr="00107E4B" w:rsidRDefault="007E3D3F" w:rsidP="007E3D3F">
      <w:pPr>
        <w:rPr>
          <w:rFonts w:ascii="Times New Roman" w:eastAsia="Times New Roman" w:hAnsi="Times New Roman" w:cs="Times New Roman"/>
        </w:rPr>
      </w:pPr>
      <w:r w:rsidRPr="00107E4B">
        <w:rPr>
          <w:rFonts w:ascii="Times New Roman" w:eastAsia="Times New Roman" w:hAnsi="Times New Roman" w:cs="Times New Roman"/>
        </w:rPr>
        <w:t>Dillard-Knox, Tiffany Yvonne, "Against the grain : the challenges of black discourse within intercollegiate policy debate." (2014). Electronic Theses and Dissertations. Paper 2161./cdc</w:t>
      </w:r>
    </w:p>
    <w:p w14:paraId="1C02D957" w14:textId="77777777" w:rsidR="007E3D3F" w:rsidRPr="00107E4B" w:rsidRDefault="007E3D3F" w:rsidP="007E3D3F">
      <w:pPr>
        <w:rPr>
          <w:rFonts w:ascii="Times New Roman" w:eastAsia="Times New Roman" w:hAnsi="Times New Roman" w:cs="Times New Roman"/>
        </w:rPr>
      </w:pPr>
    </w:p>
    <w:p w14:paraId="3458956B" w14:textId="77777777" w:rsidR="007E3D3F" w:rsidRPr="00107E4B" w:rsidRDefault="007E3D3F" w:rsidP="007E3D3F">
      <w:pPr>
        <w:rPr>
          <w:rFonts w:ascii="Times New Roman" w:eastAsia="Times New Roman" w:hAnsi="Times New Roman" w:cs="Times New Roman"/>
          <w:sz w:val="14"/>
        </w:rPr>
      </w:pPr>
      <w:r w:rsidRPr="00107E4B">
        <w:rPr>
          <w:rFonts w:ascii="Times New Roman" w:eastAsia="Times New Roman" w:hAnsi="Times New Roman" w:cs="Times New Roman"/>
          <w:sz w:val="14"/>
        </w:rPr>
        <w:t xml:space="preserve">A major concept that determines strategic decisions in any given debate is the notion of fiat and the idea of role playing. </w:t>
      </w:r>
      <w:r w:rsidRPr="00107E4B">
        <w:rPr>
          <w:rStyle w:val="Emphasis"/>
        </w:rPr>
        <w:t>Fiat is a convention whereas debaters can assume a hypothetical implementation</w:t>
      </w:r>
      <w:r w:rsidRPr="00107E4B">
        <w:rPr>
          <w:rFonts w:ascii="Times New Roman" w:eastAsia="Times New Roman" w:hAnsi="Times New Roman" w:cs="Times New Roman"/>
          <w:sz w:val="14"/>
        </w:rPr>
        <w:t xml:space="preserve"> of a particular policy. This allows debaters to focus on whether a policy ―should‖ be adopted and avoids discussions of whether it ―would‖ be adopted. The purpose of fiat is to require the debaters to debate the merits of the proposition, and not the political machinations of how one might garner the votes necessary for enactment (Freeley and Steinberg, p. 71). </w:t>
      </w:r>
      <w:r w:rsidRPr="00107E4B">
        <w:rPr>
          <w:rStyle w:val="Emphasis"/>
        </w:rPr>
        <w:t>This notion of fiat is one place where alternative debate has broken from tradition in order to employ strategies that focused on in-round actions rather than a hypothetical implementation of a plan, or proposed policy action. The debaters were no longer limited to a hypothetical testing of policies that the United States Federal Government should or should not enact</w:t>
      </w:r>
      <w:r w:rsidRPr="00107E4B">
        <w:rPr>
          <w:rFonts w:ascii="Times New Roman" w:eastAsia="Times New Roman" w:hAnsi="Times New Roman" w:cs="Times New Roman"/>
          <w:sz w:val="14"/>
        </w:rPr>
        <w:t xml:space="preserve">. </w:t>
      </w:r>
      <w:r w:rsidRPr="00107E4B">
        <w:rPr>
          <w:rStyle w:val="Emphasis"/>
        </w:rPr>
        <w:t xml:space="preserve">Instead, the debaters began challenging the language and presentational choices made in debates. </w:t>
      </w:r>
      <w:r w:rsidRPr="00107E4B">
        <w:rPr>
          <w:rFonts w:ascii="Times New Roman" w:eastAsia="Times New Roman" w:hAnsi="Times New Roman" w:cs="Times New Roman"/>
          <w:sz w:val="14"/>
        </w:rPr>
        <w:t xml:space="preserve">These debaters initiated challenges to traditional concepts regarding what constitutes valuable debate by incorporating music, drama and personal narrative. Until recently, Debate was viewed primarily as an academic game (Snider, 1984). While there is value in the use of game simulation theory, </w:t>
      </w:r>
      <w:r w:rsidRPr="00107E4B">
        <w:rPr>
          <w:rStyle w:val="Emphasis"/>
        </w:rPr>
        <w:t>this use of ―gaming‖ as a way to view debating, allows one to speculate about the ―what-ifs‖ of the future while ignoring the potential power in dealing with the right now.</w:t>
      </w:r>
      <w:r w:rsidRPr="00107E4B">
        <w:rPr>
          <w:rFonts w:ascii="Times New Roman" w:eastAsia="Times New Roman" w:hAnsi="Times New Roman" w:cs="Times New Roman"/>
          <w:sz w:val="14"/>
        </w:rPr>
        <w:t xml:space="preserve"> </w:t>
      </w:r>
      <w:r w:rsidRPr="00107E4B">
        <w:rPr>
          <w:rStyle w:val="Emphasis"/>
        </w:rPr>
        <w:t>Components of alternative debate provide the tools necessary for acknowledging and proposing solutions for the problems of right now</w:t>
      </w:r>
      <w:r w:rsidRPr="00107E4B">
        <w:rPr>
          <w:rFonts w:ascii="Times New Roman" w:eastAsia="Times New Roman" w:hAnsi="Times New Roman" w:cs="Times New Roman"/>
          <w:sz w:val="14"/>
        </w:rPr>
        <w:t xml:space="preserve">. Advocates of alternative debate see the activity as </w:t>
      </w:r>
      <w:r w:rsidRPr="00107E4B">
        <w:rPr>
          <w:rStyle w:val="Emphasis"/>
        </w:rPr>
        <w:t>having the 19 potential to be an educational tool of empowerment</w:t>
      </w:r>
      <w:r w:rsidRPr="00107E4B">
        <w:rPr>
          <w:rFonts w:ascii="Times New Roman" w:eastAsia="Times New Roman" w:hAnsi="Times New Roman" w:cs="Times New Roman"/>
          <w:sz w:val="14"/>
        </w:rPr>
        <w:t xml:space="preserve"> (Warner and Bruschke, 2001). Participants, who engage in debates from an alternative standpoint, view themselves not only as players of a game, but agents of social change. This change occurs in both form and content. In alternative debates, also known as </w:t>
      </w:r>
      <w:r w:rsidRPr="00107E4B">
        <w:rPr>
          <w:rStyle w:val="Emphasis"/>
        </w:rPr>
        <w:t>performance debate, students will utilize</w:t>
      </w:r>
      <w:r w:rsidRPr="00107E4B">
        <w:rPr>
          <w:rFonts w:ascii="Times New Roman" w:eastAsia="Times New Roman" w:hAnsi="Times New Roman" w:cs="Times New Roman"/>
          <w:sz w:val="14"/>
        </w:rPr>
        <w:t xml:space="preserve"> what has come to be called a three-tier process. The three-tier process includes </w:t>
      </w:r>
      <w:r w:rsidRPr="00107E4B">
        <w:rPr>
          <w:rStyle w:val="Emphasis"/>
        </w:rPr>
        <w:t>personal experience, organic intellectuals, and academic intellectuals</w:t>
      </w:r>
      <w:r w:rsidRPr="00107E4B">
        <w:rPr>
          <w:rFonts w:ascii="Times New Roman" w:eastAsia="Times New Roman" w:hAnsi="Times New Roman" w:cs="Times New Roman"/>
          <w:sz w:val="14"/>
        </w:rPr>
        <w:t xml:space="preserve">. According to Nathan Abrams (1995), organic intellectuals have four characteristics. They must be a member of an ―aggrieved community.‖ As members of an aggrieved community, they should </w:t>
      </w:r>
      <w:r w:rsidRPr="00107E4B">
        <w:rPr>
          <w:rStyle w:val="Emphasis"/>
        </w:rPr>
        <w:t>reflect the needs of that community</w:t>
      </w:r>
      <w:r w:rsidRPr="00107E4B">
        <w:rPr>
          <w:rFonts w:ascii="Times New Roman" w:eastAsia="Times New Roman" w:hAnsi="Times New Roman" w:cs="Times New Roman"/>
          <w:sz w:val="14"/>
        </w:rPr>
        <w:t xml:space="preserve">. Thirdly, they attempt to </w:t>
      </w:r>
      <w:r w:rsidRPr="00107E4B">
        <w:rPr>
          <w:rStyle w:val="Emphasis"/>
        </w:rPr>
        <w:t>challenge the power structures through the dissemination of subversive ideas</w:t>
      </w:r>
      <w:r w:rsidRPr="00107E4B">
        <w:rPr>
          <w:rFonts w:ascii="Times New Roman" w:eastAsia="Times New Roman" w:hAnsi="Times New Roman" w:cs="Times New Roman"/>
          <w:sz w:val="14"/>
        </w:rPr>
        <w:t xml:space="preserve">. The final characteristic is that they strive </w:t>
      </w:r>
      <w:r w:rsidRPr="00107E4B">
        <w:rPr>
          <w:rStyle w:val="Emphasis"/>
        </w:rPr>
        <w:t>to construct an ―historical block—a coalition of oppositional groups united around these subversive ideas</w:t>
      </w:r>
      <w:r w:rsidRPr="00107E4B">
        <w:rPr>
          <w:rFonts w:ascii="Times New Roman" w:eastAsia="Times New Roman" w:hAnsi="Times New Roman" w:cs="Times New Roman"/>
          <w:sz w:val="14"/>
        </w:rPr>
        <w:t xml:space="preserve">. Academic intellectuals are academic experts in a particular field of research whose work is published in scholarly journals, non-fiction books, and other scholarly work, such as: theses, dissertations, and conference papers. Bartanen (1995) has described this type of knowledge as ―authoritative evidence from an objective source.‖ Elizabeth Jones of the University of Louisville described the function of the three-tier process as a method of validation: A way in which you can validate our claims, is through the three-tier process. And we talk about personal experience, organic intellectuals, and academic intellectuals. Let me give you an analogy. If you place an elephant in the room and send in [sic] three blind folded people into the room, and each of them are touching a different part of the elephant. And they come back outside and you ask each different person they gone [sic] have a different idea about what they was [sic] talking about. But, if you let those people converse and bring those three 20 different people together then you can achieve a greater truth (Reid-Brinkley, 2008, p. 84). 4 </w:t>
      </w:r>
      <w:r w:rsidRPr="00107E4B">
        <w:rPr>
          <w:rStyle w:val="Emphasis"/>
        </w:rPr>
        <w:t xml:space="preserve">This method of validation allows debaters to insert </w:t>
      </w:r>
      <w:r w:rsidRPr="00107E4B">
        <w:rPr>
          <w:rStyle w:val="Emphasis"/>
        </w:rPr>
        <w:lastRenderedPageBreak/>
        <w:t>experiences and voices into debates that have traditionally been left out and/or marginalized.</w:t>
      </w:r>
      <w:r w:rsidRPr="00107E4B">
        <w:rPr>
          <w:rFonts w:ascii="Times New Roman" w:eastAsia="Times New Roman" w:hAnsi="Times New Roman" w:cs="Times New Roman"/>
          <w:sz w:val="14"/>
        </w:rPr>
        <w:t xml:space="preserve"> This concept comes from critical legal scholar Mari Matsuda‘s method of ―looking to the bottom.‖ Matsuda (1987) argues that, ―those who have experienced discrimination speak with a special voice to which we should listen (p. 324)‖ The presentation of argument in alternative debates can encompass the performance of rap music, poetry, metaphors and other art forms during a round (Polson, 2012). Freeley and Steinberg quote Jones‘ presentation of the following rap as a part of her affirmative case in favor of U.S. withdrawal from NATO: Roma people feel just like me, tired of being deprived of their liberty. Relegated to ghettos, held as slaves, poor health care leading to early graves. Prison scars, from prison bars, walking round the prison yard. No running water, no heat, no jobs, and everything you‘ve seemed to love, you‘ve lost. While the rich get richer, who‘s paying the cost? George Soros, Bill Clinton, to Dick Cheney, the so-called bearers of democracy. NATO represents the military wing, of the all-powerful capitalist regime. While you think gangsters listen to rap and sag, They really wear suits and carry leather bags. Politicians with the power to pick, define, and choose who will win and who will lose. Not hearing the Roma or Palestine, I guess it depends how genocide is defined (p.233)5 . 4 Alternative framework used by the University of Louisville and explanation of that framework as cited by Shanara Reid-Brinkley (2008), taken from a video of a debate speech given by Elizabeth Jones. Emory University Vs. University of Louisville, Double-Octa-Finals Ceda Nationals: Second Negative Rebuttal (Louisville, KY: 2004). 5 Spoken word piece written by Elizabeth Jones as part of her 1AC. 21 While this form of presentation is representative of a cultural art form, it is not limited to just art for art‘s sake. According to Polson, the use of musical and narrative forms in performance debate exemplifies a type of meta-information. An example of this can be seen in the excerpt above. Jones uses spoken word, not only as a performative piece, but also to describe the similarities of the relationship of some Blacks with American institutions to the relationship of the Roma people with NATO (North Atlantic Treaty Organization). These similarities are not connections that are easily recognized by outsiders of either subordinate group. Secondly, Jones plays on the word ―gangsters.‖ Instead of what people typically thinks of as a gangster, she applies it to politicians. The visual that she creates with her description of gangsters ―wearing suits and carrying leather bags‖ as opposed to ―listen(ing) to rap and sag(ging),‖ is part of the metainformation that Polson has articulated. Polson goes on to say, ―the form provides instruction to the listener about how to perceive and interpret the debate (p. 16).‖ The relationship that is created within Jones‘ spoken word piece, informs the judge that there are more ways to discuss justifying the United States Federal Government‘s ―full withdrawal from NATO‖ than by any singular understanding of the topic, as framed by the authors of the topic paper. </w:t>
      </w:r>
    </w:p>
    <w:p w14:paraId="4568EB8C" w14:textId="77777777" w:rsidR="007E3D3F" w:rsidRPr="00107E4B" w:rsidRDefault="007E3D3F" w:rsidP="007E3D3F">
      <w:pPr>
        <w:pStyle w:val="Heading4"/>
      </w:pPr>
      <w:r w:rsidRPr="00107E4B">
        <w:t>Modes of activism and engagement for youths have been limited by the affirmative’s plan text-state based methods</w:t>
      </w:r>
    </w:p>
    <w:p w14:paraId="6521287F" w14:textId="77777777" w:rsidR="007E3D3F" w:rsidRPr="00107E4B" w:rsidRDefault="007E3D3F" w:rsidP="007E3D3F">
      <w:pPr>
        <w:pStyle w:val="Heading4"/>
        <w:rPr>
          <w:rStyle w:val="Style13ptBold"/>
          <w:sz w:val="20"/>
        </w:rPr>
      </w:pPr>
      <w:r w:rsidRPr="00107E4B">
        <w:rPr>
          <w:rStyle w:val="Style13ptBold"/>
          <w:b/>
          <w:sz w:val="20"/>
        </w:rPr>
        <w:t>Kennelly 09</w:t>
      </w:r>
      <w:r w:rsidRPr="00107E4B">
        <w:rPr>
          <w:rStyle w:val="Style13ptBold"/>
          <w:sz w:val="20"/>
        </w:rPr>
        <w:t xml:space="preserve">, </w:t>
      </w:r>
    </w:p>
    <w:p w14:paraId="441B6EFF" w14:textId="77777777" w:rsidR="007E3D3F" w:rsidRPr="00107E4B" w:rsidRDefault="007E3D3F" w:rsidP="007E3D3F">
      <w:r w:rsidRPr="00107E4B">
        <w:t>(Jacqueline Kennelly (2009) Good Citizen/Bad Activist: The Cultural Role of the State in Youth Activism, The Review of Education, Pedagogy, and Cultural Studies , page 144-145, &lt; https://www.tandfonline.com/doi/figure/10.1080/10714410902827135?scroll=top&amp;needAccess=true&gt;)</w:t>
      </w:r>
    </w:p>
    <w:p w14:paraId="6B7E04D3" w14:textId="77777777" w:rsidR="007E3D3F" w:rsidRPr="00107E4B" w:rsidRDefault="007E3D3F" w:rsidP="007E3D3F">
      <w:pPr>
        <w:rPr>
          <w:b/>
          <w:u w:val="single"/>
        </w:rPr>
      </w:pPr>
      <w:r w:rsidRPr="00107E4B">
        <w:t xml:space="preserve">The production and regulation of the good citizen within the Canadian state is accomplished through a variety of cultural means, which emanate from schooling and also extend beyond its bound- aries. The possibility for active participation within the state, while explicated as an ideal of the new civics curricula, comes with a set of limits and expectations about what such participation looks like. </w:t>
      </w:r>
      <w:r w:rsidRPr="00107E4B">
        <w:rPr>
          <w:b/>
          <w:u w:val="single"/>
        </w:rPr>
        <w:t>Drawing on histories of liberalism and current ideologies of neoliberalism, the active citizen of contemporary civics curricula is one who engages with the state through self-regulated acts of responsible citizenship that are limited to individual encounters with the electoral process, charitable community work, and=or participation through formal aspects of the political system, such as official parties</w:t>
      </w:r>
      <w:r w:rsidRPr="00107E4B">
        <w:rPr>
          <w:b/>
        </w:rPr>
        <w:t>.</w:t>
      </w:r>
      <w:r w:rsidRPr="00107E4B">
        <w:t xml:space="preserve"> This article has also sought to demonstrate how histories of racism and classism continue to shape the experiences of young people attempting to take up concepts and practices of citizenship. The submerged cultural messages that young people encounter provide evidence for them that the rewards and benefits of such participation are aligned with stratifications of class and race. Although the experiences of working class, Aboriginal and racialized young people are diverse, participants’ reflections within this research project highlight the ways in which their experiences within the school system and among their peers can reinforce the belief that the forms of belonging to be found within the idea of the good citizen is not for them. This is because </w:t>
      </w:r>
      <w:r w:rsidRPr="00107E4B">
        <w:rPr>
          <w:b/>
          <w:u w:val="single"/>
        </w:rPr>
        <w:t>good citizenship</w:t>
      </w:r>
      <w:r w:rsidRPr="00107E4B">
        <w:t xml:space="preserve">, as it is elaborated within the cultural sphere, </w:t>
      </w:r>
      <w:r w:rsidRPr="00107E4B">
        <w:rPr>
          <w:b/>
          <w:u w:val="single"/>
        </w:rPr>
        <w:t>continues to be heavily regulated and governed through the languages and contingent discourses of normative liberal principles</w:t>
      </w:r>
      <w:r w:rsidRPr="00107E4B">
        <w:t xml:space="preserve">, which are in turn grounded within a history of symbolic domination that perpetuates class and race disadvantages. </w:t>
      </w:r>
      <w:r w:rsidRPr="00107E4B">
        <w:rPr>
          <w:u w:val="single"/>
        </w:rPr>
        <w:t xml:space="preserve">Even those who venture into the realm of activism receive their warning about where the limits to legitimate citizenship lie. Through practices of policing and the justice </w:t>
      </w:r>
      <w:r w:rsidRPr="00107E4B">
        <w:rPr>
          <w:u w:val="single"/>
        </w:rPr>
        <w:lastRenderedPageBreak/>
        <w:t>system, young people are given a clear message about the boundaries of permissible citizenship.</w:t>
      </w:r>
      <w:r w:rsidRPr="00107E4B">
        <w:t xml:space="preserve"> What is of interest, I would suggest, is that the recent rise in civics curricula across Western liberal democratic states (including Canada) indicates some degree of uncertainty about how well the state is managing to encourage the appropriate self- regulation of its own citizens. Particularly in the face of </w:t>
      </w:r>
      <w:r w:rsidRPr="00107E4B">
        <w:rPr>
          <w:b/>
          <w:u w:val="single"/>
        </w:rPr>
        <w:t>policy priorities</w:t>
      </w:r>
      <w:r w:rsidRPr="00107E4B">
        <w:t xml:space="preserve"> that have resulted in growing disparities between rich and poor, alongside the ever-increasing policing of borders that have emerged in the post–9=11 world, perhaps the recent increase in civics education ought to be understood, at least in part, as a form of governance that is intended to quell the emergent strands of critique that saw their expression through the mass mobilizations in Seattle, Quebec, and elsewhere. It is perhaps indicative of the urgency of our times that the cultural space within which young activists work—permeated by state norms and heavily policed—functions as a form of containment for any dissident expression that threatens to undermine state legitimacy. It thus </w:t>
      </w:r>
      <w:r w:rsidRPr="00107E4B">
        <w:rPr>
          <w:b/>
          <w:u w:val="single"/>
        </w:rPr>
        <w:t xml:space="preserve">counters the potential for activism to generate a more diverse and democratic public sphere, an unfortunate consequence in a time where all creative energies are required to resolve the dilemmas we currently face. </w:t>
      </w:r>
    </w:p>
    <w:p w14:paraId="5C8C0AD6" w14:textId="77777777" w:rsidR="007E3D3F" w:rsidRPr="00107E4B" w:rsidRDefault="007E3D3F" w:rsidP="007E3D3F">
      <w:pPr>
        <w:pStyle w:val="Heading4"/>
        <w:rPr>
          <w:rFonts w:eastAsia="Times New Roman"/>
          <w:szCs w:val="24"/>
          <w:lang w:bidi="mr-IN"/>
        </w:rPr>
      </w:pPr>
      <w:r w:rsidRPr="00107E4B">
        <w:rPr>
          <w:rFonts w:eastAsia="Times New Roman"/>
          <w:lang w:bidi="mr-IN"/>
        </w:rPr>
        <w:t xml:space="preserve">Debates about critical pedagogy and activism are vital to stopping </w:t>
      </w:r>
      <w:r w:rsidRPr="00107E4B">
        <w:rPr>
          <w:rFonts w:eastAsia="Times New Roman"/>
          <w:u w:val="single"/>
          <w:lang w:bidi="mr-IN"/>
        </w:rPr>
        <w:t xml:space="preserve">anti-democratic norms </w:t>
      </w:r>
      <w:r w:rsidRPr="00107E4B">
        <w:rPr>
          <w:rFonts w:eastAsia="Times New Roman"/>
          <w:lang w:bidi="mr-IN"/>
        </w:rPr>
        <w:t xml:space="preserve">— addresses </w:t>
      </w:r>
      <w:r w:rsidRPr="00107E4B">
        <w:rPr>
          <w:rFonts w:eastAsia="Times New Roman"/>
          <w:u w:val="single"/>
          <w:lang w:bidi="mr-IN"/>
        </w:rPr>
        <w:t>argumentative agency</w:t>
      </w:r>
      <w:r w:rsidRPr="00107E4B">
        <w:rPr>
          <w:rFonts w:eastAsia="Times New Roman"/>
          <w:lang w:bidi="mr-IN"/>
        </w:rPr>
        <w:t xml:space="preserve"> and leads to </w:t>
      </w:r>
      <w:r w:rsidRPr="00107E4B">
        <w:rPr>
          <w:rFonts w:eastAsia="Times New Roman"/>
          <w:u w:val="single"/>
          <w:lang w:bidi="mr-IN"/>
        </w:rPr>
        <w:t>real change.</w:t>
      </w:r>
    </w:p>
    <w:p w14:paraId="03889B13" w14:textId="77777777" w:rsidR="007E3D3F" w:rsidRDefault="007E3D3F" w:rsidP="007E3D3F">
      <w:pPr>
        <w:spacing w:line="240" w:lineRule="auto"/>
        <w:rPr>
          <w:rFonts w:ascii="Arial" w:eastAsia="Times New Roman" w:hAnsi="Arial" w:cs="Arial"/>
          <w:color w:val="000000"/>
          <w:sz w:val="16"/>
          <w:szCs w:val="16"/>
          <w:lang w:bidi="mr-IN"/>
        </w:rPr>
      </w:pPr>
      <w:r w:rsidRPr="00107E4B">
        <w:rPr>
          <w:rStyle w:val="Style13ptBold"/>
          <w:lang w:bidi="mr-IN"/>
        </w:rPr>
        <w:t>Giroux 12</w:t>
      </w:r>
      <w:r w:rsidRPr="00107E4B">
        <w:rPr>
          <w:rFonts w:ascii="Arial" w:eastAsia="Times New Roman" w:hAnsi="Arial" w:cs="Arial"/>
          <w:color w:val="000000"/>
          <w:sz w:val="26"/>
          <w:szCs w:val="26"/>
          <w:lang w:bidi="mr-IN"/>
        </w:rPr>
        <w:t xml:space="preserve"> </w:t>
      </w:r>
      <w:r w:rsidRPr="00107E4B">
        <w:rPr>
          <w:rFonts w:ascii="Arial" w:eastAsia="Times New Roman" w:hAnsi="Arial" w:cs="Arial"/>
          <w:color w:val="000000"/>
          <w:sz w:val="16"/>
          <w:szCs w:val="16"/>
          <w:lang w:bidi="mr-IN"/>
        </w:rPr>
        <w:t xml:space="preserve">— Henry Giroux, Global TV Network Chair in English and Cultural Studies at McMaster University,  Distinguished Visiting Professor at Ryerson University, 2012 (“Beyond the Politics of the Big Lie: The Education Deficit and the New Authoritarianism,” </w:t>
      </w:r>
      <w:r w:rsidRPr="00107E4B">
        <w:rPr>
          <w:rFonts w:ascii="Arial" w:eastAsia="Times New Roman" w:hAnsi="Arial" w:cs="Arial"/>
          <w:i/>
          <w:iCs/>
          <w:color w:val="000000"/>
          <w:sz w:val="16"/>
          <w:szCs w:val="16"/>
          <w:lang w:bidi="mr-IN"/>
        </w:rPr>
        <w:t xml:space="preserve">Truth-out, </w:t>
      </w:r>
      <w:r w:rsidRPr="00107E4B">
        <w:rPr>
          <w:rFonts w:ascii="Arial" w:eastAsia="Times New Roman" w:hAnsi="Arial" w:cs="Arial"/>
          <w:color w:val="000000"/>
          <w:sz w:val="16"/>
          <w:szCs w:val="16"/>
          <w:lang w:bidi="mr-IN"/>
        </w:rPr>
        <w:t>June 19</w:t>
      </w:r>
      <w:r w:rsidRPr="00107E4B">
        <w:rPr>
          <w:rFonts w:ascii="Arial" w:eastAsia="Times New Roman" w:hAnsi="Arial" w:cs="Arial"/>
          <w:color w:val="000000"/>
          <w:sz w:val="10"/>
          <w:szCs w:val="10"/>
          <w:vertAlign w:val="superscript"/>
          <w:lang w:bidi="mr-IN"/>
        </w:rPr>
        <w:t>th</w:t>
      </w:r>
      <w:r w:rsidRPr="00107E4B">
        <w:rPr>
          <w:rFonts w:ascii="Arial" w:eastAsia="Times New Roman" w:hAnsi="Arial" w:cs="Arial"/>
          <w:color w:val="000000"/>
          <w:sz w:val="16"/>
          <w:szCs w:val="16"/>
          <w:lang w:bidi="mr-IN"/>
        </w:rPr>
        <w:t>, accessible online at</w:t>
      </w:r>
      <w:hyperlink r:id="rId7" w:history="1">
        <w:r w:rsidRPr="00107E4B">
          <w:rPr>
            <w:rFonts w:ascii="Arial" w:eastAsia="Times New Roman" w:hAnsi="Arial" w:cs="Arial"/>
            <w:color w:val="000000"/>
            <w:sz w:val="16"/>
            <w:szCs w:val="16"/>
            <w:u w:val="single"/>
            <w:lang w:bidi="mr-IN"/>
          </w:rPr>
          <w:t xml:space="preserve"> http://truth-out.org/opinion/item/9865-beyond-the-politics-of-the-big-lie-the-education-deficit-and-the-new-authoritarianism</w:t>
        </w:r>
      </w:hyperlink>
      <w:r w:rsidRPr="00107E4B">
        <w:rPr>
          <w:rFonts w:ascii="Arial" w:eastAsia="Times New Roman" w:hAnsi="Arial" w:cs="Arial"/>
          <w:color w:val="000000"/>
          <w:sz w:val="16"/>
          <w:szCs w:val="16"/>
          <w:lang w:bidi="mr-IN"/>
        </w:rPr>
        <w:t>, accessed on 10-12-14)</w:t>
      </w:r>
    </w:p>
    <w:p w14:paraId="2AB1C786" w14:textId="77777777" w:rsidR="007E3D3F" w:rsidRDefault="007E3D3F" w:rsidP="007E3D3F">
      <w:pPr>
        <w:spacing w:line="240" w:lineRule="auto"/>
        <w:rPr>
          <w:rFonts w:ascii="Arial" w:eastAsia="Times New Roman" w:hAnsi="Arial" w:cs="Arial"/>
          <w:color w:val="000000"/>
          <w:sz w:val="16"/>
          <w:szCs w:val="16"/>
          <w:lang w:bidi="mr-IN"/>
        </w:rPr>
      </w:pPr>
      <w:r w:rsidRPr="00107E4B">
        <w:rPr>
          <w:rStyle w:val="StyleUnderline"/>
          <w:lang w:bidi="mr-IN"/>
        </w:rPr>
        <w:t>Extreme power is now showcased through the mechanisms of ever-proliferating cultural/educational apparatuses and the anti-public intellectuals who support them and are in turn rewarded by the elites who finance such apparatuses.</w:t>
      </w:r>
      <w:r w:rsidRPr="00107E4B">
        <w:rPr>
          <w:rFonts w:ascii="Arial" w:eastAsia="Times New Roman" w:hAnsi="Arial" w:cs="Arial"/>
          <w:color w:val="000000"/>
          <w:sz w:val="16"/>
          <w:szCs w:val="16"/>
          <w:lang w:bidi="mr-IN"/>
        </w:rPr>
        <w:t xml:space="preserve"> The war at home is made visible in the show of force aimed at civilian populations, including students, workers, and others considered disposable or a threat to the new authoritarianism. </w:t>
      </w:r>
      <w:r w:rsidRPr="00107E4B">
        <w:rPr>
          <w:rStyle w:val="StyleUnderline"/>
          <w:lang w:bidi="mr-IN"/>
        </w:rPr>
        <w:t>Its most powerful allies appear to be the intellectuals, institutions, cultural apparatuses and new media technologies that constitute the sites of public pedagogy, which produce the formative culture necessary for authoritarianism to thrive. While a change in consciousness does not guarantee a change in either one's politics or society</w:t>
      </w:r>
      <w:r w:rsidRPr="00107E4B">
        <w:rPr>
          <w:rFonts w:ascii="Arial" w:eastAsia="Times New Roman" w:hAnsi="Arial" w:cs="Arial"/>
          <w:color w:val="000000"/>
          <w:sz w:val="16"/>
          <w:szCs w:val="16"/>
          <w:lang w:bidi="mr-IN"/>
        </w:rPr>
        <w:t xml:space="preserve">, it is a crucial precondition for connecting what it means to think otherwise to conditions that make it possible to act otherwise. The education deficit must be seen as intertwined with a political deficit, serving to make many oppressed individuals complicit with oppressive ideologies. As the late Cornelius Castoriadis made clear, democracy requires "critical thinkers capable of putting existing institutions into question.... while simultaneously creating the conditions for individual and social autonomy."(41) </w:t>
      </w:r>
      <w:r w:rsidRPr="00107E4B">
        <w:rPr>
          <w:rStyle w:val="StyleUnderline"/>
          <w:lang w:bidi="mr-IN"/>
        </w:rPr>
        <w:t>Nothing will change politically or economically until new and emerging social movements take seriously the need to develop a language of radical reform and create new public spheres that support the knowledge, skills and critical thought that are necessary features of a democratic formative culture. Getting beyond the big lie as a precondition for critical thought, civic engagement and a more realized democracy will mean more than correcting distortions, misrepresentations and falsehoods produced by politicians, media talking heads and anti-public intellectuals.</w:t>
      </w:r>
      <w:r w:rsidRPr="00107E4B">
        <w:rPr>
          <w:rFonts w:ascii="Arial" w:eastAsia="Times New Roman" w:hAnsi="Arial" w:cs="Arial"/>
          <w:color w:val="000000"/>
          <w:sz w:val="16"/>
          <w:szCs w:val="16"/>
          <w:lang w:bidi="mr-IN"/>
        </w:rPr>
        <w:t xml:space="preserve"> It will also require addressing how new sites of pedagogy have become central to any viable notion of agency, politics and democracy itself. This is not a matter of elevating cultural politics over material relations of power as much as it is a rethinking of how power deploys culture and how culture as a mode of education positions power. James Baldwin, the legendary African-American writer and civil rights activist, argued that the big lie points to a crisis of American identity and politics and is symptomatic of "a backward society" that has descended into madness, "especially when one is forced to lie about one's aspect of anybody's history, [because you then] must lie about it all."(42) He goes on to argue "that one of the paradoxes of education [is] that precisely at the point when you begin to develop a conscience, you must find yourself at war with your society. It is your responsibility to change society if you think of yourself as an educated person."(43) What Baldwin recognizes is that learning has the possibility to trigger a critical engagement with oneself, others and the larger society education becomes in this instance more than a method or tool for domination but a politics, a fulcrum for democratic social change. Tragically, in our current climate "learning" </w:t>
      </w:r>
      <w:r w:rsidRPr="00107E4B">
        <w:rPr>
          <w:rFonts w:ascii="Arial" w:eastAsia="Times New Roman" w:hAnsi="Arial" w:cs="Arial"/>
          <w:color w:val="000000"/>
          <w:sz w:val="16"/>
          <w:szCs w:val="16"/>
          <w:lang w:bidi="mr-IN"/>
        </w:rPr>
        <w:lastRenderedPageBreak/>
        <w:t xml:space="preserve">merely contributes to a vast reserve of manipulation and self-inflicted ignorance. </w:t>
      </w:r>
      <w:r w:rsidRPr="00107E4B">
        <w:rPr>
          <w:rStyle w:val="StyleUnderline"/>
          <w:lang w:bidi="mr-IN"/>
        </w:rPr>
        <w:t xml:space="preserve">Our education deficit is neither reducible to the failure of particular types of teaching nor the decent into madness by the spokespersons for the new authoritarianism. Rather, it is about how matters of knowledge, values and ideology can be struggled over as issues of power and </w:t>
      </w:r>
      <w:r w:rsidRPr="008A0538">
        <w:rPr>
          <w:rStyle w:val="StyleUnderline"/>
          <w:lang w:bidi="mr-IN"/>
        </w:rPr>
        <w:t>politics. Surviving the current education deficit will depend on progressives using history, memory and knowledge not only to reconnect intellectuals to the everyday needs of ordinary people, but also to jumpstart social movements by making education central to organized politics and the quest for a radical democracy.</w:t>
      </w:r>
    </w:p>
    <w:p w14:paraId="01402C30" w14:textId="77777777" w:rsidR="007E3D3F" w:rsidRDefault="007E3D3F" w:rsidP="007E3D3F">
      <w:pPr>
        <w:spacing w:line="240" w:lineRule="auto"/>
        <w:rPr>
          <w:rFonts w:ascii="Arial" w:eastAsia="Times New Roman" w:hAnsi="Arial" w:cs="Arial"/>
          <w:color w:val="000000"/>
          <w:sz w:val="16"/>
          <w:szCs w:val="16"/>
          <w:lang w:bidi="mr-IN"/>
        </w:rPr>
      </w:pPr>
    </w:p>
    <w:p w14:paraId="15EBCC03" w14:textId="77777777" w:rsidR="007E3D3F" w:rsidRPr="00107E4B" w:rsidRDefault="007E3D3F" w:rsidP="007E3D3F">
      <w:pPr>
        <w:spacing w:before="240" w:after="40" w:line="240" w:lineRule="auto"/>
        <w:outlineLvl w:val="3"/>
        <w:rPr>
          <w:rFonts w:ascii="Times New Roman" w:eastAsia="Times New Roman" w:hAnsi="Times New Roman" w:cs="Times New Roman"/>
          <w:b/>
          <w:bCs/>
          <w:sz w:val="24"/>
        </w:rPr>
      </w:pPr>
      <w:r w:rsidRPr="00107E4B">
        <w:rPr>
          <w:rFonts w:ascii="Arial" w:eastAsia="Times New Roman" w:hAnsi="Arial" w:cs="Arial"/>
          <w:b/>
          <w:bCs/>
          <w:color w:val="000000"/>
          <w:shd w:val="clear" w:color="auto" w:fill="FFFFFF"/>
        </w:rPr>
        <w:t>Active participation and genuine cooperation do not occur through fiat, their framework crushes democracy and interconnectedness, disempowering minority discourses.</w:t>
      </w:r>
    </w:p>
    <w:p w14:paraId="11FE46C4" w14:textId="77777777" w:rsidR="007E3D3F" w:rsidRPr="00107E4B" w:rsidRDefault="007E3D3F" w:rsidP="007E3D3F">
      <w:pPr>
        <w:spacing w:after="0" w:line="240" w:lineRule="auto"/>
        <w:rPr>
          <w:rFonts w:ascii="Times New Roman" w:eastAsia="Times New Roman" w:hAnsi="Times New Roman" w:cs="Times New Roman"/>
          <w:sz w:val="24"/>
        </w:rPr>
      </w:pPr>
      <w:r w:rsidRPr="00107E4B">
        <w:rPr>
          <w:rFonts w:ascii="Arial" w:eastAsia="Times New Roman" w:hAnsi="Arial" w:cs="Arial"/>
          <w:b/>
          <w:bCs/>
          <w:color w:val="333333"/>
          <w:sz w:val="21"/>
          <w:szCs w:val="21"/>
          <w:shd w:val="clear" w:color="auto" w:fill="FFFFFF"/>
        </w:rPr>
        <w:t>Arnult, 2003</w:t>
      </w:r>
      <w:r w:rsidRPr="00107E4B">
        <w:rPr>
          <w:rFonts w:ascii="Arial" w:eastAsia="Times New Roman" w:hAnsi="Arial" w:cs="Arial"/>
          <w:color w:val="333333"/>
          <w:sz w:val="21"/>
          <w:szCs w:val="21"/>
          <w:shd w:val="clear" w:color="auto" w:fill="FFFFFF"/>
        </w:rPr>
        <w:t xml:space="preserve"> [Lynne, “Cruelty, Horror, and the Will to Redemption.” Hypatia 18.2 (2003) 155-188] EC</w:t>
      </w:r>
    </w:p>
    <w:p w14:paraId="62ED8A9B" w14:textId="77777777" w:rsidR="007E3D3F" w:rsidRPr="008A0538" w:rsidRDefault="007E3D3F" w:rsidP="007E3D3F">
      <w:pPr>
        <w:spacing w:after="0" w:line="240" w:lineRule="auto"/>
        <w:rPr>
          <w:rStyle w:val="StyleUnderline"/>
        </w:rPr>
      </w:pPr>
      <w:r w:rsidRPr="008A0538">
        <w:rPr>
          <w:rStyle w:val="Emphasis"/>
        </w:rPr>
        <w:t>As social analysts have pointed out, the dominant philosophical and political discourses in the United States reflect and reinforce a perspective that Nancy Hartsock calls "the standpoint of exchange": these discourses constitute human beings as fundamentally separate, prudential, interest-driven monads who pursue their own self-chosen conception of the good life and who interact with one another only when there is a momentary convergence of interest</w:t>
      </w:r>
      <w:r w:rsidRPr="008A0538">
        <w:rPr>
          <w:rFonts w:ascii="Times New Roman" w:eastAsia="Times New Roman" w:hAnsi="Times New Roman" w:cs="Times New Roman"/>
          <w:sz w:val="24"/>
        </w:rPr>
        <w:t xml:space="preserve"> (1985, chap.2). Because of the dominance of "the standpoint of exchange" in U.S. American culture, not surprisingly we are particularly susceptible to counterfeit claims of community. According to John Freie, "[l]acking genuine community, yet longing for the meaning and sense of connectedness that it creates, feeling of community? people become vulnerable to even the merest suggestion of community" and to mistaking the /feeling/ of connectedness or community for the genuine article (1998, 2</w:t>
      </w:r>
      <w:r w:rsidRPr="008A0538">
        <w:rPr>
          <w:rStyle w:val="StyleUnderline"/>
        </w:rPr>
        <w:t>). Although the feeling of connectedness is necessary to communal bonds and identity, this emotional dimension is not sufficient: community is "an interlocking pattern of just human relationships in which people have at least a minimal sense of consensus within a definable territory</w:t>
      </w:r>
      <w:r w:rsidRPr="008A0538">
        <w:rPr>
          <w:rFonts w:ascii="Times New Roman" w:eastAsia="Times New Roman" w:hAnsi="Times New Roman" w:cs="Times New Roman"/>
          <w:sz w:val="24"/>
        </w:rPr>
        <w:t xml:space="preserve">. People within a community actively participate and cooperate with others to create their own self-worth, a sense of caring about others, and a feeling for the spirit of connectedness" (Freie 1998, 23). </w:t>
      </w:r>
      <w:r w:rsidRPr="008A0538">
        <w:rPr>
          <w:rStyle w:val="StyleUnderline"/>
        </w:rPr>
        <w:t>What bears emphasizing here is that active participation and genuine cooperation do not happen by verbal fiat; in order for social interactions to be substantively (and not merely abstractly) dialogical and democratic, the heterogeneity of human viewpoints, interests, and desires must be recognized?and this, in turn, requires allowing for the epistemic significance of social divisions.</w:t>
      </w:r>
      <w:r w:rsidRPr="008A0538">
        <w:rPr>
          <w:rFonts w:ascii="Times New Roman" w:eastAsia="Times New Roman" w:hAnsi="Times New Roman" w:cs="Times New Roman"/>
          <w:sz w:val="24"/>
        </w:rPr>
        <w:t xml:space="preserve"> More specifically, it necessitates acknowledging, on the one hand, the inescapably *[End Page 176]* </w:t>
      </w:r>
      <w:r w:rsidRPr="008A0538">
        <w:rPr>
          <w:rStyle w:val="StyleUnderline"/>
        </w:rPr>
        <w:t>limited, partial, and socially embedded perspectives of human deliberators and, on the other hand, the role that social, political, and economic power plays in the abilities of dominant social groups to create defining discourses and in the abilities of subordinated groups to resist the use of marginalizing or subjugating discourses and to create discourses that give voice to their experiences, interests, and needs in an authentic way. Unless the concrete social and institutional conditions and constraints that govern communicative interactions are themselves subject to on-going thematization, critique, and change, and until, therefore, members of subordinated groups are able to represent their experiences, interests, and needs in a non-distorted, non-repressed way</w:t>
      </w:r>
      <w:r w:rsidRPr="008A0538">
        <w:rPr>
          <w:rFonts w:ascii="Times New Roman" w:eastAsia="Times New Roman" w:hAnsi="Times New Roman" w:cs="Times New Roman"/>
          <w:sz w:val="24"/>
        </w:rPr>
        <w:t xml:space="preserve"> (Arnault 1989), </w:t>
      </w:r>
      <w:r w:rsidRPr="008A0538">
        <w:rPr>
          <w:rStyle w:val="StyleUnderline"/>
        </w:rPr>
        <w:t>whatever feelings of cohesion, solidarity, and connectedness have been generated in any given situation will ultimately be counterfeit.</w:t>
      </w:r>
    </w:p>
    <w:p w14:paraId="4DEB43BF" w14:textId="77777777" w:rsidR="007E3D3F" w:rsidRPr="00107E4B" w:rsidRDefault="007E3D3F" w:rsidP="007E3D3F">
      <w:pPr>
        <w:rPr>
          <w:b/>
          <w:u w:val="single"/>
        </w:rPr>
      </w:pPr>
    </w:p>
    <w:p w14:paraId="5592DA0A" w14:textId="77777777" w:rsidR="007E3D3F" w:rsidRPr="00107E4B" w:rsidRDefault="007E3D3F" w:rsidP="007E3D3F">
      <w:pPr>
        <w:pStyle w:val="Heading2"/>
      </w:pPr>
      <w:r w:rsidRPr="00107E4B">
        <w:lastRenderedPageBreak/>
        <w:t xml:space="preserve">Norms Bad </w:t>
      </w:r>
    </w:p>
    <w:p w14:paraId="7DC3A1CC" w14:textId="77777777" w:rsidR="007E3D3F" w:rsidRPr="00107E4B" w:rsidRDefault="007E3D3F" w:rsidP="007E3D3F">
      <w:pPr>
        <w:pStyle w:val="Heading4"/>
      </w:pPr>
      <w:r w:rsidRPr="00107E4B">
        <w:t>Even in Debate, Assimilation doesn’t Work</w:t>
      </w:r>
    </w:p>
    <w:p w14:paraId="55230C17" w14:textId="77777777" w:rsidR="007E3D3F" w:rsidRPr="00107E4B" w:rsidRDefault="007E3D3F" w:rsidP="007E3D3F">
      <w:r w:rsidRPr="00107E4B">
        <w:rPr>
          <w:b/>
          <w:sz w:val="26"/>
          <w:szCs w:val="26"/>
        </w:rPr>
        <w:t xml:space="preserve">Polson 12 </w:t>
      </w:r>
      <w:r w:rsidRPr="00107E4B">
        <w:t xml:space="preserve">– (Dana Polson, Ph.D., “’Longing for Theory’: Performance debate in action”, DAI, Page 170-171, </w:t>
      </w:r>
      <w:hyperlink r:id="rId8" w:history="1">
        <w:r w:rsidRPr="00107E4B">
          <w:rPr>
            <w:rStyle w:val="Hyperlink"/>
          </w:rPr>
          <w:t>https://pqdtopen.proquest.com/doc/1027604463.html?FMT=AI)</w:t>
        </w:r>
      </w:hyperlink>
      <w:r w:rsidRPr="00107E4B">
        <w:t xml:space="preserve"> </w:t>
      </w:r>
    </w:p>
    <w:p w14:paraId="3C93A74C" w14:textId="77777777" w:rsidR="007E3D3F" w:rsidRPr="00107E4B" w:rsidRDefault="007E3D3F" w:rsidP="007E3D3F">
      <w:r w:rsidRPr="00107E4B">
        <w:t xml:space="preserve">Evans debated prior to the emergence of performance styles of debate. As Duane Hartman says, he debated in a traditional, mainstream style. He was undoubtedly used as an example of Black debaters fitting in to the community and excelling. However, even </w:t>
      </w:r>
      <w:r w:rsidRPr="00107E4B">
        <w:rPr>
          <w:u w:val="single"/>
        </w:rPr>
        <w:t>for Rashad Evans, racism was a problem. He assimilated</w:t>
      </w:r>
      <w:r w:rsidRPr="00107E4B">
        <w:t>, at least in terms of outward performance</w:t>
      </w:r>
      <w:r w:rsidRPr="00107E4B">
        <w:rPr>
          <w:u w:val="single"/>
        </w:rPr>
        <w:t>, and yet, he still experienced problems as a Black man in the debate world</w:t>
      </w:r>
      <w:r w:rsidRPr="00107E4B">
        <w:t xml:space="preserve">. Prior to the Louisville team’s emergence, </w:t>
      </w:r>
      <w:r w:rsidRPr="00107E4B">
        <w:rPr>
          <w:u w:val="single"/>
        </w:rPr>
        <w:t>the choice of rejecting or assimilating seemed to be the two options for debaters of color</w:t>
      </w:r>
      <w:r w:rsidRPr="00107E4B">
        <w:t xml:space="preserve">. And yet we see that </w:t>
      </w:r>
      <w:r w:rsidRPr="00107E4B">
        <w:rPr>
          <w:u w:val="single"/>
        </w:rPr>
        <w:t>for Rashad Evans, a decision to assimilate did not mean that a person of color would be treated equally to his or her white peers</w:t>
      </w:r>
      <w:r w:rsidRPr="00107E4B">
        <w:t xml:space="preserve">. John Calmore (2005) describes racialized Black identity as performance, and whiteness as audition (p. 100). 21 </w:t>
      </w:r>
      <w:r w:rsidRPr="00107E4B">
        <w:rPr>
          <w:u w:val="single"/>
        </w:rPr>
        <w:t>“Non-white performance in a dominantly white setting has been a historical predicament.... Indeed, the rights enjoyed by white males could only be obtained by assimilatory behavior.... white performance was the quid pro quo for white privilege”</w:t>
      </w:r>
      <w:r w:rsidRPr="00107E4B">
        <w:t xml:space="preserve"> (Calmore, 2005, p. 102). This assimilatory behavior, this performance of whiteness by a person of color, is always audition for Calmore, because of a historical “universality of [combined] white experience [and] judgment as the authoritative standard that binds people of color and normatively measures, directs, controls, and regulates the terms of proper thought, expression, presentment, and behavior” (Calmore, 1995, p. 318). </w:t>
      </w:r>
      <w:r w:rsidRPr="00107E4B">
        <w:rPr>
          <w:u w:val="single"/>
        </w:rPr>
        <w:t xml:space="preserve">Performance of whiteness is always conditional to acceptance from whites; who as part of white dominance “normatively measure” the performance for acceptability. </w:t>
      </w:r>
      <w:r w:rsidRPr="00107E4B">
        <w:t xml:space="preserve">Rashad 21 I will discuss the performance of race at more length in Chapter 5. 171 </w:t>
      </w:r>
      <w:r w:rsidRPr="00107E4B">
        <w:rPr>
          <w:u w:val="single"/>
        </w:rPr>
        <w:t xml:space="preserve">Evans may have </w:t>
      </w:r>
      <w:r w:rsidRPr="00107E4B">
        <w:t xml:space="preserve">performed whiteness and through the quid pro quo described by Calmore, </w:t>
      </w:r>
      <w:r w:rsidRPr="00107E4B">
        <w:rPr>
          <w:u w:val="single"/>
        </w:rPr>
        <w:t>achieved some success in the white-normed debate world. However</w:t>
      </w:r>
      <w:r w:rsidRPr="00107E4B">
        <w:t xml:space="preserve">, according to Calmore </w:t>
      </w:r>
      <w:r w:rsidRPr="00107E4B">
        <w:rPr>
          <w:u w:val="single"/>
        </w:rPr>
        <w:t>his performance was always an audition,</w:t>
      </w:r>
      <w:r w:rsidRPr="00107E4B">
        <w:t xml:space="preserve"> always </w:t>
      </w:r>
      <w:r w:rsidRPr="00107E4B">
        <w:rPr>
          <w:u w:val="single"/>
        </w:rPr>
        <w:t>subject to special scrutiny</w:t>
      </w:r>
      <w:r w:rsidRPr="00107E4B">
        <w:t xml:space="preserve">. </w:t>
      </w:r>
      <w:r w:rsidRPr="00107E4B">
        <w:rPr>
          <w:u w:val="single"/>
        </w:rPr>
        <w:t>Some found that performance wanting and he was then subject to racialized performance of white dominance</w:t>
      </w:r>
      <w:r w:rsidRPr="00107E4B">
        <w:t xml:space="preserve">. </w:t>
      </w:r>
      <w:r w:rsidRPr="00107E4B">
        <w:rPr>
          <w:u w:val="single"/>
        </w:rPr>
        <w:t>Instead of rejecting the practice altogether, or assimilating into its current manifestation, performance debaters and their coaches, starting with the transcendent Louisville Malcolm X squad, have collectively created a third way. This radical alternative to the conventional practice of debate is rooted in the expression of student voice and experience</w:t>
      </w:r>
      <w:r w:rsidRPr="00107E4B">
        <w:t xml:space="preserve"> (usually but not exclusively as people of color) and based on a crucial recognition of social structure in constant struggle with agency (again, usually but not always race-based). </w:t>
      </w:r>
      <w:r w:rsidRPr="00107E4B">
        <w:rPr>
          <w:u w:val="single"/>
        </w:rPr>
        <w:t>The debaters and coaches, moreover, function as a positive racebased community working for liberation and the uplift of oppressed communities</w:t>
      </w:r>
      <w:r w:rsidRPr="00107E4B">
        <w:t>, in this case the African American community in the city of Baltimore. In this chapter I discuss these aspects of the practice, before explaining the practice itself as an agentic mode of performance and doing</w:t>
      </w:r>
    </w:p>
    <w:p w14:paraId="0785D964" w14:textId="77777777" w:rsidR="007E3D3F" w:rsidRPr="00107E4B" w:rsidRDefault="007E3D3F" w:rsidP="007E3D3F"/>
    <w:p w14:paraId="34F18F72" w14:textId="77777777" w:rsidR="007E3D3F" w:rsidRPr="00107E4B" w:rsidRDefault="007E3D3F" w:rsidP="007E3D3F">
      <w:pPr>
        <w:pStyle w:val="Heading4"/>
      </w:pPr>
      <w:r w:rsidRPr="00107E4B">
        <w:lastRenderedPageBreak/>
        <w:t xml:space="preserve">A static interpretation of how we should debate assumes debate as a monolithic, rich and white actvitiy, functionally excluding debaters who don’t fit into those dichotomies. </w:t>
      </w:r>
    </w:p>
    <w:p w14:paraId="3218D225" w14:textId="77777777" w:rsidR="007E3D3F" w:rsidRPr="00107E4B" w:rsidRDefault="007E3D3F" w:rsidP="007E3D3F"/>
    <w:p w14:paraId="7D42A516" w14:textId="77777777" w:rsidR="007E3D3F" w:rsidRPr="00107E4B" w:rsidRDefault="007E3D3F" w:rsidP="007E3D3F">
      <w:pPr>
        <w:rPr>
          <w:rFonts w:ascii="Times New Roman" w:eastAsia="Times New Roman" w:hAnsi="Times New Roman" w:cs="Times New Roman"/>
        </w:rPr>
      </w:pPr>
      <w:r w:rsidRPr="00107E4B">
        <w:rPr>
          <w:rFonts w:ascii="Times New Roman" w:eastAsia="Times New Roman" w:hAnsi="Times New Roman" w:cs="Times New Roman"/>
        </w:rPr>
        <w:t>Dillard-Knox, Tiffany Yvonne, "Against the grain : the challenges of black discourse within intercollegiate policy debate." (2014). Electronic Theses and Dissertations. Paper 2161./cdc</w:t>
      </w:r>
    </w:p>
    <w:p w14:paraId="00C4406C" w14:textId="77777777" w:rsidR="007E3D3F" w:rsidRPr="00107E4B" w:rsidRDefault="007E3D3F" w:rsidP="007E3D3F"/>
    <w:p w14:paraId="03E8136E" w14:textId="77777777" w:rsidR="007E3D3F" w:rsidRPr="00107E4B" w:rsidRDefault="007E3D3F" w:rsidP="007E3D3F">
      <w:pPr>
        <w:rPr>
          <w:rFonts w:ascii="Times New Roman" w:eastAsia="Times New Roman" w:hAnsi="Times New Roman" w:cs="Times New Roman"/>
          <w:sz w:val="14"/>
        </w:rPr>
      </w:pPr>
      <w:r w:rsidRPr="00107E4B">
        <w:rPr>
          <w:rFonts w:ascii="Times New Roman" w:eastAsia="Times New Roman" w:hAnsi="Times New Roman" w:cs="Times New Roman"/>
          <w:sz w:val="14"/>
        </w:rPr>
        <w:t xml:space="preserve">The Intercollegiate Policy Debate community can be conceived of as a speech community. </w:t>
      </w:r>
      <w:r w:rsidRPr="00107E4B">
        <w:rPr>
          <w:rStyle w:val="Emphasis"/>
        </w:rPr>
        <w:t>The highly technical procedures and jargon laden aspects of Debate have a language that can be specific to Debate itself and can be exclusionary to underrepresented populations.</w:t>
      </w:r>
      <w:r w:rsidRPr="00107E4B">
        <w:rPr>
          <w:rFonts w:ascii="Times New Roman" w:eastAsia="Times New Roman" w:hAnsi="Times New Roman" w:cs="Times New Roman"/>
          <w:sz w:val="14"/>
        </w:rPr>
        <w:t xml:space="preserve"> By using the speech community model of analysis, this can help one understand the challenges of working with demographically diverse populations. Therefore, this project will use t</w:t>
      </w:r>
      <w:r w:rsidRPr="00107E4B">
        <w:rPr>
          <w:rStyle w:val="Emphasis"/>
        </w:rPr>
        <w:t>he Debate community as a site for examining how speech communities (un)intentionally suppress and exclude minority members,</w:t>
      </w:r>
      <w:r w:rsidRPr="00107E4B">
        <w:rPr>
          <w:rFonts w:ascii="Times New Roman" w:eastAsia="Times New Roman" w:hAnsi="Times New Roman" w:cs="Times New Roman"/>
          <w:sz w:val="14"/>
        </w:rPr>
        <w:t xml:space="preserve"> particularly Blacks. Membership in a particular identity group occurs when two or more individuals have a shared linguistic system that would include some or all of their language, practices, norms, beliefs, and values. Speech community as defined by Patrick (2002) as being a socially-based unit of linguistic analysis is the term that some linguists have used to refer to these groups. A speech community could be bound geographically (Labov, 1989; Feagin, 1996), nationally (Dittmar, 1976), and socio-culturally (Morgan, 2002). Verbal communication is not the only tool used to make up a system of communication. According to Rosina Lippi-Green (1997), ―</w:t>
      </w:r>
      <w:r w:rsidRPr="00107E4B">
        <w:rPr>
          <w:rStyle w:val="Emphasis"/>
        </w:rPr>
        <w:t>language is more than a tool 50 for communication of the facts between two or more persons. It is the most salient way we have of establishing and advertising our social identities</w:t>
      </w:r>
      <w:r w:rsidRPr="00107E4B">
        <w:rPr>
          <w:rFonts w:ascii="Times New Roman" w:eastAsia="Times New Roman" w:hAnsi="Times New Roman" w:cs="Times New Roman"/>
          <w:sz w:val="14"/>
        </w:rPr>
        <w:t xml:space="preserve"> (p. 5).‖ This is done in a variety of ways; for instance, through verbal communication, ways of dressing, gestures, signs, facial expressions, written text and symbols. All of these things combine to make up communication between people possible. Particular language patterns and meanings are understood according to the meaning prescribed by factors such as culture (Boas, 1911; Sapir, 1921; Whorf, 1956); the economy (Bourdieu, 1977; Irvine, 1989); cognition (Lakoff, 1988; Croft &amp; Cruse, 2004); and social constructions (Gumperz, 1982; Hymes 1967). Michael Silverstein (1985) argues that ―language is an unstable mutual interaction of meaningful sign forms contextualized to situations of interested human use mediated by the fact of cultural ideology (p. 220).‖ The dialogue between speakers of different backgrounds is constantly reiterating and constituting language codes and patterns meaningful to each particular speaker. This is particularly true for Debate. </w:t>
      </w:r>
      <w:r w:rsidRPr="00107E4B">
        <w:rPr>
          <w:rStyle w:val="Emphasis"/>
        </w:rPr>
        <w:t>Debate is inherently an oral exchange of ideas and world views from people of diverse backgrounds.</w:t>
      </w:r>
      <w:r w:rsidRPr="00107E4B">
        <w:rPr>
          <w:rFonts w:ascii="Times New Roman" w:eastAsia="Times New Roman" w:hAnsi="Times New Roman" w:cs="Times New Roman"/>
          <w:sz w:val="14"/>
        </w:rPr>
        <w:t xml:space="preserve"> Naturally debaters will come across various ideas and world views over the course of their careers. During this time period debaters take from these exchanges aspects that they find productive and useful, thus altering their original language patterns. However, </w:t>
      </w:r>
      <w:r w:rsidRPr="00107E4B">
        <w:rPr>
          <w:rStyle w:val="Emphasis"/>
        </w:rPr>
        <w:t>the process for determining what is productive and useful is guided by their particular ideologies. These ideologies are shaped by each individual‘s relationship to society at large</w:t>
      </w:r>
      <w:r w:rsidRPr="00107E4B">
        <w:rPr>
          <w:rFonts w:ascii="Times New Roman" w:eastAsia="Times New Roman" w:hAnsi="Times New Roman" w:cs="Times New Roman"/>
          <w:sz w:val="14"/>
        </w:rPr>
        <w:t>. Therefore, as Silverstein contends, ―</w:t>
      </w:r>
      <w:r w:rsidRPr="00107E4B">
        <w:rPr>
          <w:rStyle w:val="Emphasis"/>
        </w:rPr>
        <w:t>we must look at their ideas about the meaning, function, and value of language in order to understand the degree of socially shared systematicity in empirically occurring linguistic forms</w:t>
      </w:r>
      <w:r w:rsidRPr="00107E4B">
        <w:rPr>
          <w:rFonts w:ascii="Times New Roman" w:eastAsia="Times New Roman" w:hAnsi="Times New Roman" w:cs="Times New Roman"/>
          <w:sz w:val="14"/>
        </w:rPr>
        <w:t xml:space="preserve">‖ (p.220). This meaning, 51 function, and value can be analyzed in the context of what Norman Fairclough (1989) calls </w:t>
      </w:r>
      <w:r w:rsidRPr="00107E4B">
        <w:rPr>
          <w:rStyle w:val="Emphasis"/>
        </w:rPr>
        <w:t>discourse, ―a social practice determined by social structures</w:t>
      </w:r>
      <w:r w:rsidRPr="00107E4B">
        <w:rPr>
          <w:rFonts w:ascii="Times New Roman" w:eastAsia="Times New Roman" w:hAnsi="Times New Roman" w:cs="Times New Roman"/>
          <w:sz w:val="14"/>
        </w:rPr>
        <w:t xml:space="preserve"> (p. 17).‖ Fairclough argues that </w:t>
      </w:r>
      <w:r w:rsidRPr="00107E4B">
        <w:rPr>
          <w:rStyle w:val="Emphasis"/>
        </w:rPr>
        <w:t>discourse is determined by socially constituted orders of discourse, or sets of conventions associated with social institutions. Historically, traditional norms and procedures within Debate have determined the orders of discourse for the Debate community. These norms and procedures of debate developed out of a culture of a relatively homogenous group of wealthy, white males.</w:t>
      </w:r>
      <w:r w:rsidRPr="00107E4B">
        <w:rPr>
          <w:rFonts w:ascii="Times New Roman" w:eastAsia="Times New Roman" w:hAnsi="Times New Roman" w:cs="Times New Roman"/>
          <w:sz w:val="14"/>
        </w:rPr>
        <w:t xml:space="preserve"> However, </w:t>
      </w:r>
      <w:r w:rsidRPr="00107E4B">
        <w:rPr>
          <w:rStyle w:val="Emphasis"/>
        </w:rPr>
        <w:t>the increase in diversity</w:t>
      </w:r>
      <w:r w:rsidRPr="00107E4B">
        <w:rPr>
          <w:rFonts w:ascii="Times New Roman" w:eastAsia="Times New Roman" w:hAnsi="Times New Roman" w:cs="Times New Roman"/>
          <w:sz w:val="14"/>
        </w:rPr>
        <w:t>—</w:t>
      </w:r>
      <w:r w:rsidRPr="00107E4B">
        <w:rPr>
          <w:rStyle w:val="Emphasis"/>
        </w:rPr>
        <w:t>defined as race, class, gender, sexuality, and those with disabilities—in recent years has shifted Debate</w:t>
      </w:r>
      <w:r w:rsidRPr="00107E4B">
        <w:rPr>
          <w:rFonts w:ascii="Times New Roman" w:eastAsia="Times New Roman" w:hAnsi="Times New Roman" w:cs="Times New Roman"/>
          <w:sz w:val="14"/>
        </w:rPr>
        <w:t xml:space="preserve"> into a more heterogeneous community. With the influx of each group has come the potential of different ways of communicating, </w:t>
      </w:r>
      <w:r w:rsidRPr="00107E4B">
        <w:rPr>
          <w:rStyle w:val="Emphasis"/>
        </w:rPr>
        <w:t>thus creating a need to shift the norms and procedures of debate to account for these differences.</w:t>
      </w:r>
      <w:r w:rsidRPr="00107E4B">
        <w:rPr>
          <w:rFonts w:ascii="Times New Roman" w:eastAsia="Times New Roman" w:hAnsi="Times New Roman" w:cs="Times New Roman"/>
          <w:sz w:val="14"/>
        </w:rPr>
        <w:t xml:space="preserve"> Unfortunately, there is no mechanism in place to guide this shift. As a result, </w:t>
      </w:r>
      <w:r w:rsidRPr="00107E4B">
        <w:rPr>
          <w:rStyle w:val="Emphasis"/>
        </w:rPr>
        <w:t>there have been tense conflicts over what constitutes ―appropriate‖ or ―productive‖ language use within Debate</w:t>
      </w:r>
      <w:r w:rsidRPr="00107E4B">
        <w:rPr>
          <w:rFonts w:ascii="Times New Roman" w:eastAsia="Times New Roman" w:hAnsi="Times New Roman" w:cs="Times New Roman"/>
          <w:sz w:val="14"/>
        </w:rPr>
        <w:t xml:space="preserve">. Recognizing that each of these groups has its own relationship to Debate, each group would warrant independent research. </w:t>
      </w:r>
    </w:p>
    <w:p w14:paraId="793E0C2B" w14:textId="77777777" w:rsidR="007E3D3F" w:rsidRPr="00107E4B" w:rsidRDefault="007E3D3F" w:rsidP="007E3D3F">
      <w:pPr>
        <w:rPr>
          <w:rFonts w:ascii="Times New Roman" w:eastAsia="Times New Roman" w:hAnsi="Times New Roman" w:cs="Times New Roman"/>
          <w:sz w:val="14"/>
        </w:rPr>
      </w:pPr>
    </w:p>
    <w:p w14:paraId="5C65D593" w14:textId="77777777" w:rsidR="007E3D3F" w:rsidRPr="00107E4B" w:rsidRDefault="007E3D3F" w:rsidP="007E3D3F">
      <w:pPr>
        <w:spacing w:before="240" w:after="40" w:line="240" w:lineRule="auto"/>
        <w:outlineLvl w:val="3"/>
        <w:rPr>
          <w:rFonts w:ascii="Times New Roman" w:eastAsia="Times New Roman" w:hAnsi="Times New Roman" w:cs="Times New Roman"/>
          <w:b/>
          <w:bCs/>
          <w:sz w:val="24"/>
        </w:rPr>
      </w:pPr>
      <w:r w:rsidRPr="00107E4B">
        <w:rPr>
          <w:rFonts w:ascii="Arial" w:eastAsia="Times New Roman" w:hAnsi="Arial" w:cs="Arial"/>
          <w:b/>
          <w:bCs/>
          <w:color w:val="000000"/>
          <w:sz w:val="24"/>
        </w:rPr>
        <w:lastRenderedPageBreak/>
        <w:t>Many technical procedures of debate exclude black debaters, thus they produce their own alternative debate methods.</w:t>
      </w:r>
    </w:p>
    <w:p w14:paraId="49BF3E0C" w14:textId="77777777" w:rsidR="007E3D3F" w:rsidRPr="00107E4B" w:rsidRDefault="007E3D3F" w:rsidP="007E3D3F">
      <w:pPr>
        <w:spacing w:after="0" w:line="240" w:lineRule="auto"/>
        <w:rPr>
          <w:rFonts w:ascii="Times New Roman" w:eastAsia="Times New Roman" w:hAnsi="Times New Roman" w:cs="Times New Roman"/>
          <w:sz w:val="24"/>
        </w:rPr>
      </w:pPr>
      <w:r w:rsidRPr="00107E4B">
        <w:rPr>
          <w:rFonts w:ascii="Arial" w:eastAsia="Times New Roman" w:hAnsi="Arial" w:cs="Arial"/>
          <w:b/>
          <w:bCs/>
          <w:color w:val="000000"/>
          <w:sz w:val="26"/>
          <w:szCs w:val="26"/>
        </w:rPr>
        <w:t>Knox 14</w:t>
      </w:r>
      <w:r w:rsidRPr="00107E4B">
        <w:rPr>
          <w:rFonts w:ascii="Arial" w:eastAsia="Times New Roman" w:hAnsi="Arial" w:cs="Arial"/>
          <w:color w:val="000000"/>
        </w:rPr>
        <w:t xml:space="preserve"> / Dillard-Knox, Tiffany Yvonne, "Against the grain : the challenges of black discourse within intercollegiate policy debate." (2014). Electronic Theses and Dissertations. Paper 21 // AH</w:t>
      </w:r>
    </w:p>
    <w:p w14:paraId="48BC1D70" w14:textId="77777777" w:rsidR="007E3D3F" w:rsidRPr="00107E4B" w:rsidRDefault="007E3D3F" w:rsidP="007E3D3F">
      <w:pPr>
        <w:spacing w:after="0" w:line="240" w:lineRule="auto"/>
        <w:rPr>
          <w:rFonts w:ascii="Times New Roman" w:eastAsia="Times New Roman" w:hAnsi="Times New Roman" w:cs="Times New Roman"/>
          <w:sz w:val="24"/>
        </w:rPr>
      </w:pPr>
      <w:r w:rsidRPr="00107E4B">
        <w:rPr>
          <w:rFonts w:ascii="Arial" w:eastAsia="Times New Roman" w:hAnsi="Arial" w:cs="Arial"/>
          <w:color w:val="000000"/>
          <w:sz w:val="16"/>
          <w:szCs w:val="16"/>
        </w:rPr>
        <w:t>The Intercollegiate Policy Debate community can be conceived of as a speech community</w:t>
      </w:r>
      <w:r w:rsidRPr="00107E4B">
        <w:rPr>
          <w:rFonts w:ascii="Arial" w:eastAsia="Times New Roman" w:hAnsi="Arial" w:cs="Arial"/>
          <w:color w:val="000000"/>
        </w:rPr>
        <w:t xml:space="preserve">. </w:t>
      </w:r>
      <w:r w:rsidRPr="008A0538">
        <w:rPr>
          <w:rStyle w:val="StyleUnderline"/>
        </w:rPr>
        <w:t>The highly technical procedures and jargon laden aspects of Debate have a language that can be specific to Debate itself and can be exclusionary to underrepresented populations.</w:t>
      </w:r>
      <w:r w:rsidRPr="00107E4B">
        <w:rPr>
          <w:rFonts w:ascii="Arial" w:eastAsia="Times New Roman" w:hAnsi="Arial" w:cs="Arial"/>
          <w:color w:val="000000"/>
          <w:sz w:val="16"/>
          <w:szCs w:val="16"/>
        </w:rPr>
        <w:t xml:space="preserve"> By using the speech community model of analysis, this can help one understand the challenges of working with demographically diverse populations. Therefore, this project will use the Debate community as a site for examining how speech communities (un)intentionally suppress and exclude minority members, particularly Blacks.</w:t>
      </w:r>
      <w:r>
        <w:rPr>
          <w:rFonts w:ascii="Times New Roman" w:eastAsia="Times New Roman" w:hAnsi="Times New Roman" w:cs="Times New Roman"/>
          <w:sz w:val="24"/>
        </w:rPr>
        <w:t xml:space="preserve"> </w:t>
      </w:r>
      <w:r w:rsidRPr="00107E4B">
        <w:rPr>
          <w:rFonts w:ascii="Arial" w:eastAsia="Times New Roman" w:hAnsi="Arial" w:cs="Arial"/>
          <w:color w:val="000000"/>
          <w:sz w:val="16"/>
          <w:szCs w:val="16"/>
        </w:rPr>
        <w:t>Membership in a particular identity group occurs when two or more individuals have a shared linguistic system that would include some or all of their language, practices, norms, beliefs, and values. Speech community as defined by Patrick (2002) as being a socially-based unit of linguistic analysis is the term that some linguists have used to refer to these groups. A speech community could be bound geographically (Labov, 1989; Feagin, 1996), nationally (Dittmar, 1976), and socio-culturally (Morgan, 2002).</w:t>
      </w:r>
      <w:r>
        <w:rPr>
          <w:rFonts w:ascii="Times New Roman" w:eastAsia="Times New Roman" w:hAnsi="Times New Roman" w:cs="Times New Roman"/>
          <w:sz w:val="24"/>
        </w:rPr>
        <w:t xml:space="preserve"> </w:t>
      </w:r>
      <w:r w:rsidRPr="00107E4B">
        <w:rPr>
          <w:rFonts w:ascii="Arial" w:eastAsia="Times New Roman" w:hAnsi="Arial" w:cs="Arial"/>
          <w:color w:val="000000"/>
          <w:sz w:val="16"/>
          <w:szCs w:val="16"/>
        </w:rPr>
        <w:t>Verbal communication is not the only tool used to make up a system of communication. According to Rosina Lippi-Green (1997), ―</w:t>
      </w:r>
      <w:r w:rsidRPr="00107E4B">
        <w:rPr>
          <w:rFonts w:ascii="Arial" w:eastAsia="Times New Roman" w:hAnsi="Arial" w:cs="Arial"/>
          <w:color w:val="000000"/>
        </w:rPr>
        <w:t>language is more than a tool for communication of the facts between two or more persons. It is the most salient way we have of establishing and advertising our social identities</w:t>
      </w:r>
      <w:r w:rsidRPr="00107E4B">
        <w:rPr>
          <w:rFonts w:ascii="Arial" w:eastAsia="Times New Roman" w:hAnsi="Arial" w:cs="Arial"/>
          <w:color w:val="000000"/>
          <w:sz w:val="16"/>
          <w:szCs w:val="16"/>
        </w:rPr>
        <w:t xml:space="preserve"> (p. 5).‖ This is done in a variety of ways; for instance, through verbal communication, ways of dressing, gestures, signs, facial expressions, written text and symbols. All of these things combine to make up communication between people possible. Particular language patterns and meanings are understood according to the meaning prescribed by factors such as culture (Boas, 1911; Sapir, 1921; Whorf, 1956); the economy (Bourdieu, 1977; Irvine, 1989); cognition (Lakoff, 1988; Croft &amp; Cruse, 2004); and social constructions (Gumperz, 1982; Hymes 1967).</w:t>
      </w:r>
      <w:r>
        <w:rPr>
          <w:rFonts w:ascii="Times New Roman" w:eastAsia="Times New Roman" w:hAnsi="Times New Roman" w:cs="Times New Roman"/>
          <w:sz w:val="24"/>
        </w:rPr>
        <w:t xml:space="preserve"> </w:t>
      </w:r>
      <w:r w:rsidRPr="00107E4B">
        <w:rPr>
          <w:rFonts w:ascii="Arial" w:eastAsia="Times New Roman" w:hAnsi="Arial" w:cs="Arial"/>
          <w:color w:val="000000"/>
          <w:sz w:val="16"/>
          <w:szCs w:val="16"/>
        </w:rPr>
        <w:t>Michael Silverstein (1985) argues that ―</w:t>
      </w:r>
      <w:r w:rsidRPr="00107E4B">
        <w:rPr>
          <w:rFonts w:ascii="Arial" w:eastAsia="Times New Roman" w:hAnsi="Arial" w:cs="Arial"/>
          <w:color w:val="000000"/>
        </w:rPr>
        <w:t>language is an unstable mutual interaction of meaningful sign forms contextualized to situations of interested human use mediated by the fact of cultural ideology</w:t>
      </w:r>
      <w:r w:rsidRPr="00107E4B">
        <w:rPr>
          <w:rFonts w:ascii="Arial" w:eastAsia="Times New Roman" w:hAnsi="Arial" w:cs="Arial"/>
          <w:color w:val="000000"/>
          <w:sz w:val="16"/>
          <w:szCs w:val="16"/>
        </w:rPr>
        <w:t xml:space="preserve"> (p. 220).‖ The dialogue between speakers of different backgrounds is constantly reiterating and constituting language codes and patterns meaningful to each particular speaker. This is particularly true for Debate. </w:t>
      </w:r>
      <w:r w:rsidRPr="008A0538">
        <w:rPr>
          <w:rStyle w:val="StyleUnderline"/>
        </w:rPr>
        <w:t>Debate is inherently an oral exchange of ideas and world views from people of diverse backgrounds. Naturally debaters will come across various ideas and world views over the course of their careers. During this time period debaters take from these exchanges aspects that they find productive and useful, thus altering their original language patterns.</w:t>
      </w:r>
      <w:r w:rsidRPr="00107E4B">
        <w:rPr>
          <w:rFonts w:ascii="Arial" w:eastAsia="Times New Roman" w:hAnsi="Arial" w:cs="Arial"/>
          <w:color w:val="000000"/>
        </w:rPr>
        <w:t xml:space="preserve"> However, the process for determining what is productive and useful is guided by their particular ideologies</w:t>
      </w:r>
      <w:r w:rsidRPr="00107E4B">
        <w:rPr>
          <w:rFonts w:ascii="Arial" w:eastAsia="Times New Roman" w:hAnsi="Arial" w:cs="Arial"/>
          <w:color w:val="000000"/>
          <w:sz w:val="16"/>
          <w:szCs w:val="16"/>
        </w:rPr>
        <w:t>. These ideologies are shaped by each individual‘s relationship to society at large. Therefore, as Silverstein contends, ―we must look at their ideas about the meaning, function, and value of language in order to understand the degree of socially shared systematicity in empirically occurring linguistic forms‖ (p.220). This meaning, function, and value can be analyzed in the context of what Norman Fairclough (1989) calls discourse, ―a social practice determined by social structures (p. 17).‖ Fairclough argues that discourse is determined by socially constituted orders of discourse, or sets of conventions associated with social institutions.</w:t>
      </w:r>
      <w:r>
        <w:rPr>
          <w:rFonts w:ascii="Times New Roman" w:eastAsia="Times New Roman" w:hAnsi="Times New Roman" w:cs="Times New Roman"/>
          <w:sz w:val="24"/>
        </w:rPr>
        <w:t xml:space="preserve"> </w:t>
      </w:r>
      <w:r w:rsidRPr="00107E4B">
        <w:rPr>
          <w:rFonts w:ascii="Arial" w:eastAsia="Times New Roman" w:hAnsi="Arial" w:cs="Arial"/>
          <w:color w:val="000000"/>
          <w:sz w:val="16"/>
          <w:szCs w:val="16"/>
        </w:rPr>
        <w:t xml:space="preserve">Historically, traditional norms and procedures within Debate have determined the orders of discourse for the Debate community. </w:t>
      </w:r>
      <w:r w:rsidRPr="008A0538">
        <w:rPr>
          <w:rStyle w:val="StyleUnderline"/>
        </w:rPr>
        <w:t xml:space="preserve">These norms and procedures of debate developed out of a culture of a relatively homogenous group of wealthy, white males. However, the increase in diversity—defined as race, class, gender, sexuality, and those with disabilities—in recent years has shifted Debate into a more heterogeneous community. </w:t>
      </w:r>
      <w:r w:rsidRPr="00107E4B">
        <w:rPr>
          <w:rFonts w:ascii="Arial" w:eastAsia="Times New Roman" w:hAnsi="Arial" w:cs="Arial"/>
          <w:color w:val="000000"/>
          <w:sz w:val="16"/>
          <w:szCs w:val="16"/>
        </w:rPr>
        <w:t xml:space="preserve">With the influx of each group has come the potential of different ways of communicating, thus creating a need to shift the norms and procedures of debate to account for these differences. </w:t>
      </w:r>
      <w:r w:rsidRPr="008A0538">
        <w:rPr>
          <w:rStyle w:val="StyleUnderline"/>
        </w:rPr>
        <w:t>Unfortunately, there is no mechanism in place to guide this shift.</w:t>
      </w:r>
      <w:r w:rsidRPr="00107E4B">
        <w:rPr>
          <w:rFonts w:ascii="Arial" w:eastAsia="Times New Roman" w:hAnsi="Arial" w:cs="Arial"/>
          <w:color w:val="000000"/>
        </w:rPr>
        <w:t xml:space="preserve"> As a result</w:t>
      </w:r>
      <w:r w:rsidRPr="00107E4B">
        <w:rPr>
          <w:rFonts w:ascii="Arial" w:eastAsia="Times New Roman" w:hAnsi="Arial" w:cs="Arial"/>
          <w:color w:val="000000"/>
          <w:sz w:val="16"/>
          <w:szCs w:val="16"/>
        </w:rPr>
        <w:t xml:space="preserve">, there have been tense conflicts over what constitutes ―appropriate‖ or ―productive‖ language use within Debate. </w:t>
      </w:r>
      <w:r w:rsidRPr="00107E4B">
        <w:rPr>
          <w:rFonts w:ascii="Arial" w:eastAsia="Times New Roman" w:hAnsi="Arial" w:cs="Arial"/>
          <w:color w:val="000000"/>
        </w:rPr>
        <w:t>Recognizing that each of these groups has its own relationship to Debate, each group would warrant independent research</w:t>
      </w:r>
      <w:r w:rsidRPr="00107E4B">
        <w:rPr>
          <w:rFonts w:ascii="Arial" w:eastAsia="Times New Roman" w:hAnsi="Arial" w:cs="Arial"/>
          <w:color w:val="000000"/>
          <w:sz w:val="16"/>
          <w:szCs w:val="16"/>
        </w:rPr>
        <w:t xml:space="preserve">. This project however, will focus on the conflicts associated with the membership of Blacks in the Debate community. </w:t>
      </w:r>
      <w:r w:rsidRPr="00107E4B">
        <w:rPr>
          <w:rFonts w:ascii="Arial" w:eastAsia="Times New Roman" w:hAnsi="Arial" w:cs="Arial"/>
          <w:color w:val="000000"/>
        </w:rPr>
        <w:t xml:space="preserve">It is important to note that </w:t>
      </w:r>
      <w:r w:rsidRPr="008A0538">
        <w:rPr>
          <w:rStyle w:val="StyleUnderline"/>
        </w:rPr>
        <w:t>some Black debaters have chosen to participate in the normative practices of debate; therefore, the emphasis here will be on those Black debaters who have elected to engage in alternative debate methods</w:t>
      </w:r>
      <w:r w:rsidRPr="00107E4B">
        <w:rPr>
          <w:rFonts w:ascii="Arial" w:eastAsia="Times New Roman" w:hAnsi="Arial" w:cs="Arial"/>
          <w:color w:val="000000"/>
          <w:sz w:val="16"/>
          <w:szCs w:val="16"/>
        </w:rPr>
        <w:t>. These methods vary in performance and presentation and thus should not be reduced to an essentialized notion of ―</w:t>
      </w:r>
      <w:r w:rsidRPr="00107E4B">
        <w:rPr>
          <w:rFonts w:ascii="Arial" w:eastAsia="Times New Roman" w:hAnsi="Arial" w:cs="Arial"/>
          <w:color w:val="000000"/>
        </w:rPr>
        <w:t>Black Debate</w:t>
      </w:r>
      <w:r w:rsidRPr="00107E4B">
        <w:rPr>
          <w:rFonts w:ascii="Arial" w:eastAsia="Times New Roman" w:hAnsi="Arial" w:cs="Arial"/>
          <w:color w:val="000000"/>
          <w:sz w:val="16"/>
          <w:szCs w:val="16"/>
        </w:rPr>
        <w:t>.‖ Nevertheless, there are cultural discourse patterns that can be found in most of the variations of alternative styles.</w:t>
      </w:r>
      <w:r>
        <w:rPr>
          <w:rFonts w:ascii="Times New Roman" w:eastAsia="Times New Roman" w:hAnsi="Times New Roman" w:cs="Times New Roman"/>
          <w:sz w:val="24"/>
        </w:rPr>
        <w:t xml:space="preserve"> </w:t>
      </w:r>
      <w:r w:rsidRPr="00107E4B">
        <w:rPr>
          <w:rFonts w:ascii="Arial" w:eastAsia="Times New Roman" w:hAnsi="Arial" w:cs="Arial"/>
          <w:color w:val="000000"/>
          <w:sz w:val="16"/>
          <w:szCs w:val="16"/>
        </w:rPr>
        <w:t xml:space="preserve">The Debate literature suggests that some of the methods utilized by alternative debaters victimize Debate (Zompetti, 2004), are less productive for the goals of debate competition (Atchison and Panetta, 2009), and do not maximize the benefits that Debate can provide (Harrigan, 2008). </w:t>
      </w:r>
      <w:r w:rsidRPr="00107E4B">
        <w:rPr>
          <w:rFonts w:ascii="Arial" w:eastAsia="Times New Roman" w:hAnsi="Arial" w:cs="Arial"/>
          <w:color w:val="000000"/>
        </w:rPr>
        <w:t xml:space="preserve">Therefore, </w:t>
      </w:r>
      <w:r w:rsidRPr="008A0538">
        <w:rPr>
          <w:rStyle w:val="StyleUnderline"/>
        </w:rPr>
        <w:t xml:space="preserve">this research seeks to enter that dialogue and </w:t>
      </w:r>
      <w:r w:rsidRPr="008A0538">
        <w:rPr>
          <w:rStyle w:val="StyleUnderline"/>
        </w:rPr>
        <w:lastRenderedPageBreak/>
        <w:t>offer an alternative view of the clash of civilizations that is occurring in Debate by arguing that some of the traditional norms and procedures of debate can have the unintended effect of excluding Blacks.15</w:t>
      </w:r>
      <w:r>
        <w:rPr>
          <w:rStyle w:val="StyleUnderline"/>
        </w:rPr>
        <w:t xml:space="preserve"> </w:t>
      </w:r>
    </w:p>
    <w:p w14:paraId="73C22BAC" w14:textId="77777777" w:rsidR="007E3D3F" w:rsidRPr="00107E4B" w:rsidRDefault="007E3D3F" w:rsidP="007E3D3F">
      <w:pPr>
        <w:rPr>
          <w:rFonts w:ascii="Times New Roman" w:eastAsia="Times New Roman" w:hAnsi="Times New Roman" w:cs="Times New Roman"/>
          <w:sz w:val="14"/>
        </w:rPr>
      </w:pPr>
    </w:p>
    <w:p w14:paraId="7B126B74" w14:textId="77777777" w:rsidR="007E3D3F" w:rsidRPr="00107E4B" w:rsidRDefault="007E3D3F" w:rsidP="007E3D3F">
      <w:pPr>
        <w:pStyle w:val="Heading4"/>
      </w:pPr>
      <w:r w:rsidRPr="00107E4B">
        <w:rPr>
          <w:b w:val="0"/>
        </w:rPr>
        <w:t xml:space="preserve">In order to truly bring change and resolve impacts presented in the 1AC the aff must participate in dissident engagement and actively refuse the resolution/USfg to contest the norms  </w:t>
      </w:r>
    </w:p>
    <w:p w14:paraId="0CB138A8" w14:textId="77777777" w:rsidR="007E3D3F" w:rsidRPr="00107E4B" w:rsidRDefault="007E3D3F" w:rsidP="007E3D3F">
      <w:r w:rsidRPr="00107E4B">
        <w:t xml:space="preserve">Sparks 03 (Holloway Sparks, 7/29/18, </w:t>
      </w:r>
    </w:p>
    <w:p w14:paraId="05D72DB9" w14:textId="77777777" w:rsidR="007E3D3F" w:rsidRPr="00107E4B" w:rsidRDefault="007E3D3F" w:rsidP="007E3D3F">
      <w:pPr>
        <w:rPr>
          <w:sz w:val="16"/>
        </w:rPr>
      </w:pPr>
      <w:r w:rsidRPr="00107E4B">
        <w:rPr>
          <w:sz w:val="16"/>
        </w:rPr>
        <w:t xml:space="preserve">In this essay, I argue </w:t>
      </w:r>
      <w:r w:rsidRPr="00107E4B">
        <w:rPr>
          <w:rStyle w:val="StyleUnderline"/>
        </w:rPr>
        <w:t>that contemporary democratic theory gives insufficient attention to the important contributions dissenting citizens make to democratic life. Guided by the dissident practices of activist women, I develop a more expansive conception of citizenship that recognizes dissent and an ethic of political courage as vital elements of democratic participation. I illustrate how this perspective on citizenship recasts and reclaims women’s courageous dissidence by reconsidering the well-known story of Rosa Parks</w:t>
      </w:r>
      <w:r w:rsidRPr="00107E4B">
        <w:rPr>
          <w:sz w:val="16"/>
        </w:rPr>
        <w:t xml:space="preserve">. A black woman named Rosa Parks refuses to give up her seat to a white man on a Montgomery, Alabama bus in 1955 and goes to jail. A group of welfare mothers led by </w:t>
      </w:r>
      <w:r w:rsidRPr="00107E4B">
        <w:rPr>
          <w:rStyle w:val="StyleUnderline"/>
        </w:rPr>
        <w:t>Johnnie May Tillmon</w:t>
      </w:r>
      <w:r w:rsidRPr="00107E4B">
        <w:rPr>
          <w:sz w:val="16"/>
        </w:rPr>
        <w:t xml:space="preserve"> challenges the attempts of white, middle-class male organizers to assume leadership roles in the welfare rights movement in 1966. Poet, activist, and black lesbian feminist </w:t>
      </w:r>
      <w:r w:rsidRPr="00107E4B">
        <w:rPr>
          <w:rStyle w:val="StyleUnderline"/>
        </w:rPr>
        <w:t>Audre Lorde</w:t>
      </w:r>
      <w:r w:rsidRPr="00107E4B">
        <w:rPr>
          <w:sz w:val="16"/>
        </w:rPr>
        <w:t xml:space="preserve"> pointedly calls white feminists to account for their racism, classism, and homophobia during the 1981 National Women’s Studies Association meeting. Activist </w:t>
      </w:r>
      <w:r w:rsidRPr="00107E4B">
        <w:rPr>
          <w:rStyle w:val="StyleUnderline"/>
        </w:rPr>
        <w:t>Candace Gingrich</w:t>
      </w:r>
      <w:r w:rsidRPr="00107E4B">
        <w:rPr>
          <w:sz w:val="16"/>
        </w:rPr>
        <w:t xml:space="preserve"> comes out publicly as a lesbian following the election of her conservative half-brother Newt as Speaker of the House in 1994</w:t>
      </w:r>
      <w:r w:rsidRPr="00107E4B">
        <w:rPr>
          <w:rStyle w:val="StyleUnderline"/>
        </w:rPr>
        <w:t>. In spite of the crucial roles these activist women have played in contemporary U. S. politics, mainstream democratic theory offers few resources for thinking about their actions in terms of citizenship. For political theorists interested in democracy, however, the dissident practices of Parks, Tillmon, and other activist women provide a rich source for considering what it means to be an active, self-governed citizen, and what it means to act together with others in a political community.</w:t>
      </w:r>
      <w:r w:rsidRPr="00107E4B">
        <w:rPr>
          <w:sz w:val="16"/>
        </w:rPr>
        <w:t xml:space="preserve"> In this essay, I argue that </w:t>
      </w:r>
      <w:r w:rsidRPr="00107E4B">
        <w:rPr>
          <w:rStyle w:val="StyleUnderline"/>
        </w:rPr>
        <w:t>the dissenting practices of these women point toward an expanded conception of democratic</w:t>
      </w:r>
      <w:r w:rsidRPr="00107E4B">
        <w:rPr>
          <w:sz w:val="16"/>
        </w:rPr>
        <w:t xml:space="preserve"> Hypztiu vol. 12, no. 4 (Fall 1997) 0 by Holloway Sparks Holloway Sparks 75 </w:t>
      </w:r>
      <w:r w:rsidRPr="00107E4B">
        <w:rPr>
          <w:rStyle w:val="StyleUnderline"/>
        </w:rPr>
        <w:t>citizenship that incorporates dissent, recognizes courage as central to democratic action, and reclaims and revalues the courageous dissident practices of women activist</w:t>
      </w:r>
      <w:r w:rsidRPr="00107E4B">
        <w:rPr>
          <w:sz w:val="16"/>
        </w:rPr>
        <w:t xml:space="preserve">s. Although feminist historians and social movements scholars have recently devoted a great deal of attention to women’s activism (see e.g., Crawford et al., 1990; West and Blumberg 1990; Laslett et al., 1995), this work has had little impact on democratic theorists. Part of the reason for this inattention, as a number of feminist theorists have noted, is </w:t>
      </w:r>
      <w:r w:rsidRPr="00107E4B">
        <w:rPr>
          <w:rStyle w:val="StyleUnderline"/>
        </w:rPr>
        <w:t xml:space="preserve">the tendency of democratic theorists to ignore the public activities of women </w:t>
      </w:r>
      <w:r w:rsidRPr="00107E4B">
        <w:rPr>
          <w:sz w:val="16"/>
        </w:rPr>
        <w:t xml:space="preserve">(Ackelsberg 1988; Pateman 1989; Evans 1993). An additional reason is </w:t>
      </w:r>
      <w:r w:rsidRPr="00107E4B">
        <w:rPr>
          <w:rStyle w:val="StyleUnderline"/>
        </w:rPr>
        <w:t>the deliberative and discursive focus of much contemporary democratic theory. Recent controversies about citizenship have primarily centered on the role of citizen deliberation in democracies</w:t>
      </w:r>
      <w:r w:rsidRPr="00107E4B">
        <w:rPr>
          <w:sz w:val="16"/>
        </w:rPr>
        <w:t xml:space="preserve">. Participatory theorists, such as Carole Pateman, Benjamin Barber, Jane Mansbridge, Iris Marion Young, and theorists drawing from the work of Hannah Arendt and Jurgen Habermas have generated a lively debate about </w:t>
      </w:r>
      <w:r w:rsidRPr="00107E4B">
        <w:rPr>
          <w:rStyle w:val="StyleUnderline"/>
        </w:rPr>
        <w:t xml:space="preserve">the promise and possibilities of reconceptualizing and institutionalizing citizen deliberation in a wider variety of public spaces. </w:t>
      </w:r>
      <w:r w:rsidRPr="00107E4B">
        <w:rPr>
          <w:sz w:val="16"/>
        </w:rPr>
        <w:t xml:space="preserve">Citizenship, however, involves more than deliberation. Deliberation, however critical as a practice, is often the goal rather than the starting point for those who engage in dissident citizenship. I </w:t>
      </w:r>
      <w:r w:rsidRPr="00107E4B">
        <w:rPr>
          <w:rStyle w:val="StyleUnderline"/>
        </w:rPr>
        <w:t>conceptualize dissident citizenship as the practices of marginalized citizens who publicly contest prevailing arrangements of power by means of oppositional democratic practices that augment or replace institutionalized channels of democratic opposition when those channels are inadequate or unavailable</w:t>
      </w:r>
      <w:r w:rsidRPr="00107E4B">
        <w:rPr>
          <w:sz w:val="16"/>
        </w:rPr>
        <w:t xml:space="preserve">. Instead of voting, lobbying, or petitioning, dissident citizens constitute alternative public spaces through practices such as marches, protests, and picket lines; sit-ins, slow-downs, and cleanups; speeches, strikes, and street theater. </w:t>
      </w:r>
      <w:r w:rsidRPr="00107E4B">
        <w:rPr>
          <w:rStyle w:val="StyleUnderline"/>
        </w:rPr>
        <w:t xml:space="preserve">Dissident </w:t>
      </w:r>
      <w:r w:rsidRPr="00107E4B">
        <w:rPr>
          <w:rStyle w:val="StyleUnderline"/>
        </w:rPr>
        <w:lastRenderedPageBreak/>
        <w:t>citizenship, in other words, encompasses the often creative oppositional practices of citizens who, either by choice or (much more commonly) by forced exclusion from the institutionalized means of opposition, contest current arrangements of power from the margins of the polity</w:t>
      </w:r>
      <w:r w:rsidRPr="00107E4B">
        <w:rPr>
          <w:sz w:val="16"/>
        </w:rPr>
        <w:t xml:space="preserve">. While dissident citizens can be progressive or conservative, civil rights activists or segregationists, pro-choice or pro-life, environmentalists or smokers’ rights advocates, they share a commitment to unconventional forms of democratic engagement and opposition that nonetheless preserve the possibility of ongoing debate and disagreement. Consequently, </w:t>
      </w:r>
      <w:r w:rsidRPr="00107E4B">
        <w:rPr>
          <w:rStyle w:val="StyleUnderline"/>
        </w:rPr>
        <w:t>if democratic citizenship is ultimately about “the collective and participatory engagement of citizens in the determination of the affairs of their community’’</w:t>
      </w:r>
      <w:r w:rsidRPr="00107E4B">
        <w:rPr>
          <w:sz w:val="16"/>
        </w:rPr>
        <w:t xml:space="preserve"> (Dietz 1987, 14</w:t>
      </w:r>
      <w:r w:rsidRPr="00107E4B">
        <w:rPr>
          <w:rStyle w:val="StyleUnderline"/>
        </w:rPr>
        <w:t>), then marginalized dissident citizens who address the wider polity in order to change minds, challenge practices, or even reconstitute the very boundaries of the political itself engage in a form of democratic citizenship that is essential for the continuing revitalization of democratic life</w:t>
      </w:r>
      <w:r w:rsidRPr="00107E4B">
        <w:rPr>
          <w:sz w:val="16"/>
        </w:rPr>
        <w:t xml:space="preserve">. 76 Hypatia </w:t>
      </w:r>
      <w:r w:rsidRPr="00107E4B">
        <w:rPr>
          <w:rStyle w:val="StyleUnderline"/>
        </w:rPr>
        <w:t>A crucial element in the practice of dissident citizenship</w:t>
      </w:r>
      <w:r w:rsidRPr="00107E4B">
        <w:rPr>
          <w:sz w:val="16"/>
        </w:rPr>
        <w:t>, I wish to argue</w:t>
      </w:r>
      <w:r w:rsidRPr="00107E4B">
        <w:rPr>
          <w:rStyle w:val="StyleUnderline"/>
        </w:rPr>
        <w:t>, is the discourse and practice of courag</w:t>
      </w:r>
      <w:r w:rsidRPr="00107E4B">
        <w:rPr>
          <w:sz w:val="16"/>
        </w:rPr>
        <w:t xml:space="preserve">e. One way to describe courage is as a commitment to resolution and persistence in the face of risk, uncertainty, or fear. Because of its strong association with the behavior of soldiers, courage has often been constructed as a quintessentially masculine trait, tied intimately to conceptions of manhood and to the performance of violence (see esp. Brown 1988). But as the examples at the beginning of this essay demonstrate, women are perfectly capable of acting resolutely in the face of risk, uncertainty, and fear, even though they are much less likely to be credited as courageous actors. A courageous act, moreover, need not be a violent one. It is commonly believed and well documented, for example, that nonviolent resistance activities, protests, and communication with opponents can require courage, especially in the face of verbal abuse, threatened incarceration, or the possibility of physical violence. Civil rights Freedom Riders who responded to mob attacks with nonviolence in the summer of 1961, for example, clearly practiced courage while resisting segregation in the American South. A less well developed perspective is that communication, connection, and dialogue with allies and potential allies can require the practice of courage as well. For example, Audre Lorde speaks of the courage feminists have needed to confront racism within their own groups. Women of color have practiced courage by breaking the silence about racism; white women have practiced courage by not turning away from the painful recognition of their own racist practices. By courageously confronting racism, Lorde argues, feminists have strengthened their alliances (Lorde 1984b). </w:t>
      </w:r>
      <w:r w:rsidRPr="00107E4B">
        <w:rPr>
          <w:rStyle w:val="StyleUnderline"/>
        </w:rPr>
        <w:t>Like resistance activities, these connection and coalition activities are important dimensions of the practice of dissident citizenship. In both cases, discourses and practices of courage shape political engagement and action, even under conditions of uncertainty and especially in contexts where dissident citizens face domination and oppression</w:t>
      </w:r>
      <w:r w:rsidRPr="00107E4B">
        <w:rPr>
          <w:sz w:val="16"/>
        </w:rPr>
        <w:t xml:space="preserve">. Although contemporary democratic theory offers little guidance for considering the role of courage in democratic life, attending to the way that conceptions of courage are used to shape and mediate dissent allows us to explore the ways that dissident citizenship itself is negotiated and performed. Exploring courage will also draw attention to how dissident citizenship is constructed and negotiated in gendered, raced, and classed terms. In this essay, I construct an account of dissident citizenship that includes attention to political courage and that offers an approach for exploring the dissident practices of women. Drawing on feminist theorizing about oppositional citizenship, multidisciplinary work on women’s activism, and activist accounts of dissent, I argue for a conception of citizenship that recognizes both dissent and an ethic of political courage as vital elements of democratic participation. After briefly exploring a case study of women’s activism, I conclude with some reflections on what this approach offers to democratic theorists and others interested in women’s citizenship and public activities. Holloway Sparks 77 CONTEMPORARY PERSPECTIVES ON CITIZENSHIP </w:t>
      </w:r>
      <w:r w:rsidRPr="00107E4B">
        <w:rPr>
          <w:rStyle w:val="StyleUnderline"/>
        </w:rPr>
        <w:t>To understand how dissent has fallen through the cracks of much mainstream democratic theory, it is helpful to review how that theory conceptualizes citizenship and the role of conflict in democratic life</w:t>
      </w:r>
      <w:r w:rsidRPr="00107E4B">
        <w:rPr>
          <w:sz w:val="16"/>
        </w:rPr>
        <w:t xml:space="preserve">. In the liberal democratic tradition of political thought, conflict between citizens is expected and institutionalized. As exemplified in the work of theorists such as John Rawls (1971,1985), Ronald Dworkin (1978), and Robert Nozick (1974), this tradition conceives of citizens as legitimately self-interested individuals who have agreed (contracted) to respect each other’s individual liberty and interests.’ Governments are charged with enforcing this respect, and should provide enough protection and regulation to preserve individuals’ abilities to pursue their diverse interests and ends, especially in the marketplace. But because citizens also need protection from powerful governments, certain activities and spaces are withdrawn from legitimate public interference and are protected as “rights.” Furthermore, citizens are granted an additional check on their government by way of regular elections. </w:t>
      </w:r>
      <w:r w:rsidRPr="00107E4B">
        <w:rPr>
          <w:rStyle w:val="StyleUnderline"/>
        </w:rPr>
        <w:t>Politics, according to this view, is the process of resolving the inevitable conflicts and disputes that will result when citizens pursue their interests and their individual conceptions of the good life.</w:t>
      </w:r>
      <w:r w:rsidRPr="00107E4B">
        <w:rPr>
          <w:sz w:val="16"/>
        </w:rPr>
        <w:t xml:space="preserve"> These conflicts, however, will be resolved by representatives, not by citizens themselves. Citizens who “lose” in a conflict, furthermore, are expected to respect the decision, even if they begin the institutionalized process of disagreement again. </w:t>
      </w:r>
      <w:r w:rsidRPr="00107E4B">
        <w:rPr>
          <w:rStyle w:val="StyleUnderline"/>
        </w:rPr>
        <w:t xml:space="preserve">Under the liberal democratic view of political life, in sum, conflict is a given but is tamed by established </w:t>
      </w:r>
      <w:r w:rsidRPr="00107E4B">
        <w:rPr>
          <w:rStyle w:val="StyleUnderline"/>
        </w:rPr>
        <w:lastRenderedPageBreak/>
        <w:t>institutional forms of expression</w:t>
      </w:r>
      <w:r w:rsidRPr="00107E4B">
        <w:rPr>
          <w:sz w:val="16"/>
        </w:rPr>
        <w:t xml:space="preserve">. As Mary Dietz has observed, ‘This vision of the citizen as the bearer of rights, democracy as the capitalist market society, and politics as representative government is precisely what makes liberalism, despite its admirable and vital insistence on the values of individual freedom and equality, seem so politically barren to so many of its critics” (Dietz 1987, 5-6). Communitarian theorists such as Michael Sandel (1982, 1984) and Alasdair MacIntyre (1981), for example, find the liberal vision of suspicious, self-interested, isolated citizens tremendously impoverished. In Sandel’s view, “we cannot be wholly unencumbered [liberal] subjects of possession, individuated in advance and given prior to our ends” (Sandel 1984, 166). He and MacIntyre insist instead on the “embeddedness” of individuals (and therefore citizens) in their communities. In contrast to the liberal celebration of individual rights and self-interest, communitarians claim that what is in the interest of an individual is inextricably tied to what is good for a community as a whole: </w:t>
      </w:r>
      <w:r w:rsidRPr="00107E4B">
        <w:rPr>
          <w:rStyle w:val="StyleUnderline"/>
        </w:rPr>
        <w:t>“my identity is not independent of my aims and attachments, but partly constituted by them; I am situated from the start, embedded in a history which locates me among others, and implicates my good in the good of the communities whose stories I share”</w:t>
      </w:r>
      <w:r w:rsidRPr="00107E4B">
        <w:rPr>
          <w:sz w:val="16"/>
        </w:rPr>
        <w:t xml:space="preserve"> (Sandel 1984, 9). Citizenship thus becomes the project of cooperatively 78 Hypatia seeking the good for a community, as a community, rather than as self - interested individuals. In the “local forms of community” that communitarians favor, conflict-r at least serious conflict-seems to disappear. The “central bond” of a communitarian community, MacIntyre argues, is “a shared vision of and understanding of goods” (MacIntyre 1981,258). This shared vision, along with attention to traditions and to one’s history and roles, provide guidance for community interactions that ideally embody “civility” (MacIntyre 1981, 263) and, one gathers, a high degree of consensus. In a community where values and a sense of the common good are shared, citizens are not adversaries, as liberal democrats would have us believe, but something closer to friends or perhaps even relatives. Unlike the liberal democratic view, which leaves immutable conflict at the heart of public life, communitarians suggest that citizen concern for the common good makes cooperation flourish and conflict disappear. Recent participatory theorists join the communitarians in finding the liberal conception of citizenship too limited and adversarial, yet propose a quite different vision of human living together in response. Drawing on traditions and sources as diverse as Greek political thought, Italian Renaissance civic republicanism, the writings of Jean-Jacques Rousseau, Alexis de Tocqueville, the American pragmatists, and Hannah Arendt, contemporary participatory theorists have argued for a conception of citizenship that puts citizen action and self-government at the center of political life (Pateman 1970; Mansbridge 1980; Barber 1984; Dietz 1987; Habermas 1989; Young 1990; Fraser 1992). It is only through the active participation of citizens, these theorists argue, that democracy becomes legitimate: “Men and women who are not directly responsible through common deliberation, common decision, and common action for the policies that determine their common lives together are not really free at all, however much they enjoy security, private rights, and freedom from interference” (Barber 1984, 145-46). Citizenship in a participatory democracy, therefore, requires significant participation in common institutions of self-government, institutions “designed to facilitate ongoing civic participation in agenda-setting, deliberation, legislation, and policy implementation (in the form of ‘common work’)” (Barber 1984,151). These participatory institutions, by transforming strangers into citizen-neighbors through common conversations and projects, enable citizens to envision and articulate “a common future in terms of genuinely common goods’’ (Barber 1984, 197). And as Benjamin Barber argues in Strong Democracy, this common vision need not be purchased by suppressing conflict or by sacrificing individual interests. Conflict and disagreement, Barber insists, can instead be transformed by citizen deliberation and action. Participatory politics deals with public disputes and conflicts of interest by subjecting them to a never-ending process of delib- Holloway Sparks 79 eration, decision, and action. . . . In such communities, public ends are neither extrapolated from absolutes nor “discovered” in a preexisting “hidden consensus.” They are literally forged through the act of public participation, created through common deliberation and common action and the effect that deliberation and action have on interests, which change shape and direction when subjected to these participatory processes. (Barber 1984,151-52) Unlike the liberal democratic vision of citizenship, which views conflict as something merely to be tolerated or managed, conflict in a participatory democracy becomes an occasion for learning and for actively creating consensus where none existed before.2 Citizens learn, through democratic interaction with other citizens, how to enlarge their vision of their own freedom and interests to include others (Barber 1984, 232). The result is a form of democratic life, Barber argues, that respects both individual and mutual purposes. Barber’s vision of participatory democracy, although powerful, has been challenged persuasively by other participatory theorists. These theorists are critical (sometimes intensely so) of Barber’s failure to recognize deep-seated inequalities that affect participation and interaction in public life. As an example, some theorists flatly reject Barber’s case for putting political equality before economic equality, and for assuming that common talk and common action can take place in the presence of the systematic inequalities produced under capitalism. Herbert Bowles and Samuel Gintis, for instance, present a compelling argument for why the economy must be subject to democratic accountability in a society that values equality and participation (Bowles and Gintis 1986). In a similar vein, Richard Flacks has argued recently that democratic societies must discover ways to democratically control the movement and impact of global capital while simultaneously creating more participatory economic institutions and practices (Flacks 1996). Meaningful political participation, these theorists insist, requires some sort of substantive economic equality (Fraser 1992, 118-21). In addition, Iris Marion Young has criticized Barber’s inattention to the deep-seated inequalities produced by the cultural imperialism practiced by dominant social groups. Cultural imperialism, in Young’s view, is “the universalization of a dominant group’s experience and culture, and its establishment as the norm” (1990,59). Although she supports Barber’s vision of a democratic society where all people participate in public discussion and decision making, Young takes Barber to task for defining the public realm as one in which social and cultural differences must be “submerged” in favor of apparently neutral deliberation about “the common good.” In Barber’s strong democracy, Young observes, “The pursuit of particular interests, the pressing of the claims of 80 Hypatia particular groups, all must take place within a framework </w:t>
      </w:r>
      <w:r w:rsidRPr="00107E4B">
        <w:rPr>
          <w:sz w:val="16"/>
        </w:rPr>
        <w:lastRenderedPageBreak/>
        <w:t xml:space="preserve">of community and common vision established by the public realm” (1990, 117). This is problematic because dominant groups have the power to “project their own experiences as representative of humanity as such” (1990, 59). Public discussions framed in terms of community, common vision, and unity, “as opposed to group affinity and particular need and interest,” Young argues, consequently privilege the voices and perspectives of dominant groups who “dominate the allegedly common public” (1990, 117). Any legitimate public conflict, consequently, is precluded by a fraudulent consensus. (See also Mansbridge 1980; 1990, 127.) Although she respects Barber’s desire to counter the liberal vision of atomistic, self-interested individuals, Young argues that it is not necessary to replace that vision with a falsely homogenizing “ideal of community.” Instead, Young supports the creation of what she terms “a heterogeneous public.” The repoliticization of public life does not require the creation of a unified public realm in which citizens leave behind their particular group affiliations, histories, and needs to discuss a mythical “common good.’’ In a society differentiated by social groups, occupations, political positions, differences of privilege and oppression, regions, and so on, the perception of anything like a common good can only be an outcome of public interaction that expresses rather than submerges particularities. . . . Indeed, in open and accessible public spaces and forums, one should expect to encounter and hear from those who are different, whose social perspectives, experience, and affiliations are different. To promote a politics of inclusion, then, participatory democrats must promote the ideal of a heterogeneous public, in which persons stand forth with their differences acknowledged and respected, though perhaps not completely understood by others. (Young 1990,119) Citizenship, in Young’s heterogeneous public, thus takes the form of participation in public discussion and decision making, but in an institutional context that “equalizes the ability of oppressed groups to speak and be heard” (1990, 189). Institutional mechanisms and public resources should support group representation by providing for the self-organization of oppressed groups, the group generation and analysis of policy proposals, and group veto power regarding specific policies (1990, 184). Group representation, Young concludes, prevents oppression, draws conflict into the open, and provides all social groups with the resources for meaningful participation in joint agenda setting, deliberation, decision, and a~tion.~ Although Young does not confine the principles of group representation to representative bodies in government settings, clearly her proposal has an Holloway Sparks 81 institutional focus. All her examples are decision making bodies; the “democratized publics’’ she talks about are institutional ones. While both Barber and Young have considered ways to expand democracy within current institutions, democratic theorists drawing from the work of Jiirgen Habermas have drawn attention to an additional realm of participation, what Habermas and others have called “the public sphere.” The public sphere, in Nancy Fraser’s words, designates a theater in modern societies in which political participation is enacted through the medium of talk. It is the space in which citizens deliberate about their common affairs, and hence an institutionalized arena of discursive interaction. This arena is conceptually distinct from the state; it is a site for the production and circulation of discourses that can in principle be critical of the state. The public sphere in Habermas’s sense is also conceptually distinct from the official economy; it is not an arena of market relations but rather one of discursive relations, a theater for debating and deliberating rather than for buying and selling. (Fraser 1992, 110-11) In recent years, theorists drawing on the notion of the ideal public sphere have defended a conception of democracy variously termed “deliberative democracy,” “proceduralist-deliberative democracy,” “discursive democracy,” or “communicative democracy.” (See esp. Habermas 1987 and 1989; Dryzek 1990; Fishkin 1991; Joshua Cohen 1989; Mansbridge 1992; Benhabib 1996a.) Deliberative theorists join the participatory theorists in advocating significant political participation and “the widest-reaching democratization of decision making processes” possible, but they expand the focus on political participation to “a more inclusively understood concept of discursive will formation” (Benhabib 1992’86). In the words of Seyla Benhabib, </w:t>
      </w:r>
      <w:r w:rsidRPr="00107E4B">
        <w:rPr>
          <w:rStyle w:val="StyleUnderline"/>
        </w:rPr>
        <w:t>under the deliberative conception of democracy, participation is seen not as an activity only possible in a narrowly defined political realm but as an activity that can be realized in the social and cultural spheres as well</w:t>
      </w:r>
      <w:r w:rsidRPr="00107E4B">
        <w:rPr>
          <w:sz w:val="16"/>
        </w:rPr>
        <w:t xml:space="preserve">. Participating in a citizen’s initiative to clean up a polluted harbor is no less political than debating in cultural journals the pejorative presentation of certain groups in terms of stereotypical images (combating sexism and racism in the media). (Benhabib 1992,86) Citizenship in a deliberative democracy, consequently, means participating in “the determination of norms of action through the practical debate of all affected by them” (Benhabib 1992,86). The precise rules that should govern the practical debate are a matter of some dispute (see, e.g., Habermas 1996; Joshua Cohen 1996; Young 1996)’ but this more expansive notion of partici- 82 Hypatia pation as talk and deliberation in a variety of settings, Benhabib claims, “articulates a vision of the political true to the realities of complex, modem societies” (Benhabib 1992,86).4 </w:t>
      </w:r>
    </w:p>
    <w:p w14:paraId="2B01B786" w14:textId="77777777" w:rsidR="007E3D3F" w:rsidRPr="00107E4B" w:rsidRDefault="007E3D3F" w:rsidP="007E3D3F">
      <w:pPr>
        <w:pStyle w:val="Heading2"/>
      </w:pPr>
      <w:r w:rsidRPr="00107E4B">
        <w:lastRenderedPageBreak/>
        <w:t xml:space="preserve">Performance Good </w:t>
      </w:r>
    </w:p>
    <w:p w14:paraId="7BEA54AF" w14:textId="77777777" w:rsidR="007E3D3F" w:rsidRPr="00107E4B" w:rsidRDefault="007E3D3F" w:rsidP="007E3D3F">
      <w:pPr>
        <w:pStyle w:val="Heading4"/>
      </w:pPr>
      <w:r w:rsidRPr="00107E4B">
        <w:t xml:space="preserve">Narratives are a pre-req to the process of law formation – key to counterhegemonic forms of knowledge production   </w:t>
      </w:r>
    </w:p>
    <w:p w14:paraId="67BFC8F0" w14:textId="77777777" w:rsidR="007E3D3F" w:rsidRPr="00107E4B" w:rsidRDefault="007E3D3F" w:rsidP="007E3D3F">
      <w:pPr>
        <w:rPr>
          <w:rStyle w:val="Style13ptBold"/>
        </w:rPr>
      </w:pPr>
      <w:r w:rsidRPr="00107E4B">
        <w:rPr>
          <w:rStyle w:val="Style13ptBold"/>
        </w:rPr>
        <w:t>Wharton ‘16</w:t>
      </w:r>
    </w:p>
    <w:p w14:paraId="438C99B2" w14:textId="77777777" w:rsidR="007E3D3F" w:rsidRPr="00107E4B" w:rsidRDefault="007E3D3F" w:rsidP="007E3D3F">
      <w:pPr>
        <w:rPr>
          <w:rStyle w:val="Style13ptBold"/>
          <w:sz w:val="18"/>
          <w:szCs w:val="18"/>
        </w:rPr>
      </w:pPr>
      <w:r w:rsidRPr="00107E4B">
        <w:rPr>
          <w:rStyle w:val="Style13ptBold"/>
          <w:sz w:val="18"/>
          <w:szCs w:val="18"/>
        </w:rPr>
        <w:t xml:space="preserve">(Robin Wharton, Georgia State University, Derek Miller, Harvard University, “New Directions in Law and Narrative”, Law, Culture and the Humanities 1–11, pp. 1-3, Accessed 7/29/18, PAS). </w:t>
      </w:r>
    </w:p>
    <w:p w14:paraId="03F11AD5" w14:textId="77777777" w:rsidR="007E3D3F" w:rsidRPr="00107E4B" w:rsidRDefault="007E3D3F" w:rsidP="007E3D3F">
      <w:pPr>
        <w:rPr>
          <w:sz w:val="12"/>
        </w:rPr>
      </w:pPr>
      <w:r w:rsidRPr="00107E4B">
        <w:rPr>
          <w:sz w:val="12"/>
        </w:rPr>
        <w:t xml:space="preserve">This commentary assesses the state of scholarship on law and narrative and argues for a more holistic approach to the topic. </w:t>
      </w:r>
      <w:r w:rsidRPr="00107E4B">
        <w:rPr>
          <w:rStyle w:val="Emphasis"/>
        </w:rPr>
        <w:t xml:space="preserve">Narrative and law do not encounter each other accidentally but are ineluctably intertwined. Law is a dominant narrative form in the modern world; narrative suffuses </w:t>
      </w:r>
      <w:r w:rsidRPr="00107E4B">
        <w:rPr>
          <w:sz w:val="12"/>
        </w:rPr>
        <w:t>not just testimony but</w:t>
      </w:r>
      <w:r w:rsidRPr="00107E4B">
        <w:rPr>
          <w:rStyle w:val="Emphasis"/>
        </w:rPr>
        <w:t xml:space="preserve"> all legal practice. We urge scholarship that recognizes law and narrative as part of the same socio-cultural project of making the world.</w:t>
      </w:r>
      <w:r w:rsidRPr="00107E4B">
        <w:rPr>
          <w:sz w:val="12"/>
        </w:rPr>
        <w:t xml:space="preserve"> At the 2015 meeting of the Modern Language Association (MLA), we organized a roundtable on “Desire for Narrative in Law and Literature.” We solicited work that explored the various ways in which </w:t>
      </w:r>
      <w:r w:rsidRPr="00107E4B">
        <w:rPr>
          <w:rStyle w:val="Emphasis"/>
        </w:rPr>
        <w:t>law not only engages narrative, but also seems to need narrative.</w:t>
      </w:r>
      <w:r w:rsidRPr="00107E4B">
        <w:rPr>
          <w:sz w:val="12"/>
        </w:rPr>
        <w:t xml:space="preserve"> In other words we took as granted that </w:t>
      </w:r>
      <w:r w:rsidRPr="00107E4B">
        <w:rPr>
          <w:rStyle w:val="Emphasis"/>
        </w:rPr>
        <w:t>law</w:t>
      </w:r>
      <w:r w:rsidRPr="00107E4B">
        <w:rPr>
          <w:sz w:val="12"/>
        </w:rPr>
        <w:t xml:space="preserve">, as Peter Brooks has argued, </w:t>
      </w:r>
      <w:r w:rsidRPr="00107E4B">
        <w:rPr>
          <w:rStyle w:val="Emphasis"/>
        </w:rPr>
        <w:t xml:space="preserve">“needs narratology,” and sought to explore the diverse narratives – and thus the multiple narratological perspectives – that law demands. </w:t>
      </w:r>
      <w:r w:rsidRPr="00107E4B">
        <w:rPr>
          <w:sz w:val="12"/>
        </w:rPr>
        <w:t>Two articles in this commentary section originally appeared in that panel. This comment introduces those exciting contemporary approaches to law and narrative and reflects on the scope of the topic and its persistent importance</w:t>
      </w:r>
      <w:r w:rsidRPr="00107E4B">
        <w:rPr>
          <w:rStyle w:val="Emphasis"/>
        </w:rPr>
        <w:t xml:space="preserve">. Law takes advantage of the entire range of rhetorical and representational possibilities available to it as a narrative form. </w:t>
      </w:r>
      <w:r w:rsidRPr="00107E4B">
        <w:rPr>
          <w:sz w:val="12"/>
        </w:rPr>
        <w:t xml:space="preserve">The law does not merely involve narration – for example, in representing the underlying reality from which judicial or regulatory decisions emerge. Rather, </w:t>
      </w:r>
      <w:r w:rsidRPr="00107E4B">
        <w:rPr>
          <w:rStyle w:val="Emphasis"/>
        </w:rPr>
        <w:t>law is narrative, its coherence dependent upon our collective understanding of how stories make meaning by connecting characters and events into histories both factual and fictional.</w:t>
      </w:r>
      <w:r w:rsidRPr="00107E4B">
        <w:rPr>
          <w:sz w:val="12"/>
        </w:rPr>
        <w:t xml:space="preserve"> Further, as a narrative form in its own right, like the epic or the novel, </w:t>
      </w:r>
      <w:r w:rsidRPr="00107E4B">
        <w:rPr>
          <w:rStyle w:val="Emphasis"/>
        </w:rPr>
        <w:t>the law exercises considerable influence not only over how we read other narrative forms, but also over the stories such forms are capable of telling.</w:t>
      </w:r>
      <w:r w:rsidRPr="00107E4B">
        <w:rPr>
          <w:sz w:val="12"/>
        </w:rPr>
        <w:t xml:space="preserve"> The two comments gathered here, along with the other material from the MLA panel, demonstrate both the breadth and depth of new scholarship on law and narrative and make a case for the centrality of the law and narrative paradigm within literary and legal studies. In an influential PMLA article assessing law and literature, Julie Stone Peters divides the joint study of those subjects into three phases.2 First came “humanism,” which offered literature as the antidote to the technocratic rigor of law and economics. “Hermeneutics,” swept up in deconstruction and other literary theory, “threatened to unmoor law from its traditional interpretive bases” of textual interpretation.3 Last but not least comes </w:t>
      </w:r>
      <w:r w:rsidRPr="00107E4B">
        <w:rPr>
          <w:rStyle w:val="Emphasis"/>
        </w:rPr>
        <w:t>narrative</w:t>
      </w:r>
      <w:r w:rsidRPr="00107E4B">
        <w:rPr>
          <w:sz w:val="12"/>
        </w:rPr>
        <w:t xml:space="preserve">, which </w:t>
      </w:r>
      <w:r w:rsidRPr="00107E4B">
        <w:rPr>
          <w:rStyle w:val="Emphasis"/>
        </w:rPr>
        <w:t xml:space="preserve">combined the former’s concern with human agency and the latter’s awareness of a text’s multiple meanings. </w:t>
      </w:r>
      <w:r w:rsidRPr="00107E4B">
        <w:rPr>
          <w:sz w:val="12"/>
        </w:rPr>
        <w:t xml:space="preserve">A similar tripartite division defines the general approaches to law and narrative. Although Peters lists narrative third in the development of law and literature, narrative actually features prominently in the contemporary field’s ur-text, James Boyd White’s The Legal Imagination from 1973. In White’s chapter on narrative, the final section of his book, he notes that </w:t>
      </w:r>
      <w:r w:rsidRPr="00107E4B">
        <w:rPr>
          <w:rStyle w:val="StyleUnderline"/>
        </w:rPr>
        <w:t>narrative draws together and summarizes his central concerns. He suggests there that “the central act of the legal mind, of judge and lawyer alike, is this conversion of the raw material of life – of the actual experiences of people and the thousands of ways they can be talked about – into a story that will claim to tell the truth in legal terms.”</w:t>
      </w:r>
      <w:r w:rsidRPr="00107E4B">
        <w:rPr>
          <w:sz w:val="12"/>
        </w:rPr>
        <w:t xml:space="preserve">4 Yet law and narrative did not truly come into its own until the late 1980s. White’s concern with how the minds of jurists, litigants, and other citizens narrate their lives and their understanding of law features prominently in that first explosion of law and narrative scholarship that critiqued the force of storytelling in legal cases. Writers such as Richard Delgado and Robin West hoped </w:t>
      </w:r>
      <w:r w:rsidRPr="00107E4B">
        <w:rPr>
          <w:rStyle w:val="Emphasis"/>
        </w:rPr>
        <w:t xml:space="preserve">attending to narrative would give voice to the voiceless and offer perspectives that critiqued the hegemony of laws usually narrated by and for dead white men. </w:t>
      </w:r>
      <w:r w:rsidRPr="00107E4B">
        <w:rPr>
          <w:sz w:val="12"/>
        </w:rPr>
        <w:t xml:space="preserve">Introducing the influential 1989 Michigan Law Review symposium on law and narrative, Kim Lane Scheppele noted </w:t>
      </w:r>
      <w:r w:rsidRPr="00107E4B">
        <w:rPr>
          <w:rStyle w:val="Emphasis"/>
        </w:rPr>
        <w:t>that “what almost all the writer</w:t>
      </w:r>
      <w:r w:rsidRPr="00107E4B">
        <w:rPr>
          <w:sz w:val="12"/>
        </w:rPr>
        <w:t xml:space="preserve">s [in the symposium] </w:t>
      </w:r>
      <w:r w:rsidRPr="00107E4B">
        <w:rPr>
          <w:rStyle w:val="Emphasis"/>
        </w:rPr>
        <w:t>shared was a concern with the point of view of outsiders, those whose perspectives had been excluded in the law’s construction of an official story for the particular case.”</w:t>
      </w:r>
      <w:r w:rsidRPr="00107E4B">
        <w:rPr>
          <w:sz w:val="12"/>
        </w:rPr>
        <w:t xml:space="preserve">5 As Peters later summarized, </w:t>
      </w:r>
      <w:r w:rsidRPr="00107E4B">
        <w:rPr>
          <w:rStyle w:val="Emphasis"/>
        </w:rPr>
        <w:t>this work claimed “a kind of postcritical real as a viable basis for legal ethics.”</w:t>
      </w:r>
      <w:r w:rsidRPr="00107E4B">
        <w:rPr>
          <w:sz w:val="12"/>
        </w:rPr>
        <w:t xml:space="preserve">6 As this movement of narrative jurisprudence firmly established itself in the early 1990s, scholars shifted their gaze from the stories that litigants tell and those that litigation excludes to the stories embedded in judicial decision-making. “The stories that theorists such as [Oliver Wendell] Holmes, [Lon L.] Fuller, and [Ronald] Dworkin tell are not simply ornamental; they are central to – they even constitute – each writer’s conception of law,” wrote Robin West in her critique of legal narrative. </w:t>
      </w:r>
      <w:r w:rsidRPr="00107E4B">
        <w:rPr>
          <w:rStyle w:val="Emphasis"/>
        </w:rPr>
        <w:t>“By reading these jurisprudential stories systematically and critically as stories, we may achieve a richer understanding of the philosophical arguments those anecdotes are meant to convey.</w:t>
      </w:r>
      <w:r w:rsidRPr="00107E4B">
        <w:rPr>
          <w:sz w:val="12"/>
        </w:rPr>
        <w:t xml:space="preserve">”7 </w:t>
      </w:r>
      <w:r w:rsidRPr="00107E4B">
        <w:rPr>
          <w:rStyle w:val="Emphasis"/>
        </w:rPr>
        <w:t xml:space="preserve">Such readings seek out </w:t>
      </w:r>
      <w:r w:rsidRPr="00107E4B">
        <w:rPr>
          <w:rStyle w:val="Emphasis"/>
        </w:rPr>
        <w:lastRenderedPageBreak/>
        <w:t xml:space="preserve">narratives that do not mark themselves as such, and thus expand the scope of narrative studies in law. </w:t>
      </w:r>
      <w:r w:rsidRPr="00107E4B">
        <w:rPr>
          <w:sz w:val="12"/>
        </w:rPr>
        <w:t xml:space="preserve">The 1995 conference on “Narrative and Rhetoric in the Law” at Yale’s Whitney Humanities Center summarized some of the myriad ways in which scholars had recognized narrative’s centrality to law in the preceding decade or so. </w:t>
      </w:r>
    </w:p>
    <w:p w14:paraId="539F16B3" w14:textId="77777777" w:rsidR="007E3D3F" w:rsidRPr="00107E4B" w:rsidRDefault="007E3D3F" w:rsidP="007E3D3F"/>
    <w:p w14:paraId="1936A925" w14:textId="77777777" w:rsidR="007E3D3F" w:rsidRPr="00107E4B" w:rsidRDefault="007E3D3F" w:rsidP="007E3D3F">
      <w:pPr>
        <w:rPr>
          <w:sz w:val="14"/>
        </w:rPr>
      </w:pPr>
    </w:p>
    <w:p w14:paraId="6103BB4B" w14:textId="77777777" w:rsidR="007E3D3F" w:rsidRPr="00107E4B" w:rsidRDefault="007E3D3F" w:rsidP="007E3D3F">
      <w:pPr>
        <w:pStyle w:val="Heading4"/>
        <w:rPr>
          <w:rFonts w:eastAsia="Times New Roman"/>
          <w:lang w:bidi="mr-IN"/>
        </w:rPr>
      </w:pPr>
      <w:r w:rsidRPr="00107E4B">
        <w:rPr>
          <w:rFonts w:eastAsia="Times New Roman"/>
          <w:lang w:bidi="mr-IN"/>
        </w:rPr>
        <w:t xml:space="preserve">Performance activism allows for new roles and rules for bodies normally excluded </w:t>
      </w:r>
    </w:p>
    <w:p w14:paraId="673517B1" w14:textId="77777777" w:rsidR="007E3D3F" w:rsidRPr="00107E4B" w:rsidRDefault="007E3D3F" w:rsidP="007E3D3F">
      <w:pPr>
        <w:spacing w:line="240" w:lineRule="auto"/>
        <w:rPr>
          <w:rFonts w:ascii="Arial" w:eastAsia="Times New Roman" w:hAnsi="Arial" w:cs="Arial"/>
          <w:color w:val="000000"/>
          <w:sz w:val="16"/>
          <w:szCs w:val="16"/>
          <w:lang w:bidi="mr-IN"/>
        </w:rPr>
      </w:pPr>
      <w:r w:rsidRPr="00107E4B">
        <w:rPr>
          <w:rStyle w:val="Style13ptBold"/>
        </w:rPr>
        <w:t>Friedman and Holzman 12</w:t>
      </w:r>
      <w:r w:rsidRPr="00107E4B">
        <w:rPr>
          <w:rFonts w:ascii="Arial" w:eastAsia="Times New Roman" w:hAnsi="Arial" w:cs="Arial"/>
          <w:color w:val="000000"/>
          <w:sz w:val="16"/>
          <w:szCs w:val="16"/>
          <w:shd w:val="clear" w:color="auto" w:fill="FFFFFF"/>
          <w:lang w:bidi="mr-IN"/>
        </w:rPr>
        <w:t xml:space="preserve"> By Dan Friedman and Lois Holzman, “Performing the World: The Emergence of Performance Activism”)</w:t>
      </w:r>
    </w:p>
    <w:p w14:paraId="7ADACD45" w14:textId="77777777" w:rsidR="007E3D3F" w:rsidRPr="00107E4B" w:rsidRDefault="007E3D3F" w:rsidP="007E3D3F">
      <w:pPr>
        <w:spacing w:line="240" w:lineRule="auto"/>
        <w:rPr>
          <w:rFonts w:eastAsia="Times New Roman" w:cs="Times New Roman"/>
          <w:lang w:bidi="mr-IN"/>
        </w:rPr>
      </w:pPr>
      <w:r w:rsidRPr="00107E4B">
        <w:rPr>
          <w:rFonts w:ascii="Arial" w:eastAsia="Times New Roman" w:hAnsi="Arial" w:cs="Arial"/>
          <w:color w:val="000000"/>
          <w:sz w:val="16"/>
          <w:szCs w:val="16"/>
          <w:lang w:bidi="mr-IN"/>
        </w:rPr>
        <w:t xml:space="preserve">The performance turn is widely acknowledged. </w:t>
      </w:r>
      <w:r w:rsidRPr="00107E4B">
        <w:rPr>
          <w:rFonts w:ascii="Arial" w:eastAsia="Times New Roman" w:hAnsi="Arial" w:cs="Arial"/>
          <w:b/>
          <w:bCs/>
          <w:color w:val="000000"/>
          <w:u w:val="single"/>
          <w:lang w:bidi="mr-IN"/>
        </w:rPr>
        <w:t xml:space="preserve">The premise that all (or much) of </w:t>
      </w:r>
      <w:r w:rsidRPr="008A0538">
        <w:rPr>
          <w:rStyle w:val="StyleUnderline"/>
        </w:rPr>
        <w:t>human practices are performed, that humans, through performance, function as the active social constructors of their world is not only embodied in the discipline of performance studies, but has become part of the dialogue in anthropology, linguistics, ethnography, folklore, psychology, sociology, and history.</w:t>
      </w:r>
      <w:r w:rsidRPr="00107E4B">
        <w:rPr>
          <w:rFonts w:ascii="Arial" w:eastAsia="Times New Roman" w:hAnsi="Arial" w:cs="Arial"/>
          <w:b/>
          <w:bCs/>
          <w:color w:val="000000"/>
          <w:u w:val="single"/>
          <w:lang w:bidi="mr-IN"/>
        </w:rPr>
        <w:t xml:space="preserve"> </w:t>
      </w:r>
      <w:r w:rsidRPr="00107E4B">
        <w:rPr>
          <w:rFonts w:ascii="Arial" w:eastAsia="Times New Roman" w:hAnsi="Arial" w:cs="Arial"/>
          <w:color w:val="000000"/>
          <w:sz w:val="16"/>
          <w:szCs w:val="16"/>
          <w:lang w:bidi="mr-IN"/>
        </w:rPr>
        <w:t xml:space="preserve">What is generally less recognized, both by scholars and by political activists themselves, is the performance turn in social activism. </w:t>
      </w:r>
      <w:r w:rsidRPr="00107E4B">
        <w:rPr>
          <w:rFonts w:ascii="Arial" w:eastAsia="Times New Roman" w:hAnsi="Arial" w:cs="Arial"/>
          <w:b/>
          <w:bCs/>
          <w:color w:val="000000"/>
          <w:u w:val="single"/>
          <w:lang w:bidi="mr-IN"/>
        </w:rPr>
        <w:t>The corruption and collapse of the Communist revolutions</w:t>
      </w:r>
      <w:r w:rsidRPr="00107E4B">
        <w:rPr>
          <w:rFonts w:ascii="Arial" w:eastAsia="Times New Roman" w:hAnsi="Arial" w:cs="Arial"/>
          <w:color w:val="000000"/>
          <w:sz w:val="16"/>
          <w:szCs w:val="16"/>
          <w:lang w:bidi="mr-IN"/>
        </w:rPr>
        <w:t xml:space="preserve"> of the 20</w:t>
      </w:r>
      <w:r w:rsidRPr="00107E4B">
        <w:rPr>
          <w:rFonts w:ascii="Arial" w:eastAsia="Times New Roman" w:hAnsi="Arial" w:cs="Arial"/>
          <w:color w:val="000000"/>
          <w:sz w:val="13"/>
          <w:szCs w:val="13"/>
          <w:vertAlign w:val="superscript"/>
          <w:lang w:bidi="mr-IN"/>
        </w:rPr>
        <w:t>th</w:t>
      </w:r>
      <w:r w:rsidRPr="00107E4B">
        <w:rPr>
          <w:rFonts w:ascii="Arial" w:eastAsia="Times New Roman" w:hAnsi="Arial" w:cs="Arial"/>
          <w:color w:val="000000"/>
          <w:sz w:val="16"/>
          <w:szCs w:val="16"/>
          <w:lang w:bidi="mr-IN"/>
        </w:rPr>
        <w:t xml:space="preserve"> Century have </w:t>
      </w:r>
      <w:r w:rsidRPr="00107E4B">
        <w:rPr>
          <w:rFonts w:ascii="Arial" w:eastAsia="Times New Roman" w:hAnsi="Arial" w:cs="Arial"/>
          <w:b/>
          <w:bCs/>
          <w:color w:val="000000"/>
          <w:u w:val="single"/>
          <w:lang w:bidi="mr-IN"/>
        </w:rPr>
        <w:t>called into question</w:t>
      </w:r>
      <w:r w:rsidRPr="00107E4B">
        <w:rPr>
          <w:rFonts w:ascii="Arial" w:eastAsia="Times New Roman" w:hAnsi="Arial" w:cs="Arial"/>
          <w:color w:val="000000"/>
          <w:sz w:val="16"/>
          <w:szCs w:val="16"/>
          <w:lang w:bidi="mr-IN"/>
        </w:rPr>
        <w:t xml:space="preserve"> the value of ideology (in particular) and cognition and knowledge (in general) to provide </w:t>
      </w:r>
      <w:r w:rsidRPr="00107E4B">
        <w:rPr>
          <w:rFonts w:ascii="Arial" w:eastAsia="Times New Roman" w:hAnsi="Arial" w:cs="Arial"/>
          <w:b/>
          <w:bCs/>
          <w:color w:val="000000"/>
          <w:u w:val="single"/>
          <w:lang w:bidi="mr-IN"/>
        </w:rPr>
        <w:t>a</w:t>
      </w:r>
      <w:r w:rsidRPr="00107E4B">
        <w:rPr>
          <w:rFonts w:ascii="Arial" w:eastAsia="Times New Roman" w:hAnsi="Arial" w:cs="Arial"/>
          <w:b/>
          <w:bCs/>
          <w:color w:val="000000"/>
          <w:u w:val="single"/>
          <w:shd w:val="clear" w:color="auto" w:fill="FFFF00"/>
          <w:lang w:bidi="mr-IN"/>
        </w:rPr>
        <w:t xml:space="preserve"> </w:t>
      </w:r>
      <w:r w:rsidRPr="008A0538">
        <w:rPr>
          <w:rStyle w:val="StyleUnderline"/>
        </w:rPr>
        <w:t>way out of the developmental dead ends</w:t>
      </w:r>
      <w:r w:rsidRPr="00107E4B">
        <w:rPr>
          <w:rFonts w:ascii="Arial" w:eastAsia="Times New Roman" w:hAnsi="Arial" w:cs="Arial"/>
          <w:b/>
          <w:bCs/>
          <w:color w:val="000000"/>
          <w:u w:val="single"/>
          <w:lang w:bidi="mr-IN"/>
        </w:rPr>
        <w:t xml:space="preserve">—pervasive poverty, constant warfare and violence, the rapidly expanding gaps in wealth and opportunity—that appear to have trapped humanity. </w:t>
      </w:r>
      <w:r w:rsidRPr="00107E4B">
        <w:rPr>
          <w:rFonts w:ascii="Arial" w:eastAsia="Times New Roman" w:hAnsi="Arial" w:cs="Arial"/>
          <w:color w:val="000000"/>
          <w:sz w:val="16"/>
          <w:szCs w:val="16"/>
          <w:lang w:bidi="mr-IN"/>
        </w:rPr>
        <w:t xml:space="preserve">Acknowledging this, a growing number of political and social activists, community and youth organizers, progressive and critical educators and therapists, and others </w:t>
      </w:r>
      <w:r w:rsidRPr="00107E4B">
        <w:rPr>
          <w:rFonts w:ascii="Arial" w:eastAsia="Times New Roman" w:hAnsi="Arial" w:cs="Arial"/>
          <w:b/>
          <w:bCs/>
          <w:color w:val="000000"/>
          <w:u w:val="single"/>
          <w:lang w:bidi="mr-IN"/>
        </w:rPr>
        <w:t xml:space="preserve">around the globe have been turning to </w:t>
      </w:r>
      <w:r w:rsidRPr="008A0538">
        <w:rPr>
          <w:rStyle w:val="Emphasis"/>
        </w:rPr>
        <w:t>performance as a way of engaging social problems, activating communities, and experimenting with new social and political possibilities.</w:t>
      </w:r>
      <w:r w:rsidRPr="00107E4B">
        <w:rPr>
          <w:rFonts w:ascii="Arial" w:eastAsia="Times New Roman" w:hAnsi="Arial" w:cs="Arial"/>
          <w:b/>
          <w:bCs/>
          <w:color w:val="000000"/>
          <w:u w:val="single"/>
          <w:lang w:bidi="mr-IN"/>
        </w:rPr>
        <w:t xml:space="preserve"> This shift looks different in different cultures and political environments.  Whatever the differences, however, the </w:t>
      </w:r>
      <w:r w:rsidRPr="008A0538">
        <w:rPr>
          <w:rStyle w:val="Emphasis"/>
        </w:rPr>
        <w:t>performance shift is allowing social change activists in both modern and traditional cultures to organize not around a set of ideas, an ideology, but to create, through performance, something new with what exists.</w:t>
      </w:r>
      <w:r w:rsidRPr="00107E4B">
        <w:rPr>
          <w:rFonts w:ascii="Arial" w:eastAsia="Times New Roman" w:hAnsi="Arial" w:cs="Arial"/>
          <w:b/>
          <w:bCs/>
          <w:color w:val="000000"/>
          <w:u w:val="single"/>
          <w:lang w:bidi="mr-IN"/>
        </w:rPr>
        <w:t xml:space="preserve"> In our view, the performance turn has the potential to be socially and culturally transformative/revolutionary precisely because performance, consciously practiced in daily life, is, by its nature, a creative social activity that allows human beings to break out of old roles and old rules.</w:t>
      </w:r>
    </w:p>
    <w:p w14:paraId="3701C674" w14:textId="77777777" w:rsidR="007E3D3F" w:rsidRPr="00107E4B" w:rsidRDefault="007E3D3F" w:rsidP="007E3D3F">
      <w:pPr>
        <w:pStyle w:val="Heading4"/>
        <w:rPr>
          <w:rFonts w:eastAsia="Times New Roman"/>
          <w:lang w:bidi="mr-IN"/>
        </w:rPr>
      </w:pPr>
      <w:r w:rsidRPr="00107E4B">
        <w:rPr>
          <w:rFonts w:eastAsia="Times New Roman"/>
          <w:lang w:bidi="mr-IN"/>
        </w:rPr>
        <w:t xml:space="preserve">Sociologists note that through performance, humans develop beyond the norms of social activism, constantly re-defining what it means to be an activist. </w:t>
      </w:r>
    </w:p>
    <w:p w14:paraId="5A2729AE" w14:textId="77777777" w:rsidR="007E3D3F" w:rsidRPr="00107E4B" w:rsidRDefault="007E3D3F" w:rsidP="007E3D3F">
      <w:pPr>
        <w:spacing w:line="240" w:lineRule="auto"/>
        <w:rPr>
          <w:rFonts w:eastAsia="Times New Roman" w:cs="Times New Roman"/>
          <w:lang w:bidi="mr-IN"/>
        </w:rPr>
      </w:pPr>
      <w:r w:rsidRPr="00107E4B">
        <w:rPr>
          <w:rStyle w:val="Style13ptBold"/>
          <w:lang w:bidi="mr-IN"/>
        </w:rPr>
        <w:t>Friedman</w:t>
      </w:r>
      <w:r w:rsidRPr="00107E4B">
        <w:rPr>
          <w:rStyle w:val="Style13ptBold"/>
        </w:rPr>
        <w:t xml:space="preserve"> and</w:t>
      </w:r>
      <w:r w:rsidRPr="00107E4B">
        <w:rPr>
          <w:rStyle w:val="Style13ptBold"/>
          <w:lang w:bidi="mr-IN"/>
        </w:rPr>
        <w:t xml:space="preserve"> Hotzman 12</w:t>
      </w:r>
      <w:r w:rsidRPr="00107E4B">
        <w:rPr>
          <w:rFonts w:eastAsia="Times New Roman" w:cs="Times New Roman"/>
          <w:b/>
          <w:bCs/>
          <w:color w:val="000000"/>
          <w:lang w:bidi="mr-IN"/>
        </w:rPr>
        <w:t xml:space="preserve"> </w:t>
      </w:r>
      <w:r w:rsidRPr="00107E4B">
        <w:rPr>
          <w:rFonts w:eastAsia="Times New Roman" w:cs="Times New Roman"/>
          <w:color w:val="000000"/>
          <w:lang w:bidi="mr-IN"/>
        </w:rPr>
        <w:t>(Dan Friedman and Lois Holzman, “Performing the World: The Emergence of Performance Activism”, pgs. 8-9)</w:t>
      </w:r>
    </w:p>
    <w:p w14:paraId="2B76D460" w14:textId="77777777" w:rsidR="007E3D3F" w:rsidRPr="00107E4B" w:rsidRDefault="007E3D3F" w:rsidP="007E3D3F">
      <w:pPr>
        <w:spacing w:line="240" w:lineRule="auto"/>
        <w:rPr>
          <w:rFonts w:eastAsia="Times New Roman" w:cs="Times New Roman"/>
          <w:lang w:bidi="mr-IN"/>
        </w:rPr>
      </w:pPr>
      <w:r w:rsidRPr="00107E4B">
        <w:rPr>
          <w:rFonts w:ascii="Arial" w:eastAsia="Times New Roman" w:hAnsi="Arial" w:cs="Arial"/>
          <w:color w:val="000000"/>
          <w:sz w:val="16"/>
          <w:szCs w:val="16"/>
          <w:lang w:bidi="mr-IN"/>
        </w:rPr>
        <w:t xml:space="preserve">The other direction performative inquiry takes is relating to people as performers by studying the human activity of performing in its endless varieties and by creating opportunities for people to perform in new ways. For example, there are practitioners who, recognizing the emotional and social growth that occurs when people create together theatrically on stage, use theatrical performance techniques in non-theatrical settings to support the expression of people’s creativity and sociality in all areas of their lives. Included here are various nontraditional therapies, including psychodrama, social constructionist, collaborative and narrative approaches.[i] There are also educators who have made this performance turn, becoming attentive to creativity as </w:t>
      </w:r>
      <w:r w:rsidRPr="00107E4B">
        <w:rPr>
          <w:rFonts w:ascii="Arial" w:eastAsia="Times New Roman" w:hAnsi="Arial" w:cs="Arial"/>
          <w:i/>
          <w:iCs/>
          <w:color w:val="000000"/>
          <w:sz w:val="16"/>
          <w:szCs w:val="16"/>
          <w:lang w:bidi="mr-IN"/>
        </w:rPr>
        <w:t>socially performed</w:t>
      </w:r>
      <w:r w:rsidRPr="00107E4B">
        <w:rPr>
          <w:rFonts w:ascii="Arial" w:eastAsia="Times New Roman" w:hAnsi="Arial" w:cs="Arial"/>
          <w:color w:val="000000"/>
          <w:sz w:val="16"/>
          <w:szCs w:val="16"/>
          <w:lang w:bidi="mr-IN"/>
        </w:rPr>
        <w:t xml:space="preserve"> and learning itself as a creative activity. Some relate explicitly to teaching and learning as improvisational[ii] and develop performatory practices of student-teacher engagement.[iii]  It is this direction of performative psychology that was taken by the community we the authors are part of. We became convinced that performing in new ways is key to ongoing human development, and that ongoing human development is a necessary bi-condition of global cultural and political transformation.[iv]  Our unique brand of performance activism links performance inextricably to human and community growth and development. PTW was born as an organizing tactic of this community, and so we now offer a brief intellectual history of its activities.This community of activists began by working in the poorest communities of New York City in the 1970s and has gone on to organize middle class and wealthy people to work with us to support poor people to develop and provide leadership to the process of positive social change, free of </w:t>
      </w:r>
      <w:r w:rsidRPr="00107E4B">
        <w:rPr>
          <w:rFonts w:ascii="Arial" w:eastAsia="Times New Roman" w:hAnsi="Arial" w:cs="Arial"/>
          <w:color w:val="000000"/>
          <w:sz w:val="16"/>
          <w:szCs w:val="16"/>
          <w:lang w:bidi="mr-IN"/>
        </w:rPr>
        <w:lastRenderedPageBreak/>
        <w:t>government, corporate or university dependence.  This organizing has led to, among many other things, the development of outside of school youth programs, a theatre, a research and training center, social therapy practices, independent electoral campaigns and organizations on a national, and increasingly, international stage.[v] In the course of nearly four decades of this work, we have come to an understanding of performance as a transformative, developmental activity.</w:t>
      </w:r>
      <w:r w:rsidRPr="00107E4B">
        <w:rPr>
          <w:rFonts w:ascii="Arial" w:eastAsia="Times New Roman" w:hAnsi="Arial" w:cs="Arial"/>
          <w:color w:val="000000"/>
          <w:u w:val="single"/>
          <w:lang w:bidi="mr-IN"/>
        </w:rPr>
        <w:t xml:space="preserve"> We understand performance to be the universal human capacity to be both who we are and who we are not at the same time.  It is this ability, we believe, that allows human beings to develop beyond instinctual and socially patterned behavior. This understanding of performance changes the very nature of social change activism. </w:t>
      </w:r>
      <w:r w:rsidRPr="00107E4B">
        <w:rPr>
          <w:rFonts w:ascii="Arial" w:eastAsia="Times New Roman" w:hAnsi="Arial" w:cs="Arial"/>
          <w:i/>
          <w:iCs/>
          <w:color w:val="000000"/>
          <w:sz w:val="16"/>
          <w:szCs w:val="16"/>
          <w:lang w:bidi="mr-IN"/>
        </w:rPr>
        <w:t> </w:t>
      </w:r>
      <w:r w:rsidRPr="00107E4B">
        <w:rPr>
          <w:rFonts w:ascii="Arial" w:eastAsia="Times New Roman" w:hAnsi="Arial" w:cs="Arial"/>
          <w:color w:val="000000"/>
          <w:sz w:val="16"/>
          <w:szCs w:val="16"/>
          <w:lang w:bidi="mr-IN"/>
        </w:rPr>
        <w:t xml:space="preserve">In coming to this understanding/practice of performance, our organizing experience was enriched by both Newman’s training in analytical philosophy, the philosophy of science and the foundations of mathematics under the mentorship of Donald Davidson at Stanford University, and Holzman’s training in developmental psychology, psycholinguistics and cultural-historical activity theory (the latter as a post-doc researcher at Michael Cole’s Laboratory of Comparative Human Cognition at Rockefeller University)—and by the embrace by Newman, Holzman, et al of the early methodological writings of Marx, the later writings of Austrian philosopher Ludwig Wittgenstein, and the work of Soviet psychologist Lev Vygotsky. From Marx we took his dialectical methodology and insistence that human beings are not isolated individuals: </w:t>
      </w:r>
      <w:r w:rsidRPr="00107E4B">
        <w:rPr>
          <w:rFonts w:ascii="Arial" w:eastAsia="Times New Roman" w:hAnsi="Arial" w:cs="Arial"/>
          <w:color w:val="000000"/>
          <w:u w:val="single"/>
          <w:lang w:bidi="mr-IN"/>
        </w:rPr>
        <w:t>“As society itself produces man as man, so it is produced by him. Activity and mind are social in their content as well as in their origin: they are social activity and social mind</w:t>
      </w:r>
      <w:r w:rsidRPr="00107E4B">
        <w:rPr>
          <w:rFonts w:ascii="Arial" w:eastAsia="Times New Roman" w:hAnsi="Arial" w:cs="Arial"/>
          <w:color w:val="000000"/>
          <w:sz w:val="16"/>
          <w:szCs w:val="16"/>
          <w:lang w:bidi="mr-IN"/>
        </w:rPr>
        <w:t>.”[vi] Second, we took from Marx that the transformation of the world and of ourselves as human beings is one and the same task: “The coincidence of the changing of circumstances and of human activity or self-changing can be conceived and rationally understood only as revolutionary practice.”[vii] Revolutionary practice, we came to understand from Marx, is not so much the organizing toward a specific goal as it is a new conception of method, a conception of method that involves a unity of human beings and the world we’ve created/are re-creating.[viii] From Wittgenstein, we came to an understanding of the limitations of language, and by extension, of ideology.  Wittgenstein, in his later work, created a radically new method of doing philosophy, one without foundations, premises, generalizations or abstractions.[ix] His work exposed “the pathology” embedded in language and in accepted conceptions of language, thoughts and emotions. These linguistic/philosophical pathologies permeate everyday life and create intellectual-emotional muddles, as people look for: causes, correspondences, rules, parallels, generalities, theories, interpretations, explanations for our thoughts, words and verbal deeds—even when we are not trying to or trying not to!  Getting out of these traps, we gradually concluded, required something other than language.  It required performance.[x]</w:t>
      </w:r>
    </w:p>
    <w:p w14:paraId="08BE2A64" w14:textId="77777777" w:rsidR="007E3D3F" w:rsidRPr="00107E4B" w:rsidRDefault="007E3D3F" w:rsidP="007E3D3F"/>
    <w:p w14:paraId="026CE4B2" w14:textId="77777777" w:rsidR="007E3D3F" w:rsidRPr="00107E4B" w:rsidRDefault="007E3D3F" w:rsidP="007E3D3F">
      <w:pPr>
        <w:pStyle w:val="Heading4"/>
      </w:pPr>
      <w:r w:rsidRPr="00107E4B">
        <w:rPr>
          <w:b w:val="0"/>
        </w:rPr>
        <w:t>Performative scenarios are the best educational methods for real-world problems</w:t>
      </w:r>
    </w:p>
    <w:p w14:paraId="268E3424" w14:textId="77777777" w:rsidR="007E3D3F" w:rsidRPr="00107E4B" w:rsidRDefault="007E3D3F" w:rsidP="007E3D3F">
      <w:r w:rsidRPr="00107E4B">
        <w:rPr>
          <w:b/>
          <w:sz w:val="28"/>
          <w:szCs w:val="28"/>
        </w:rPr>
        <w:t>Gordon 98</w:t>
      </w:r>
      <w:r w:rsidRPr="00107E4B">
        <w:t xml:space="preserve"> (Rick Gordon, 7/29/18, “Balancing Real-World Problems with Real-World Results”, The Phi Delta Kappan, Vol. 79, No. 5 (Jan., 1998), pp. 390-393, SZ)</w:t>
      </w:r>
    </w:p>
    <w:p w14:paraId="38731AC1" w14:textId="77777777" w:rsidR="007E3D3F" w:rsidRPr="00107E4B" w:rsidRDefault="007E3D3F" w:rsidP="007E3D3F">
      <w:pPr>
        <w:rPr>
          <w:sz w:val="14"/>
        </w:rPr>
      </w:pPr>
      <w:r w:rsidRPr="00107E4B">
        <w:rPr>
          <w:sz w:val="14"/>
        </w:rPr>
        <w:t xml:space="preserve">Enthusiasm for real-world learning needs to be balanced with the realities of real-world classrooms, Mr Gordon notes. </w:t>
      </w:r>
      <w:r w:rsidRPr="00107E4B">
        <w:rPr>
          <w:rStyle w:val="StyleUnderline"/>
        </w:rPr>
        <w:t>Through thoughtfully designed authentic learning experiences, students can develop the understandings, skills, and beliefs needed for success</w:t>
      </w:r>
      <w:r w:rsidRPr="00107E4B">
        <w:rPr>
          <w:sz w:val="14"/>
        </w:rPr>
        <w:t xml:space="preserve"> in school and beyond. Mankind likes to think in terms of extreme opposites. It is given to formulating its beliefs in terms of Either-Ors, between which it recognizes no inter mediate possibilities.' </w:t>
      </w:r>
      <w:r w:rsidRPr="00107E4B">
        <w:rPr>
          <w:rStyle w:val="StyleUnderline"/>
        </w:rPr>
        <w:t>AUTHENTIC learning, real-world problems, constructivist class rooms, performance assessment. Engaging students in "authentic" performance situations seems to be the latest wave to wash over the schools. On the surface, this is a most appealing contrast to the decontextualized, rote learning typified by "traditional" education</w:t>
      </w:r>
      <w:r w:rsidRPr="00107E4B">
        <w:rPr>
          <w:sz w:val="14"/>
        </w:rPr>
        <w:t>. As Jacqueline Brooks and Mar tin Brooks exclaim in describing the bene fits of constructivist classrooms, "</w:t>
      </w:r>
      <w:r w:rsidRPr="00107E4B">
        <w:rPr>
          <w:rStyle w:val="StyleUnderline"/>
        </w:rPr>
        <w:t>They free students from the dreariness of fact-driven curriculum and allow them to focus on ideas; they place in students' hands the exhilarating power to follow trails of interests, to make connections, to reformulate ideas, and to reach unique conclusions."</w:t>
      </w:r>
      <w:r w:rsidRPr="00107E4B">
        <w:rPr>
          <w:sz w:val="14"/>
        </w:rPr>
        <w:t xml:space="preserve">2 Without doubt, the possibilities are great and the language lofty when addressing this latest wave. As one who comes to this movement with long experience engaging students in real-world problems, I feel that it is important to warn against the all-too-familiar tendency in education to be enamored with new ideas while losing sight of the grounded perspective needed to make things work in real classrooms with real students. The program I work with, Education by Design/Critical Skills (EBD/CS), pioneered "Learning by Real Problems"~ in the early 1980s. Directed to come up with educational practices that would allow children to develop the knowledge and skills needed for success in school and beyond, EBD/CS originally focused exclusively on real-life problems. In six-week summer institutes, teachers were </w:t>
      </w:r>
      <w:r w:rsidRPr="00107E4B">
        <w:rPr>
          <w:rStyle w:val="StyleUnderline"/>
        </w:rPr>
        <w:t>engaged in real world problems so that they could directly experience the power of this mode of learning.</w:t>
      </w:r>
      <w:r w:rsidRPr="00107E4B">
        <w:rPr>
          <w:sz w:val="14"/>
        </w:rPr>
        <w:t xml:space="preserve"> The response to this approach was consistent - participants found it to be among the most compelling learning experiences of their lives; they felt engaged, challenged, energized, and overwhelmed. It was this last factor that proved most problematic. How Realistic Is Real? Real-world problems, by their nature, are messy - involving uncertainty, complexity, and nuanced judgment.3 These characteristics tend to clash with the norms that are prevalent in most schools. Real world problems often don't mesh well with mandated curricula, </w:t>
      </w:r>
      <w:r w:rsidRPr="00107E4B">
        <w:rPr>
          <w:sz w:val="14"/>
        </w:rPr>
        <w:lastRenderedPageBreak/>
        <w:t xml:space="preserve">textbooks, standardized tests, state standards, and the seven period day. Teachers who actually tried using real-world problems with their students tended to be those renegades who thrive on change and risk-taking. A more typical response of institute participants was that, while they found the summer experience invigorating, they were daunted by the prospect of attempting to implement this approach in their class rooms. Where would they find resources? How would they assess student work? What would parents and administrators say? Finally, there was the omnipresent concern about "covering" the curriculum and ensuring students' exposure to the content at the heart of a teacher's subject area. For many teachers, real-life problems, despite their promise, seemed incompatible with classroom realities. Stepping Back to Step Forward As a program, we have stepped back from this solitary focus on real-world problems to consider what are the essential elements of "authentic" learning. What is it about real-life problems that make them powerful and engaging, and how can this be re-created in an environment, such as the classroom itself, that often has relatively loose ties to the "real world"? Here is what we have found. 1. </w:t>
      </w:r>
      <w:r w:rsidRPr="00107E4B">
        <w:rPr>
          <w:rStyle w:val="StyleUnderline"/>
        </w:rPr>
        <w:t>Authentic learning demands that students actively solve problems</w:t>
      </w:r>
      <w:r w:rsidRPr="00107E4B">
        <w:rPr>
          <w:sz w:val="14"/>
        </w:rPr>
        <w:t>. Life involves an ongoing series of problems to solve, decisions to make, concepts to understand, and products to produce. Whether it's a relatively simple matter of deciding what to eat for breakfast or a more complex one such as figuring out how to reduce pollution in one's community</w:t>
      </w:r>
      <w:r w:rsidRPr="00107E4B">
        <w:rPr>
          <w:rStyle w:val="StyleUnderline"/>
        </w:rPr>
        <w:t>, in life we make decisions and do things that have concrete results</w:t>
      </w:r>
      <w:r w:rsidRPr="00107E4B">
        <w:rPr>
          <w:sz w:val="14"/>
        </w:rPr>
        <w:t>. Very few of us do worksheets. 2. In authentic learning situations, people work together. There are not the artificial boundaries of what some call the "graveyard model of teaching" (everyone in rows and dead). Students move about, talk to one another, and are active both physically and mentally. They find resources to help solve problems - whether they be fellow students, books, or the Internet. The focus is not just on what you have stored inside your head but on what you can actually do to solve a problem using the resources around you. 3</w:t>
      </w:r>
      <w:r w:rsidRPr="00107E4B">
        <w:rPr>
          <w:rStyle w:val="StyleUnderline"/>
        </w:rPr>
        <w:t>. Authentic learning situations simultaneously involve one's knowledge, skills, and attitudes. In real-life situations, you use your organizational skills to manage resources to make decisions about how to solve problems using the knowledge you possess to produce a result that meets your internalized sense of quality. Knowledge, skills, and attitudes are developed in the context of actual work.</w:t>
      </w:r>
      <w:r w:rsidRPr="00107E4B">
        <w:rPr>
          <w:sz w:val="14"/>
        </w:rPr>
        <w:t xml:space="preserve"> 4. Authentic learning is driven by "essential knowledge" that is meaningful to students. Not every element of student work must be "real," but meaning for students entails seeing connections to the real world on some level. This relevance is best ensured by tying student work to the "big" questions, what Ernest Boyer called the "human commonalities."4 These questions get to the heart of our culture, history, and future as they relate to the human life cycle; our command of symbols; our understanding of the social web; our connection to science, technology, and the natural world; and the interdependence of community and the individual. Likewise, </w:t>
      </w:r>
      <w:r w:rsidRPr="00107E4B">
        <w:rPr>
          <w:rStyle w:val="StyleUnderline"/>
        </w:rPr>
        <w:t>attention to real-life skills, such as decision making and problem solving, can link students' work to real-life experience</w:t>
      </w:r>
      <w:r w:rsidRPr="00107E4B">
        <w:rPr>
          <w:sz w:val="14"/>
        </w:rPr>
        <w:t xml:space="preserve">. 5. In authentic learning environments, activities are connected. Knowledge, skills, and attitudes learned and employed in one context carry over to another. The curriculum looks less like a compilation of discrete building blocks and more like a continuous ascending spiral in which each experience builds on previous ones as students increase their understanding and improve their skills. 6. </w:t>
      </w:r>
      <w:r w:rsidRPr="00107E4B">
        <w:rPr>
          <w:rStyle w:val="StyleUnderline"/>
        </w:rPr>
        <w:t>In authentic learning situations, students publicly exhibit their learning, and there are often real-life standards of quality</w:t>
      </w:r>
      <w:r w:rsidRPr="00107E4B">
        <w:rPr>
          <w:sz w:val="14"/>
        </w:rPr>
        <w:t xml:space="preserve">. Authentic problems don't generate scores on a test. There is usually some authentic benchmark instead to which students are accountable. For example, if students make a proposal to the town council, the council responds and perhaps approves it. If students are making a product - such as a poster, play, or mural - there are models of excellence against which the product can be judged. </w:t>
      </w:r>
      <w:r w:rsidRPr="00107E4B">
        <w:rPr>
          <w:rStyle w:val="StyleUnderline"/>
        </w:rPr>
        <w:t>Exhibiting one's work publicly places it up against these real world standards of quality.</w:t>
      </w:r>
      <w:r w:rsidRPr="00107E4B">
        <w:rPr>
          <w:sz w:val="14"/>
        </w:rPr>
        <w:t xml:space="preserve"> </w:t>
      </w:r>
      <w:r w:rsidRPr="00107E4B">
        <w:rPr>
          <w:rStyle w:val="StyleUnderline"/>
        </w:rPr>
        <w:t>The purpose of listing these features of authentic learning experiences is to make clear that they are achievable in regular classroom settings</w:t>
      </w:r>
      <w:r w:rsidRPr="00107E4B">
        <w:rPr>
          <w:sz w:val="14"/>
        </w:rPr>
        <w:t xml:space="preserve">. </w:t>
      </w:r>
      <w:r w:rsidRPr="00107E4B">
        <w:rPr>
          <w:rStyle w:val="StyleUnderline"/>
        </w:rPr>
        <w:t>While it may be true that the most authentic context is the real world beyond the school-yard fence, there are reasonable approximations that can be created in the classroom to offer students the same level of engagement, meaning, and learning on a consistent basis</w:t>
      </w:r>
      <w:r w:rsidRPr="00107E4B">
        <w:rPr>
          <w:sz w:val="14"/>
        </w:rPr>
        <w:t xml:space="preserve">. Making Learning Authentic </w:t>
      </w:r>
      <w:r w:rsidRPr="00107E4B">
        <w:rPr>
          <w:rStyle w:val="StyleUnderline"/>
        </w:rPr>
        <w:t>The framework that guides the creation of authentic learning in all settings is the experiential learning cycle (ELC). This model offers an approach to make "smaller" learning activities more authentic and to make "messier" real-life problems more focused.</w:t>
      </w:r>
      <w:r w:rsidRPr="00107E4B">
        <w:rPr>
          <w:sz w:val="14"/>
        </w:rPr>
        <w:t xml:space="preserve"> At the heart of the ELC are what we call challenges or problems to solve, which are driven by desired outcomes - what we want students to know, do, and be like (knowledge, skills, and attitudes). To help make challenges accessible to teachers and students, we categorize them on three levels of generally increasing authenticity, complexity, uncertainty, and student self direction. 1. Academic challenges. </w:t>
      </w:r>
      <w:r w:rsidRPr="00107E4B">
        <w:rPr>
          <w:rStyle w:val="StyleUnderline"/>
        </w:rPr>
        <w:t>These activities provide an entry point into authentic, problem-based learning</w:t>
      </w:r>
      <w:r w:rsidRPr="00107E4B">
        <w:rPr>
          <w:sz w:val="14"/>
        </w:rPr>
        <w:t xml:space="preserve">. An academic challenge is student work structured as a problem arising directly from an area of study (see sidebar, part 1). It is used primarily to promote greater understanding of selected subject matter. The academic challenge is crafted by transforming existing curricular material into a problem format. Academic challenges tend to look fairly familiar to teachers and students accustomed to traditional educational environments. They serve as a useful access point for developing a capacity for actively con structing learning, working collaboratively, targeting specific outcomes, focusing on standards of quality, and grappling with essential questions. 2. Scenario challenges. </w:t>
      </w:r>
      <w:r w:rsidRPr="00107E4B">
        <w:rPr>
          <w:rStyle w:val="StyleUnderline"/>
        </w:rPr>
        <w:t>These challenges cast students in real-life roles and ask them to perform these roles in the context of a reality-based or fictional scenario</w:t>
      </w:r>
      <w:r w:rsidRPr="00107E4B">
        <w:rPr>
          <w:sz w:val="14"/>
        </w:rPr>
        <w:t xml:space="preserve"> (see sidebar, part 2). </w:t>
      </w:r>
      <w:r w:rsidRPr="00107E4B">
        <w:rPr>
          <w:rStyle w:val="StyleUnderline"/>
        </w:rPr>
        <w:t>The scenario challenge simulates many of the elements of the real world as a way of working with existing curricular material.</w:t>
      </w:r>
      <w:r w:rsidRPr="00107E4B">
        <w:rPr>
          <w:sz w:val="14"/>
        </w:rPr>
        <w:t xml:space="preserve"> </w:t>
      </w:r>
      <w:r w:rsidRPr="00107E4B">
        <w:rPr>
          <w:rStyle w:val="StyleUnderline"/>
        </w:rPr>
        <w:t>Students begin to see themselves in real-life roles as they develop the knowledge and skills needed for success in school and beyond</w:t>
      </w:r>
      <w:r w:rsidRPr="00107E4B">
        <w:rPr>
          <w:sz w:val="14"/>
        </w:rPr>
        <w:t xml:space="preserve">. 3. </w:t>
      </w:r>
      <w:r w:rsidRPr="00107E4B">
        <w:rPr>
          <w:rStyle w:val="StyleUnderline"/>
        </w:rPr>
        <w:t xml:space="preserve">Real-life problems. These are actual problems in </w:t>
      </w:r>
      <w:r w:rsidRPr="00107E4B">
        <w:rPr>
          <w:rStyle w:val="StyleUnderline"/>
        </w:rPr>
        <w:lastRenderedPageBreak/>
        <w:t>need of real solutions by real people or organizations</w:t>
      </w:r>
      <w:r w:rsidRPr="00107E4B">
        <w:rPr>
          <w:sz w:val="14"/>
        </w:rPr>
        <w:t xml:space="preserve"> (see sidebar, part 3</w:t>
      </w:r>
      <w:r w:rsidRPr="00107E4B">
        <w:rPr>
          <w:rStyle w:val="StyleUnderline"/>
        </w:rPr>
        <w:t>). They involve students directly and deeply in the exploration of an area of study. And the solutions have the potential for actual implementation at the class room, school, community, regional, nation al, or global level. Through real-life problems, students move outside the classroom, take action on issues, and have a tangible impact in their communities</w:t>
      </w:r>
      <w:r w:rsidRPr="00107E4B">
        <w:rPr>
          <w:sz w:val="14"/>
        </w:rPr>
        <w:t xml:space="preserve">. These assignments can be powerful learning experiences, but pulling off more than one or two of them a year seems to be beyond the resources (energy, time, and money) of most teachers and schools. </w:t>
      </w:r>
      <w:r w:rsidRPr="00107E4B">
        <w:rPr>
          <w:rStyle w:val="StyleUnderline"/>
        </w:rPr>
        <w:t xml:space="preserve">Moreover, for students to succeed with real-life problems, it helps if they have experience working in collaborative problem-solving teams. </w:t>
      </w:r>
      <w:r w:rsidRPr="00107E4B">
        <w:rPr>
          <w:sz w:val="14"/>
        </w:rPr>
        <w:t xml:space="preserve">The skills and attitudes of collaborative problem solving are best developed through coordinated work on problems of increasing complexity and uncertalnty (such as academic and scenario challenges). The ELC includes both student and teacher dimensions. The student phases of the cycle are engagement, exhibition, and reflection. </w:t>
      </w:r>
      <w:r w:rsidRPr="00107E4B">
        <w:rPr>
          <w:rStyle w:val="StyleUnderline"/>
        </w:rPr>
        <w:t>First, students are engaged in a problem that has been crafted by the teacher to target specific knowledge, skills, and attitudes. This challenge, as do many real-life problems, usually requires some concrete product as evidence of student learning. During the engagement phase, students and teachers spend time articulating standards, based on real-world models, for the quality of the product</w:t>
      </w:r>
      <w:r w:rsidRPr="00107E4B">
        <w:rPr>
          <w:sz w:val="14"/>
        </w:rPr>
        <w:t xml:space="preserve">. In the course of engagement, and in the exhibition of this product, students demonstrate their learning. After completion and exhibition of their products, the students are not "done" with their learning. Students participate in the reflection phase, in which they examine their work and reflect on what they have learned (reinforcing and constructing knowledge and considering their personal and interpersonal behaviors). Students may then join the teacher in assessment of their work based on their pre-established standards of quality. The teacher-led phases of the cycle are design, coaching, and feedback. Once the students have begun work on the problem that has been carefully designed by the teacher to target specific knowledge, skills, and attitudes, the teacher assumes the role of coach. As coach, he or she helps students to develop their skills and knowledge, shape their strategies, and find ap propriate resources. Like a coach, however, the teacher remains on the sidelines at times, allowing students to own their successes and failures. Here, the students are truly the workers, and the quality of their work reflects their efforts. </w:t>
      </w:r>
      <w:r w:rsidRPr="00107E4B">
        <w:rPr>
          <w:rStyle w:val="StyleUnderline"/>
        </w:rPr>
        <w:t>In the feedback phase, teachers create structures with in which students can reflect on and assess their products, processes, and level of understanding.</w:t>
      </w:r>
      <w:r w:rsidRPr="00107E4B">
        <w:rPr>
          <w:sz w:val="14"/>
        </w:rPr>
        <w:t xml:space="preserve"> Finally, this learning experience is connected to subsequent experiences as students move into the housekeeping phase, in which they consider what they learned and what they need in order to proceed. They articulate what they might do better next time and address skills and knowledge they need to develop further as they move on to other challenges. Notably, they also give consideration to the status and needs of their learning community. </w:t>
      </w:r>
      <w:r w:rsidRPr="00107E4B">
        <w:rPr>
          <w:rStyle w:val="StyleUnderline"/>
        </w:rPr>
        <w:t>They address issues that arose during their work and develop strategies for future work to improve the learning of their community.</w:t>
      </w:r>
      <w:r w:rsidRPr="00107E4B">
        <w:rPr>
          <w:sz w:val="14"/>
        </w:rPr>
        <w:t xml:space="preserve"> In short, the classroom is structured so that students are given a meaningful con text for interdependent work throughout the learning cycle. Purposes and processes are made explicit, and students understand what they are doing, why they are doing it, and how it relates to work in school and outside. Experiences are organized to build on one another, so that, as we do in the real world, students can learn from their successes and failures and carry these les sons with them to their future work. Most important, the work of the classroom consistently demands that students authentically exhibit their knowledge, skills, and attitudes throughout the learning cycle instead of only during a scheduled performance. Bridging School And the Real World Authentic learning is a laudable goal that should be promoted and pursued vigorously. Students not only should see their work in school related to the real world but must see it that way, if they are to be able to apply their learning in real-life con texts. As we pursue this goal, however, our experience warns us to remain grounded in the realities of teachers' and students' school lives. Working with real-life problems is a sophisticated process that demands refined skills and a tolerance for ambiguity and complexity. While only some teachers and students have an innate capacity for such undertakings, almost all teachers and students can develop such capacity. Designing challenges to develop the understandings, skills, and beliefs necessary to be successful with real-life problems involves a commitment to authentic learning experiences of increasing sophistication. The experiential learning cycle and the combination of academic, scenario, and real-life challenges provides a blueprint to connect the vision of real-world learning to the realization of authentic student results. </w:t>
      </w:r>
    </w:p>
    <w:p w14:paraId="32D62825" w14:textId="77777777" w:rsidR="007E3D3F" w:rsidRPr="00107E4B" w:rsidRDefault="007E3D3F" w:rsidP="007E3D3F">
      <w:pPr>
        <w:pStyle w:val="Heading3"/>
      </w:pPr>
      <w:r w:rsidRPr="00107E4B">
        <w:lastRenderedPageBreak/>
        <w:t xml:space="preserve">Storytelling Good </w:t>
      </w:r>
    </w:p>
    <w:p w14:paraId="5CCED899" w14:textId="77777777" w:rsidR="007E3D3F" w:rsidRPr="00107E4B" w:rsidRDefault="007E3D3F" w:rsidP="007E3D3F">
      <w:pPr>
        <w:spacing w:before="240" w:after="40" w:line="240" w:lineRule="auto"/>
        <w:outlineLvl w:val="3"/>
        <w:rPr>
          <w:rFonts w:ascii="Times New Roman" w:eastAsia="Times New Roman" w:hAnsi="Times New Roman" w:cs="Times New Roman"/>
          <w:b/>
          <w:bCs/>
          <w:sz w:val="24"/>
        </w:rPr>
      </w:pPr>
      <w:r w:rsidRPr="00107E4B">
        <w:rPr>
          <w:rFonts w:ascii="Arial" w:eastAsia="Times New Roman" w:hAnsi="Arial" w:cs="Arial"/>
          <w:b/>
          <w:bCs/>
          <w:color w:val="000000"/>
          <w:shd w:val="clear" w:color="auto" w:fill="FFFFFF"/>
        </w:rPr>
        <w:t>performances of counterstory telling are key to distancing ourselves from the objective violence that normative debate has instilled in the debate space.</w:t>
      </w:r>
    </w:p>
    <w:p w14:paraId="06585887" w14:textId="77777777" w:rsidR="007E3D3F" w:rsidRPr="00107E4B" w:rsidRDefault="007E3D3F" w:rsidP="007E3D3F">
      <w:pPr>
        <w:spacing w:before="240" w:after="40" w:line="240" w:lineRule="auto"/>
        <w:outlineLvl w:val="3"/>
        <w:rPr>
          <w:rFonts w:ascii="Times New Roman" w:eastAsia="Times New Roman" w:hAnsi="Times New Roman" w:cs="Times New Roman"/>
          <w:b/>
          <w:bCs/>
          <w:sz w:val="24"/>
        </w:rPr>
      </w:pPr>
      <w:r w:rsidRPr="00107E4B">
        <w:rPr>
          <w:rFonts w:ascii="Arial" w:eastAsia="Times New Roman" w:hAnsi="Arial" w:cs="Arial"/>
          <w:b/>
          <w:bCs/>
          <w:color w:val="000000"/>
          <w:shd w:val="clear" w:color="auto" w:fill="FFFFFF"/>
        </w:rPr>
        <w:t xml:space="preserve">Delgado 89, </w:t>
      </w:r>
      <w:r w:rsidRPr="00107E4B">
        <w:rPr>
          <w:rFonts w:ascii="Arial" w:eastAsia="Times New Roman" w:hAnsi="Arial" w:cs="Arial"/>
          <w:color w:val="000000"/>
          <w:sz w:val="18"/>
          <w:szCs w:val="18"/>
          <w:shd w:val="clear" w:color="auto" w:fill="FFFFFF"/>
        </w:rPr>
        <w:t>Richard Delgado, Storytelling for Oppositionists and Others: A Plea for Narrative, 87 MICH. L. REV. 2411 (1989) [hereinafter Oppositionists]; Pierre Schlag, Normative and Nowhere To Go, 43 STAN. L. REV. 167 (1990); EC</w:t>
      </w:r>
    </w:p>
    <w:p w14:paraId="0648D896" w14:textId="77777777" w:rsidR="007E3D3F" w:rsidRPr="00107E4B" w:rsidRDefault="007E3D3F" w:rsidP="007E3D3F">
      <w:pPr>
        <w:spacing w:before="240" w:after="40" w:line="240" w:lineRule="auto"/>
        <w:outlineLvl w:val="3"/>
        <w:rPr>
          <w:rFonts w:ascii="Times New Roman" w:eastAsia="Times New Roman" w:hAnsi="Times New Roman" w:cs="Times New Roman"/>
          <w:b/>
          <w:bCs/>
          <w:sz w:val="24"/>
        </w:rPr>
      </w:pPr>
      <w:r w:rsidRPr="008A0538">
        <w:rPr>
          <w:rStyle w:val="StyleUnderline"/>
        </w:rPr>
        <w:t>Underlying these stylized debates about subjective versus objective standards is a well-hidden issue of cultural powe</w:t>
      </w:r>
      <w:r w:rsidRPr="008A0538">
        <w:rPr>
          <w:rStyle w:val="Emphasis"/>
        </w:rPr>
        <w:t>r,</w:t>
      </w:r>
      <w:r w:rsidRPr="00107E4B">
        <w:rPr>
          <w:rFonts w:ascii="Arial" w:eastAsia="Times New Roman" w:hAnsi="Arial" w:cs="Arial"/>
          <w:b/>
          <w:bCs/>
          <w:color w:val="000000"/>
          <w:u w:val="single"/>
          <w:shd w:val="clear" w:color="auto" w:fill="FFFFFF"/>
        </w:rPr>
        <w:t xml:space="preserve"> one neatly concealed by elaborate arguments that predictably invoke predictable "principle."</w:t>
      </w:r>
      <w:r w:rsidRPr="00107E4B">
        <w:rPr>
          <w:rFonts w:ascii="Arial" w:eastAsia="Times New Roman" w:hAnsi="Arial" w:cs="Arial"/>
          <w:b/>
          <w:bCs/>
          <w:color w:val="000000"/>
          <w:sz w:val="16"/>
          <w:szCs w:val="16"/>
          <w:shd w:val="clear" w:color="auto" w:fill="FFFFFF"/>
        </w:rPr>
        <w:t xml:space="preserve">2 5 These arguments invite us to take sides for or against abstract values that lie on either side of a well-worn analytical divide, having remarkably little to do with what is at stake. </w:t>
      </w:r>
      <w:r w:rsidRPr="008A0538">
        <w:rPr>
          <w:rStyle w:val="Emphasis"/>
        </w:rPr>
        <w:t>The arguments mystify and sidetrack, rendering us helpless in the face of powerful repeat players like corporations, human experimenters,</w:t>
      </w:r>
      <w:r w:rsidRPr="00107E4B">
        <w:rPr>
          <w:rFonts w:ascii="Arial" w:eastAsia="Times New Roman" w:hAnsi="Arial" w:cs="Arial"/>
          <w:b/>
          <w:bCs/>
          <w:color w:val="000000"/>
          <w:u w:val="single"/>
          <w:shd w:val="clear" w:color="auto" w:fill="FFFFFF"/>
        </w:rPr>
        <w:t xml:space="preserve"> actiort-loving surgeons, and sexually aggressive men.</w:t>
      </w:r>
      <w:r w:rsidRPr="00107E4B">
        <w:rPr>
          <w:rFonts w:ascii="Arial" w:eastAsia="Times New Roman" w:hAnsi="Arial" w:cs="Arial"/>
          <w:b/>
          <w:bCs/>
          <w:color w:val="000000"/>
          <w:sz w:val="16"/>
          <w:szCs w:val="16"/>
          <w:shd w:val="clear" w:color="auto" w:fill="FFFFFF"/>
        </w:rPr>
        <w:t xml:space="preserve">26 How does this happen? </w:t>
      </w:r>
      <w:r w:rsidRPr="00107E4B">
        <w:rPr>
          <w:rFonts w:ascii="Arial" w:eastAsia="Times New Roman" w:hAnsi="Arial" w:cs="Arial"/>
          <w:b/>
          <w:bCs/>
          <w:color w:val="000000"/>
          <w:u w:val="single"/>
          <w:shd w:val="clear" w:color="auto" w:fill="FFFFFF"/>
        </w:rPr>
        <w:t>Notice that in many cases it is the stronger party-the tobacco company, surgeon, or male date-that wants to apply an objective standard to a key event.2 7 The doctor wants the law to require disclosure only of the risks and benefits the average patient would find material.28 The male partygoer wants the law to ignore the woman's subjective thoughts in favor of her outward manifestations</w:t>
      </w:r>
      <w:r w:rsidRPr="00107E4B">
        <w:rPr>
          <w:rFonts w:ascii="Arial" w:eastAsia="Times New Roman" w:hAnsi="Arial" w:cs="Arial"/>
          <w:b/>
          <w:bCs/>
          <w:color w:val="000000"/>
          <w:sz w:val="16"/>
          <w:szCs w:val="16"/>
          <w:shd w:val="clear" w:color="auto" w:fill="FFFFFF"/>
        </w:rPr>
        <w:t xml:space="preserve">.2 9 The tobacco company wants the warning on the package to be a stopper. Generally, the law complies. What explains the stronger party's preference for an objective approach, and the other's demand for a more personalized one? It is not that one approach is more principled, more just, or even more likely to produce a certain result than the other. Rather, in my opinion, </w:t>
      </w:r>
      <w:r w:rsidRPr="008A0538">
        <w:rPr>
          <w:rStyle w:val="Emphasis"/>
        </w:rPr>
        <w:t>the answer lies in issues of power and culture. It is now almost a commonplace that we construct the social world.30 We do this through stories, narratives, myths, and symbols-by using tools that create images, categories, and pictures.3 1 Over time, through repetition, the dominant stories seem to become true and natural, and are accepted as "the way things are."32 Recently, outsider jurisprudence33 has been developing means, principally "counterstorytelling," to displace or overturn these comfortable majoritarian myths and narratives.</w:t>
      </w:r>
      <w:r w:rsidRPr="00107E4B">
        <w:rPr>
          <w:rFonts w:ascii="Arial" w:eastAsia="Times New Roman" w:hAnsi="Arial" w:cs="Arial"/>
          <w:b/>
          <w:bCs/>
          <w:color w:val="000000"/>
          <w:sz w:val="16"/>
          <w:szCs w:val="16"/>
          <w:shd w:val="clear" w:color="auto" w:fill="FFFFFF"/>
        </w:rPr>
        <w:t xml:space="preserve">3 4 A well-told counterstory can jar or displace the dominant account.35 </w:t>
      </w:r>
      <w:r w:rsidRPr="00107E4B">
        <w:rPr>
          <w:rFonts w:ascii="Arial" w:eastAsia="Times New Roman" w:hAnsi="Arial" w:cs="Arial"/>
          <w:b/>
          <w:bCs/>
          <w:color w:val="000000"/>
          <w:u w:val="single"/>
          <w:shd w:val="clear" w:color="auto" w:fill="FFFFFF"/>
        </w:rPr>
        <w:t>The debate on objective and subjective standards touches on these issues of world-making and the social construction of reality</w:t>
      </w:r>
      <w:r w:rsidRPr="00107E4B">
        <w:rPr>
          <w:rFonts w:ascii="Arial" w:eastAsia="Times New Roman" w:hAnsi="Arial" w:cs="Arial"/>
          <w:b/>
          <w:bCs/>
          <w:color w:val="000000"/>
          <w:sz w:val="16"/>
          <w:szCs w:val="16"/>
          <w:shd w:val="clear" w:color="auto" w:fill="FFFFFF"/>
        </w:rPr>
        <w:t>. Powerful actors, such as tobacco companies and male dates, want objective standards applied to them simply because these standards always, and already, reflect them and their culture. These actors have been in power; their subjectivity long ago was deemed "objective" and imposed on the world.3 6 Now their ideas about meaning, action, and fairness are built into our culture, into our view of malefemale, doctor-patient, and manufacturer-consumer relations.</w:t>
      </w:r>
    </w:p>
    <w:p w14:paraId="33A9A60B" w14:textId="77777777" w:rsidR="007E3D3F" w:rsidRPr="00107E4B" w:rsidRDefault="007E3D3F" w:rsidP="007E3D3F">
      <w:pPr>
        <w:pStyle w:val="Heading3"/>
      </w:pPr>
      <w:r w:rsidRPr="00107E4B">
        <w:lastRenderedPageBreak/>
        <w:t xml:space="preserve">Art Good </w:t>
      </w:r>
    </w:p>
    <w:p w14:paraId="0E53CCA4" w14:textId="77777777" w:rsidR="007E3D3F" w:rsidRPr="00107E4B" w:rsidRDefault="007E3D3F" w:rsidP="007E3D3F">
      <w:pPr>
        <w:pStyle w:val="Heading4"/>
        <w:rPr>
          <w:rFonts w:eastAsia="Times New Roman" w:cs="Times New Roman"/>
          <w:lang w:bidi="mr-IN"/>
        </w:rPr>
      </w:pPr>
      <w:r w:rsidRPr="00107E4B">
        <w:rPr>
          <w:rFonts w:eastAsia="Times New Roman"/>
          <w:lang w:bidi="mr-IN"/>
        </w:rPr>
        <w:t>Cultural expressions of art through performances are viewed as a way to further localize and accentuate better resistance from a social group.</w:t>
      </w:r>
    </w:p>
    <w:p w14:paraId="3FDE5E7C" w14:textId="77777777" w:rsidR="007E3D3F" w:rsidRPr="00107E4B" w:rsidRDefault="007E3D3F" w:rsidP="007E3D3F">
      <w:pPr>
        <w:spacing w:line="240" w:lineRule="auto"/>
        <w:rPr>
          <w:rFonts w:eastAsia="Times New Roman" w:cs="Times New Roman"/>
          <w:lang w:bidi="mr-IN"/>
        </w:rPr>
      </w:pPr>
      <w:r w:rsidRPr="00107E4B">
        <w:rPr>
          <w:rStyle w:val="Style13ptBold"/>
        </w:rPr>
        <w:t>Hughes and Déa 12</w:t>
      </w:r>
      <w:r w:rsidRPr="00107E4B">
        <w:rPr>
          <w:rFonts w:eastAsia="Times New Roman"/>
          <w:color w:val="000000"/>
          <w:sz w:val="16"/>
          <w:szCs w:val="16"/>
          <w:lang w:bidi="mr-IN"/>
        </w:rPr>
        <w:t xml:space="preserve"> (Jennifer Scheper Hughes and Ariane Dalla Déa, “Authenticity and Resistance: Latin American Art, Activism, and Performance in the New Global Context)</w:t>
      </w:r>
    </w:p>
    <w:p w14:paraId="50DB89A5" w14:textId="77777777" w:rsidR="007E3D3F" w:rsidRPr="00107E4B" w:rsidRDefault="007E3D3F" w:rsidP="007E3D3F">
      <w:pPr>
        <w:spacing w:line="240" w:lineRule="auto"/>
        <w:rPr>
          <w:rFonts w:eastAsia="Times New Roman" w:cs="Times New Roman"/>
          <w:lang w:bidi="mr-IN"/>
        </w:rPr>
      </w:pPr>
      <w:r w:rsidRPr="00107E4B">
        <w:rPr>
          <w:rFonts w:eastAsia="Times New Roman"/>
          <w:b/>
          <w:bCs/>
          <w:color w:val="000000"/>
          <w:u w:val="single"/>
          <w:lang w:bidi="mr-IN"/>
        </w:rPr>
        <w:t>Social movements employing art and performance as a means of political expression and critique</w:t>
      </w:r>
      <w:r w:rsidRPr="00107E4B">
        <w:rPr>
          <w:rFonts w:eastAsia="Times New Roman"/>
          <w:color w:val="000000"/>
          <w:sz w:val="16"/>
          <w:szCs w:val="16"/>
          <w:lang w:bidi="mr-IN"/>
        </w:rPr>
        <w:t xml:space="preserve"> still d</w:t>
      </w:r>
      <w:r w:rsidRPr="00107E4B">
        <w:rPr>
          <w:rFonts w:eastAsia="Times New Roman"/>
          <w:color w:val="000000"/>
          <w:u w:val="single"/>
          <w:lang w:bidi="mr-IN"/>
        </w:rPr>
        <w:t xml:space="preserve">raw on locally meaningful </w:t>
      </w:r>
      <w:r w:rsidRPr="00107E4B">
        <w:rPr>
          <w:rFonts w:eastAsia="Times New Roman"/>
          <w:color w:val="000000"/>
          <w:sz w:val="16"/>
          <w:szCs w:val="16"/>
          <w:lang w:bidi="mr-IN"/>
        </w:rPr>
        <w:t xml:space="preserve">("traditional") </w:t>
      </w:r>
      <w:r w:rsidRPr="00107E4B">
        <w:rPr>
          <w:rFonts w:eastAsia="Times New Roman"/>
          <w:color w:val="000000"/>
          <w:u w:val="single"/>
          <w:lang w:bidi="mr-IN"/>
        </w:rPr>
        <w:t>cultural techniques, imagery and materials</w:t>
      </w:r>
      <w:r w:rsidRPr="00107E4B">
        <w:rPr>
          <w:rFonts w:eastAsia="Times New Roman"/>
          <w:color w:val="000000"/>
          <w:sz w:val="16"/>
          <w:szCs w:val="16"/>
          <w:lang w:bidi="mr-IN"/>
        </w:rPr>
        <w:t xml:space="preserve">, but they also adopt and appropriate artistic forms that circulate in the global market, </w:t>
      </w:r>
      <w:r w:rsidRPr="00107E4B">
        <w:rPr>
          <w:rFonts w:eastAsia="Times New Roman"/>
          <w:b/>
          <w:bCs/>
          <w:color w:val="000000"/>
          <w:u w:val="single"/>
          <w:lang w:bidi="mr-IN"/>
        </w:rPr>
        <w:t>retooling these as effective modes of artistic expression and political discourse and resistance</w:t>
      </w:r>
      <w:r w:rsidRPr="00107E4B">
        <w:rPr>
          <w:rFonts w:eastAsia="Times New Roman"/>
          <w:color w:val="000000"/>
          <w:sz w:val="16"/>
          <w:szCs w:val="16"/>
          <w:lang w:bidi="mr-IN"/>
        </w:rPr>
        <w:t xml:space="preserve">. Patricia Zavella brings the conversation to Latinos in the United States in "Beyond the Screams: Latino Punkeros Contest Nativist Discourses," examining the Latino punk scene as a space for fostering critical political discourses in immigrant communities. In particular, she focuses on </w:t>
      </w:r>
      <w:r w:rsidRPr="00107E4B">
        <w:rPr>
          <w:rFonts w:eastAsia="Times New Roman"/>
          <w:b/>
          <w:bCs/>
          <w:color w:val="000000"/>
          <w:u w:val="single"/>
          <w:lang w:bidi="mr-IN"/>
        </w:rPr>
        <w:t xml:space="preserve">the band Los Crudos, demonstrating how through lyrics and concerts they occupied a space of resistance against anti-immigrant sentiment, creating for themselves a cultural citizenship claimed the right to perform and participate regardless of legal status while also creating opportunities for coalition building and solidarity across languages and ethnicities. </w:t>
      </w:r>
      <w:r w:rsidRPr="00107E4B">
        <w:rPr>
          <w:rFonts w:eastAsia="Times New Roman"/>
          <w:color w:val="000000"/>
          <w:sz w:val="16"/>
          <w:szCs w:val="16"/>
          <w:lang w:bidi="mr-IN"/>
        </w:rPr>
        <w:t xml:space="preserve">Similarly, Tanya Saunder’s “Black Thoughts, Black Activism: Cuban Underground Hip-hop and Afro-Latino Countercultures of Modernity” argues that artistic actors intestinally appeal to an authentic and decommodified expression of hip-hop. She sees </w:t>
      </w:r>
      <w:r w:rsidRPr="00107E4B">
        <w:rPr>
          <w:rFonts w:eastAsia="Times New Roman"/>
          <w:color w:val="000000"/>
          <w:u w:val="single"/>
          <w:lang w:bidi="mr-IN"/>
        </w:rPr>
        <w:t>hip-hop in Cuba</w:t>
      </w:r>
      <w:r w:rsidRPr="00107E4B">
        <w:rPr>
          <w:rFonts w:eastAsia="Times New Roman"/>
          <w:color w:val="000000"/>
          <w:sz w:val="16"/>
          <w:szCs w:val="16"/>
          <w:lang w:bidi="mr-IN"/>
        </w:rPr>
        <w:t xml:space="preserve"> as a prime example of the appropriation, replication, and reconfiguration of globalized art to express local histories. Furthermore, she argues that the artists in her study consciously choose hip-hop at </w:t>
      </w:r>
      <w:r w:rsidRPr="00107E4B">
        <w:rPr>
          <w:rFonts w:eastAsia="Times New Roman"/>
          <w:color w:val="000000"/>
          <w:u w:val="single"/>
          <w:lang w:bidi="mr-IN"/>
        </w:rPr>
        <w:t>the primary medium for the social critique</w:t>
      </w:r>
      <w:r w:rsidRPr="00107E4B">
        <w:rPr>
          <w:rFonts w:eastAsia="Times New Roman"/>
          <w:color w:val="000000"/>
          <w:sz w:val="16"/>
          <w:szCs w:val="16"/>
          <w:lang w:bidi="mr-IN"/>
        </w:rPr>
        <w:t xml:space="preserve">. With state support, Cuban </w:t>
      </w:r>
      <w:r w:rsidRPr="00107E4B">
        <w:rPr>
          <w:rFonts w:eastAsia="Times New Roman"/>
          <w:b/>
          <w:bCs/>
          <w:color w:val="000000"/>
          <w:u w:val="single"/>
          <w:lang w:bidi="mr-IN"/>
        </w:rPr>
        <w:t>hip-hop has emerged as a powerful “utopian social movement” while simultaneously preserving enough independence from the state to critically engage state-sponsored race discourses.</w:t>
      </w:r>
    </w:p>
    <w:p w14:paraId="113C6D8A" w14:textId="77777777" w:rsidR="007E3D3F" w:rsidRPr="00107E4B" w:rsidRDefault="007E3D3F" w:rsidP="007E3D3F">
      <w:pPr>
        <w:pStyle w:val="Heading2"/>
      </w:pPr>
      <w:r w:rsidRPr="00107E4B">
        <w:lastRenderedPageBreak/>
        <w:t xml:space="preserve">Activist Edu Good </w:t>
      </w:r>
    </w:p>
    <w:p w14:paraId="5642FE81" w14:textId="77777777" w:rsidR="007E3D3F" w:rsidRPr="00107E4B" w:rsidRDefault="007E3D3F" w:rsidP="007E3D3F">
      <w:pPr>
        <w:spacing w:before="240" w:after="40" w:line="240" w:lineRule="auto"/>
        <w:outlineLvl w:val="3"/>
        <w:rPr>
          <w:rFonts w:ascii="Times New Roman" w:eastAsia="Times New Roman" w:hAnsi="Times New Roman" w:cs="Times New Roman"/>
          <w:b/>
          <w:bCs/>
          <w:sz w:val="24"/>
        </w:rPr>
      </w:pPr>
      <w:r w:rsidRPr="00107E4B">
        <w:rPr>
          <w:rFonts w:ascii="Arial" w:eastAsia="Times New Roman" w:hAnsi="Arial" w:cs="Arial"/>
          <w:b/>
          <w:bCs/>
          <w:color w:val="000000"/>
        </w:rPr>
        <w:t>Debate is a key space for us to engage in discourse through its accessibility to teach us how to engage in social and political actions.</w:t>
      </w:r>
    </w:p>
    <w:p w14:paraId="632A7D9E" w14:textId="77777777" w:rsidR="007E3D3F" w:rsidRPr="00107E4B" w:rsidRDefault="007E3D3F" w:rsidP="007E3D3F">
      <w:pPr>
        <w:spacing w:after="0" w:line="240" w:lineRule="auto"/>
        <w:rPr>
          <w:rFonts w:ascii="Times New Roman" w:eastAsia="Times New Roman" w:hAnsi="Times New Roman" w:cs="Times New Roman"/>
          <w:sz w:val="24"/>
        </w:rPr>
      </w:pPr>
      <w:r w:rsidRPr="00107E4B">
        <w:rPr>
          <w:rFonts w:ascii="Arial" w:eastAsia="Times New Roman" w:hAnsi="Arial" w:cs="Arial"/>
          <w:color w:val="000000"/>
        </w:rPr>
        <w:t xml:space="preserve">An Inward Glance: A Response To Mitchell's Outward Activist Turn," </w:t>
      </w:r>
      <w:hyperlink r:id="rId9" w:history="1">
        <w:r w:rsidRPr="00107E4B">
          <w:rPr>
            <w:rFonts w:ascii="Arial" w:eastAsia="Times New Roman" w:hAnsi="Arial" w:cs="Arial"/>
            <w:color w:val="000000"/>
            <w:u w:val="single"/>
          </w:rPr>
          <w:t>http://www.wfu.edu/Student-organizations/debate/MiscSites/DRGArticles/Coverstone1995China.htm   EC</w:t>
        </w:r>
      </w:hyperlink>
    </w:p>
    <w:p w14:paraId="7021FFAC" w14:textId="77777777" w:rsidR="007E3D3F" w:rsidRPr="00107E4B" w:rsidRDefault="007E3D3F" w:rsidP="007E3D3F">
      <w:pPr>
        <w:spacing w:after="0" w:line="240" w:lineRule="auto"/>
        <w:rPr>
          <w:rFonts w:ascii="Times New Roman" w:eastAsia="Times New Roman" w:hAnsi="Times New Roman" w:cs="Times New Roman"/>
          <w:sz w:val="24"/>
        </w:rPr>
      </w:pPr>
    </w:p>
    <w:p w14:paraId="635A4B30" w14:textId="77777777" w:rsidR="007E3D3F" w:rsidRPr="00403C0A" w:rsidRDefault="007E3D3F" w:rsidP="007E3D3F">
      <w:pPr>
        <w:spacing w:after="0" w:line="240" w:lineRule="auto"/>
        <w:rPr>
          <w:rStyle w:val="Emphasis"/>
        </w:rPr>
      </w:pPr>
      <w:r w:rsidRPr="00107E4B">
        <w:rPr>
          <w:rFonts w:ascii="Arial" w:eastAsia="Times New Roman" w:hAnsi="Arial" w:cs="Arial"/>
          <w:color w:val="000000"/>
          <w:sz w:val="16"/>
          <w:szCs w:val="16"/>
        </w:rPr>
        <w:t xml:space="preserve">Mitchell's argument underestimates the nature of academic debate in three ways. </w:t>
      </w:r>
      <w:r w:rsidRPr="00107E4B">
        <w:rPr>
          <w:rFonts w:ascii="Arial" w:eastAsia="Times New Roman" w:hAnsi="Arial" w:cs="Arial"/>
          <w:color w:val="000000"/>
          <w:u w:val="single"/>
        </w:rPr>
        <w:t xml:space="preserve">First, </w:t>
      </w:r>
      <w:r w:rsidRPr="00403C0A">
        <w:rPr>
          <w:rStyle w:val="Emphasis"/>
        </w:rPr>
        <w:t>debate trains students in the very skills required for navigation in the public sphere of the information age.</w:t>
      </w:r>
      <w:r w:rsidRPr="00107E4B">
        <w:rPr>
          <w:rFonts w:ascii="Arial" w:eastAsia="Times New Roman" w:hAnsi="Arial" w:cs="Arial"/>
          <w:color w:val="000000"/>
          <w:sz w:val="16"/>
          <w:szCs w:val="16"/>
        </w:rPr>
        <w:t xml:space="preserve"> </w:t>
      </w:r>
      <w:r w:rsidRPr="00107E4B">
        <w:rPr>
          <w:rFonts w:ascii="Arial" w:eastAsia="Times New Roman" w:hAnsi="Arial" w:cs="Arial"/>
          <w:color w:val="000000"/>
          <w:u w:val="single"/>
        </w:rPr>
        <w:t>In the past, political discourse was controlled by those elements who controlled access to information.</w:t>
      </w:r>
      <w:r w:rsidRPr="00107E4B">
        <w:rPr>
          <w:rFonts w:ascii="Arial" w:eastAsia="Times New Roman" w:hAnsi="Arial" w:cs="Arial"/>
          <w:color w:val="000000"/>
          <w:sz w:val="16"/>
          <w:szCs w:val="16"/>
        </w:rPr>
        <w:t xml:space="preserve"> While this basic reality will continue in the future, its essential features will change</w:t>
      </w:r>
      <w:r w:rsidRPr="00107E4B">
        <w:rPr>
          <w:rFonts w:ascii="Arial" w:eastAsia="Times New Roman" w:hAnsi="Arial" w:cs="Arial"/>
          <w:color w:val="000000"/>
          <w:u w:val="single"/>
        </w:rPr>
        <w:t xml:space="preserve">. </w:t>
      </w:r>
      <w:r w:rsidRPr="00403C0A">
        <w:rPr>
          <w:rStyle w:val="Emphasis"/>
        </w:rPr>
        <w:t>No longer will mere possession of information determine control of political life</w:t>
      </w:r>
      <w:r w:rsidRPr="00107E4B">
        <w:rPr>
          <w:rFonts w:ascii="Arial" w:eastAsia="Times New Roman" w:hAnsi="Arial" w:cs="Arial"/>
          <w:color w:val="000000"/>
          <w:u w:val="single"/>
        </w:rPr>
        <w:t>.</w:t>
      </w:r>
      <w:r w:rsidRPr="00107E4B">
        <w:rPr>
          <w:rFonts w:ascii="Arial" w:eastAsia="Times New Roman" w:hAnsi="Arial" w:cs="Arial"/>
          <w:color w:val="000000"/>
          <w:sz w:val="16"/>
          <w:szCs w:val="16"/>
        </w:rPr>
        <w:t xml:space="preserve"> Information is widely available. For the first time in human history we face the prospect of an entirely new threat. The risk of an information overload is already shifting control of political discourse to superior information managers. It is no longer possible to control political discourse by limiting access to information. Instead, control belongs to those who are capable of identifying and delivering bits of information to a thirsty public. Mitchell calls this the "desertification of the public sphere." </w:t>
      </w:r>
      <w:r w:rsidRPr="00107E4B">
        <w:rPr>
          <w:rFonts w:ascii="Arial" w:eastAsia="Times New Roman" w:hAnsi="Arial" w:cs="Arial"/>
          <w:color w:val="000000"/>
          <w:u w:val="single"/>
        </w:rPr>
        <w:t xml:space="preserve">The public senses a deep desire for the ability to manage the information around them. Yet, they are unsure how to process and make sense of it all. In this environment, snake charmers and charlatans abound. </w:t>
      </w:r>
      <w:r w:rsidRPr="00107E4B">
        <w:rPr>
          <w:rFonts w:ascii="Arial" w:eastAsia="Times New Roman" w:hAnsi="Arial" w:cs="Arial"/>
          <w:color w:val="000000"/>
          <w:sz w:val="16"/>
          <w:szCs w:val="16"/>
        </w:rPr>
        <w:t xml:space="preserve">The popularity of the evening news wanes as more and more information becomes available. People realize that these half hour glimpses at the news do not even come close to covering all available information. They desperately want to select information for themselves. So they watch CNN until they fall asleep. Gavel to gavel coverage of political events assumes top spots on the Nielsen charts. Desperate to decide for themselves, the public of the twenty-first century drinks deeply from the well of information. When they are finished, they find they are no more able to decide. Those who make decisions are envied and glorified. </w:t>
      </w:r>
      <w:r w:rsidRPr="00403C0A">
        <w:rPr>
          <w:rStyle w:val="Emphasis"/>
        </w:rPr>
        <w:t>Debate teaches individual decision-making for the information age. No other academic activity available today teaches people more about information gathering, assessment, selection, and delivery. Most importantly, debate teaches individuals how to make and defend their own decisions.</w:t>
      </w:r>
      <w:r w:rsidRPr="00107E4B">
        <w:rPr>
          <w:rFonts w:ascii="Arial" w:eastAsia="Times New Roman" w:hAnsi="Arial" w:cs="Arial"/>
          <w:color w:val="000000"/>
          <w:sz w:val="16"/>
          <w:szCs w:val="16"/>
        </w:rPr>
        <w:t xml:space="preserve"> Debate is the only academic activity that moves at the speed of the information age. Time is required for individuals to achieve escape velocity. Academic debate holds tremendous value as a space for training. Mitchell's reflections are necessarily more accurate in his own situation. Over a decade of debate has well positioned him to participate actively and directly in the political process. Yet the skills he has did not develop overnight. </w:t>
      </w:r>
      <w:r w:rsidRPr="00107E4B">
        <w:rPr>
          <w:rFonts w:ascii="Arial" w:eastAsia="Times New Roman" w:hAnsi="Arial" w:cs="Arial"/>
          <w:color w:val="000000"/>
          <w:u w:val="single"/>
        </w:rPr>
        <w:t xml:space="preserve">Proper training requires time. While there is a tremendous variation in the amount of training required for effective navigation of the public sphere, the relative isolation of academic debate is one of its virtues. </w:t>
      </w:r>
      <w:r w:rsidRPr="00403C0A">
        <w:rPr>
          <w:rStyle w:val="Emphasis"/>
        </w:rPr>
        <w:t>Instead of turning students of debate immediately outward, we should be encouraging more to enter the oasis. A thirsty public, drunk on the product of anyone who claims a decision, needs to drink from the pool of decision-making skills.       </w:t>
      </w:r>
    </w:p>
    <w:p w14:paraId="1A036B3F" w14:textId="77777777" w:rsidR="007E3D3F" w:rsidRPr="00107E4B" w:rsidRDefault="007E3D3F" w:rsidP="007E3D3F">
      <w:pPr>
        <w:spacing w:after="0" w:line="240" w:lineRule="auto"/>
        <w:rPr>
          <w:rFonts w:ascii="Arial" w:eastAsia="Times New Roman" w:hAnsi="Arial" w:cs="Arial"/>
          <w:color w:val="000000"/>
          <w:sz w:val="16"/>
          <w:szCs w:val="16"/>
        </w:rPr>
      </w:pPr>
    </w:p>
    <w:p w14:paraId="10361E91" w14:textId="77777777" w:rsidR="007E3D3F" w:rsidRPr="00107E4B" w:rsidRDefault="007E3D3F" w:rsidP="007E3D3F">
      <w:pPr>
        <w:pStyle w:val="Heading4"/>
      </w:pPr>
      <w:r w:rsidRPr="00107E4B">
        <w:t>Undocumented youth activism effective through border counter-spectacle</w:t>
      </w:r>
    </w:p>
    <w:p w14:paraId="073F4984" w14:textId="77777777" w:rsidR="007E3D3F" w:rsidRPr="00107E4B" w:rsidRDefault="007E3D3F" w:rsidP="007E3D3F">
      <w:r w:rsidRPr="00107E4B">
        <w:rPr>
          <w:b/>
          <w:sz w:val="26"/>
          <w:szCs w:val="26"/>
        </w:rPr>
        <w:t xml:space="preserve">Negrón-Gonzales 15 </w:t>
      </w:r>
      <w:r w:rsidRPr="00107E4B">
        <w:t>– (Genevieve Negrón-Gonzales, “Undocumented Youth Activism as Counter-Spectacle”, Aztlan: A Journal of Chicano Studies, Pages 106-108, https://www.ingentaconnect.com/content/csrc/aztlan/2015/00000040/00000001/art00006)//CD</w:t>
      </w:r>
    </w:p>
    <w:p w14:paraId="21F40035" w14:textId="77777777" w:rsidR="007E3D3F" w:rsidRPr="00107E4B" w:rsidRDefault="007E3D3F" w:rsidP="007E3D3F">
      <w:pPr>
        <w:rPr>
          <w:u w:val="single"/>
        </w:rPr>
      </w:pPr>
      <w:r w:rsidRPr="00107E4B">
        <w:rPr>
          <w:u w:val="single"/>
        </w:rPr>
        <w:t>The border spectacle has</w:t>
      </w:r>
      <w:r w:rsidRPr="00107E4B">
        <w:t xml:space="preserve">, in many ways, </w:t>
      </w:r>
      <w:r w:rsidRPr="00107E4B">
        <w:rPr>
          <w:u w:val="single"/>
        </w:rPr>
        <w:t>been effective. Devious, scheming, uneducated immigrants have been set up as the “problem,” rendering invisible the United States’ economic dependence on migrant labor. The solution, according to this narrative, is more enforcement, including bigger and more lethal border defenses.</w:t>
      </w:r>
      <w:r w:rsidRPr="00107E4B">
        <w:t xml:space="preserve"> </w:t>
      </w:r>
      <w:r w:rsidRPr="00107E4B">
        <w:rPr>
          <w:u w:val="single"/>
        </w:rPr>
        <w:t>This spectacle takes no account of the real issue: the humanitarian crisis, fueled by US foreign policy, that has caused large-scale displacement and migration. The “right” way to interface with the immigration system—</w:t>
      </w:r>
      <w:r w:rsidRPr="00107E4B">
        <w:rPr>
          <w:u w:val="single"/>
        </w:rPr>
        <w:lastRenderedPageBreak/>
        <w:t>applying through the proper legal channels and then waiting in line for up to twenty years—disregards the fact that for many of the nation’s 12 million undocumented residents, there is no waiting line because there is no process within current law to legalize their status.</w:t>
      </w:r>
      <w:r w:rsidRPr="00107E4B">
        <w:t xml:space="preserve"> 107 Undocumented Youth Activism as Counter-Spectacle Arizona’s SB 1070 and Georgia’s HB 87 are emblematic of the resurgence of anti-immigrant nativism, as is the federal enactment of Secure Communities, a program in which local police collaborate with federal immigration authorities. At the federal level, HB 4437, a highly restrictive “border protection” bill, passed the House in 2005. Though it did not pass the Senate, the legislation further illustrated a political climate hostile toward Latino immigrants. Undocumented migrant students are located squarely in the center of this debate. Their lives are intimately intertwined with distinct forms of regulation like SB 1070 and HR 4437. They are implicated in the discourses and imaginaries that constitute the problem space of immigration and the figure of the immigrant—the talk of “anchor babies,” the debate to repeal the 14th Amendment, the call for a closed border. </w:t>
      </w:r>
      <w:r w:rsidRPr="00107E4B">
        <w:rPr>
          <w:u w:val="single"/>
        </w:rPr>
        <w:t>They have been raised in this country, but they are labeled as intruders at a sociopolitical moment in which the right to belong is evaluated through the metrics of race, citizenship, and nationality. In this context, undocumented students have emerged to tell a different story, identify a different problem, and provide a different vision for a shared, alterative future.</w:t>
      </w:r>
      <w:r w:rsidRPr="00107E4B">
        <w:t xml:space="preserve"> The hopeful developments of the past few years are the fruits of this powerful and vibrant movement. In this article I have called for understanding undocumented student activism as counter-spectacle, specifically in relation to the tactics of civil disobedience and testimonio. </w:t>
      </w:r>
      <w:r w:rsidRPr="00107E4B">
        <w:rPr>
          <w:u w:val="single"/>
        </w:rPr>
        <w:t>Undocumented youth, through their brave actions, are shifting the citizen gaze away from the border spectacle to illuminate a very different “crisis at the border”: the crisis created by their marginal position in this country. Understanding their movement work as counter-spectacle allows us to understand how the undocumented youth movement is articulating a reconceptualization of “illegality” and undocumented laborers. One young man, Raul, reflected on what it means to be undocumented at this particular sociopolitical moment: I’m happy I’m undocumented. I mean, I’m not happy. But I am grateful to have this experience. Because being undocumented right now, you know, it’s like, we are in the position to change history. Just based on who we are, and what we have gone through, it’s like, we’re the ones. This is in our hads. And I am happy. I’m happy that’s me. It is clear that this battle around immigration reform—and more broadly, about race, belonging, and inequality—will not be fought at the ballot box or in the halls of government alone. It is also a battle being fought in the heart and minds of the people who share this country</w:t>
      </w:r>
      <w:r w:rsidRPr="00107E4B">
        <w:t xml:space="preserve">, and 108 Negrón-Gonzales undocumented youth are uniquely positioned to take up this fight. They are both insiders and outsiders in this society, positioned halfway between their US citizen counterparts, whom they have grown up alongside, and their undocumented worker parents, who occupy the bottom rungs of the social, political, and economic hierarchy. Three things have become clear. </w:t>
      </w:r>
      <w:r w:rsidRPr="00107E4B">
        <w:rPr>
          <w:u w:val="single"/>
        </w:rPr>
        <w:t>First, many undocumented youth activists are using their position as “deserving” to crack open space and demand a kind of immigration reform that will also address the needs of the “undeserving” immigrants, whom they are unwilling to leave behind. Second, they are articulating this fight as a struggle for civil rights, drawing on the long tradition of challenging unjust laws and positioning themselves as part of that heritage. Third, they are willing to do whatever it takes to bring about this change.</w:t>
      </w:r>
      <w:r w:rsidRPr="00107E4B">
        <w:t xml:space="preserve"> Far from merely a pragmatic effort that has yet to achieve its goal of passing the DREAM Act, the movement led by undocumented youth is a much bigger project. These young people are risking deportation to put pressure on the political </w:t>
      </w:r>
      <w:r w:rsidRPr="00107E4B">
        <w:lastRenderedPageBreak/>
        <w:t xml:space="preserve">structure and call attention to the plight of the undocumented. </w:t>
      </w:r>
      <w:r w:rsidRPr="00107E4B">
        <w:rPr>
          <w:u w:val="single"/>
        </w:rPr>
        <w:t>Such actions reflect the daring strategy and radical tactics that guide this movement and that quite possibly will reconfigure the political terrain around immigration in this country.</w:t>
      </w:r>
    </w:p>
    <w:p w14:paraId="28B8AE06" w14:textId="77777777" w:rsidR="007E3D3F" w:rsidRPr="00107E4B" w:rsidRDefault="007E3D3F" w:rsidP="007E3D3F">
      <w:pPr>
        <w:spacing w:after="0" w:line="240" w:lineRule="auto"/>
        <w:rPr>
          <w:rFonts w:ascii="Times New Roman" w:eastAsia="Times New Roman" w:hAnsi="Times New Roman" w:cs="Times New Roman"/>
          <w:sz w:val="24"/>
        </w:rPr>
      </w:pPr>
    </w:p>
    <w:p w14:paraId="4FF8DB92" w14:textId="77777777" w:rsidR="007E3D3F" w:rsidRPr="00107E4B" w:rsidRDefault="007E3D3F" w:rsidP="007E3D3F">
      <w:pPr>
        <w:pStyle w:val="Heading4"/>
      </w:pPr>
      <w:r w:rsidRPr="00107E4B">
        <w:t>Discussion of immigration issues allows for the change of legislative change.</w:t>
      </w:r>
    </w:p>
    <w:p w14:paraId="190C3D25" w14:textId="77777777" w:rsidR="007E3D3F" w:rsidRPr="00107E4B" w:rsidRDefault="007E3D3F" w:rsidP="007E3D3F">
      <w:pPr>
        <w:spacing w:after="0"/>
        <w:rPr>
          <w:b/>
        </w:rPr>
      </w:pPr>
      <w:r w:rsidRPr="00107E4B">
        <w:rPr>
          <w:b/>
          <w:sz w:val="26"/>
          <w:szCs w:val="26"/>
        </w:rPr>
        <w:t>Gonzales 15</w:t>
      </w:r>
      <w:r w:rsidRPr="00107E4B">
        <w:rPr>
          <w:b/>
        </w:rPr>
        <w:t xml:space="preserve"> - </w:t>
      </w:r>
      <w:r w:rsidRPr="00107E4B">
        <w:t xml:space="preserve">(Genevieve Negrón-Gonzales , Spring 2015, Undocumented Youth Activism as Counter-Spectacle Civil Disobedience and Testimonio in the Battle around Immigration Reform </w:t>
      </w:r>
    </w:p>
    <w:p w14:paraId="05926466" w14:textId="77777777" w:rsidR="007E3D3F" w:rsidRPr="00107E4B" w:rsidRDefault="007E3D3F" w:rsidP="007E3D3F">
      <w:pPr>
        <w:spacing w:after="0"/>
      </w:pPr>
      <w:r w:rsidRPr="00107E4B">
        <w:t>Gonzales is an assistant professor in the School of Education at the University of San Francisco. Her research interests include political activism among undocumented youth, undocumented students and higher education, the neo-liberalization of higher education, and California racial politics and Latino immigrant communities.)</w:t>
      </w:r>
    </w:p>
    <w:p w14:paraId="5C225A1F" w14:textId="77777777" w:rsidR="007E3D3F" w:rsidRPr="00107E4B" w:rsidRDefault="007E3D3F" w:rsidP="007E3D3F">
      <w:pPr>
        <w:rPr>
          <w:u w:val="single"/>
        </w:rPr>
      </w:pPr>
      <w:r w:rsidRPr="00107E4B">
        <w:rPr>
          <w:sz w:val="16"/>
        </w:rPr>
        <w:t xml:space="preserve">The </w:t>
      </w:r>
      <w:r w:rsidRPr="00107E4B">
        <w:rPr>
          <w:u w:val="single"/>
        </w:rPr>
        <w:t>activism of undocumented youth constitutes a counter-spectacle in relation to border spectacle</w:t>
      </w:r>
      <w:r w:rsidRPr="00107E4B">
        <w:rPr>
          <w:sz w:val="16"/>
        </w:rPr>
        <w:t xml:space="preserve">. I use </w:t>
      </w:r>
      <w:r w:rsidRPr="00107E4B">
        <w:rPr>
          <w:u w:val="single"/>
        </w:rPr>
        <w:t>the term counter-spectacle in the spirit of the term counternarrative</w:t>
      </w:r>
      <w:r w:rsidRPr="00107E4B">
        <w:rPr>
          <w:sz w:val="16"/>
        </w:rPr>
        <w:t xml:space="preserve">. Just as counternarrative is not simply another narrative, but </w:t>
      </w:r>
      <w:r w:rsidRPr="00107E4B">
        <w:rPr>
          <w:u w:val="single"/>
        </w:rPr>
        <w:t>rather one that takes on and challenges the dominant narrative in order to create a new one, the activism</w:t>
      </w:r>
      <w:r w:rsidRPr="00107E4B">
        <w:rPr>
          <w:sz w:val="16"/>
        </w:rPr>
        <w:t xml:space="preserve"> of undocumented youth is not simply another spectacle: </w:t>
      </w:r>
      <w:r w:rsidRPr="00107E4B">
        <w:rPr>
          <w:u w:val="single"/>
        </w:rPr>
        <w:t>it tells a different story about the “crisis at the border.”</w:t>
      </w:r>
      <w:r w:rsidRPr="00107E4B">
        <w:rPr>
          <w:sz w:val="16"/>
        </w:rPr>
        <w:t xml:space="preserve"> I utilize Guy Debord’s (1967) assertion that spectacle hides social realities through the production and reproduction of cultural images. </w:t>
      </w:r>
      <w:r w:rsidRPr="00107E4B">
        <w:rPr>
          <w:u w:val="single"/>
        </w:rPr>
        <w:t>This function of spectacle is apparent in the popular discourse surrounding migration and the disconnect it assumes between societal dependence on migrant labor</w:t>
      </w:r>
      <w:r w:rsidRPr="00107E4B">
        <w:rPr>
          <w:sz w:val="16"/>
        </w:rPr>
        <w:t xml:space="preserve"> and the presence of extralegal migrant bodies.6 I </w:t>
      </w:r>
      <w:r w:rsidRPr="00107E4B">
        <w:rPr>
          <w:u w:val="single"/>
        </w:rPr>
        <w:t>define border counter-spectacle as practices that take on border spectacle directly and thereby create an alternative point of focus</w:t>
      </w:r>
      <w:r w:rsidRPr="00107E4B">
        <w:rPr>
          <w:sz w:val="16"/>
        </w:rPr>
        <w:t xml:space="preserve">. This concept of counter-spectacle draws on Debord’s (1967) and the Situationists’ central dialectical technique of détournement, in which a work of art is deconstructed and its parts recombined with the goal of undermining the cultural position of the original as a commodity. Martin Puchner elaborates: </w:t>
      </w:r>
      <w:r w:rsidRPr="00107E4B">
        <w:rPr>
          <w:u w:val="single"/>
        </w:rPr>
        <w:t>Since we cannot hope to carve out spaces untouched by the spectacle, to attack it from the outside, we must turn it against itself</w:t>
      </w:r>
      <w:r w:rsidRPr="00107E4B">
        <w:rPr>
          <w:sz w:val="16"/>
        </w:rPr>
        <w:t>—détourn it—</w:t>
      </w:r>
      <w:r w:rsidRPr="00107E4B">
        <w:rPr>
          <w:u w:val="single"/>
        </w:rPr>
        <w:t>taking its elements, breaking them out of the simulated unity and totality on which the spectacle depends, and turning them against that unity</w:t>
      </w:r>
      <w:r w:rsidRPr="00107E4B">
        <w:rPr>
          <w:sz w:val="16"/>
        </w:rPr>
        <w:t xml:space="preserve">. . . . [This] is one component of this attempt towards detourning the spectacle, towards creating the counter-spectacle. (2004, 9) 95 Undocumented Youth Activism as Counter-Spectacle Undocumented students create their counter-spectacle within the confined context in which they must manage their lives, both spatially and socially. They conduct their activism within what Ananya Roy calls “securitized space”: “These sites are practices of enclosure, exclusion, and quarantine, but they are also sites of disruptive spatiality, where resistance is performed and inhabitation is possible” (Roy 2011, 4). Border counter-spectacle not only constitutes a “public performance” but also interacts with the sociological conception of the spectacle of enforcement described by De Genova. </w:t>
      </w:r>
      <w:r w:rsidRPr="00107E4B">
        <w:rPr>
          <w:u w:val="single"/>
        </w:rPr>
        <w:t>In addition to using counterspectacle pragmatically, to advocate for legislation that will provide a way out of their legal conundrum, youth activists are also self-consciously inserting themselves into the dominant discourse of immigration, which renders undocumented immigrants as lazy, resource-draining law breakers who come to take jobs.</w:t>
      </w:r>
      <w:r w:rsidRPr="00107E4B">
        <w:rPr>
          <w:sz w:val="16"/>
        </w:rPr>
        <w:t xml:space="preserve"> As an arranged performance, impossible for viewers to ignore, the activism of these young people provides a different visual point of focus that challenges the dominant border spectacle. As a result, it allows for a reconceptualization of undocumented migrants in the popular imaginary. Border counter-spectacle is a broad cultural and ideological intervention that intends to recast the mainstream’s idea of who undocumented people are in this nation. Through their counternarrative, undocumented young people are staging a performance of democracy in a space that is considered to be the exclusive terrain of US citizens—those who have a rightful claim to speak. The lives of these undocumented Latino youth have been, and continue to be, profoundly shaped by border spectacle: it marks their “illegality,” it shapes the discourses they confront daily, it renders them as perpetual outsiders. Through their counter-spectacle, these young activists are countering the performance of security and penalty at the border with another type of performance. The </w:t>
      </w:r>
      <w:r w:rsidRPr="00107E4B">
        <w:rPr>
          <w:u w:val="single"/>
        </w:rPr>
        <w:t>burgeoning movement that they have created is not only a political mobilization working for pragmatic reform; it has become a discursive force that challenges ideological categories and dominant narratives. Their counter-</w:t>
      </w:r>
      <w:r w:rsidRPr="00107E4B">
        <w:rPr>
          <w:u w:val="single"/>
        </w:rPr>
        <w:lastRenderedPageBreak/>
        <w:t>spectacle challenges the border spectacle, meaningfully rearticulating notions of “illegality” in relation to undocumented workers</w:t>
      </w:r>
    </w:p>
    <w:p w14:paraId="2CE83287" w14:textId="77777777" w:rsidR="007E3D3F" w:rsidRPr="00107E4B" w:rsidRDefault="007E3D3F" w:rsidP="007E3D3F">
      <w:pPr>
        <w:pStyle w:val="Heading4"/>
      </w:pPr>
      <w:r w:rsidRPr="00107E4B">
        <w:t>Youths discussion and action about immigration are key to guiding movement for political change.</w:t>
      </w:r>
    </w:p>
    <w:p w14:paraId="62E721A8" w14:textId="77777777" w:rsidR="007E3D3F" w:rsidRPr="00107E4B" w:rsidRDefault="007E3D3F" w:rsidP="007E3D3F">
      <w:pPr>
        <w:spacing w:after="0"/>
      </w:pPr>
      <w:r w:rsidRPr="00107E4B">
        <w:rPr>
          <w:b/>
          <w:sz w:val="26"/>
          <w:szCs w:val="26"/>
        </w:rPr>
        <w:t xml:space="preserve">Gonzales 15 </w:t>
      </w:r>
      <w:r w:rsidRPr="00107E4B">
        <w:t xml:space="preserve">- (Genevieve Negrón-Gonzales , Spring 2015, Undocumented Youth Activism as Counter-Spectacle Civil Disobedience and Testimonio in the Battle around Immigration Reform </w:t>
      </w:r>
    </w:p>
    <w:p w14:paraId="58032836" w14:textId="77777777" w:rsidR="007E3D3F" w:rsidRPr="00107E4B" w:rsidRDefault="007E3D3F" w:rsidP="007E3D3F">
      <w:pPr>
        <w:spacing w:after="0"/>
      </w:pPr>
      <w:r w:rsidRPr="00107E4B">
        <w:t>Gonzales is an assistant professor in the School of Education at the University of San Francisco. Her research interests include political activism among undocumented youth, undocumented students and higher education, the neo-liberalization of higher education, and California racial politics and Latino immigrant communities.)</w:t>
      </w:r>
    </w:p>
    <w:p w14:paraId="0C2A74F7" w14:textId="77777777" w:rsidR="007E3D3F" w:rsidRPr="00107E4B" w:rsidRDefault="007E3D3F" w:rsidP="007E3D3F">
      <w:pPr>
        <w:spacing w:after="0" w:line="240" w:lineRule="auto"/>
        <w:rPr>
          <w:rFonts w:ascii="Times New Roman" w:eastAsia="Times New Roman" w:hAnsi="Times New Roman" w:cs="Times New Roman"/>
          <w:sz w:val="24"/>
        </w:rPr>
      </w:pPr>
      <w:r w:rsidRPr="00107E4B">
        <w:rPr>
          <w:sz w:val="16"/>
        </w:rPr>
        <w:t xml:space="preserve">It is clear that </w:t>
      </w:r>
      <w:r w:rsidRPr="00107E4B">
        <w:rPr>
          <w:u w:val="single"/>
        </w:rPr>
        <w:t>this battle around immigration reform</w:t>
      </w:r>
      <w:r w:rsidRPr="00107E4B">
        <w:rPr>
          <w:sz w:val="16"/>
        </w:rPr>
        <w:t xml:space="preserve">—and more broadly, </w:t>
      </w:r>
      <w:r w:rsidRPr="00107E4B">
        <w:rPr>
          <w:u w:val="single"/>
        </w:rPr>
        <w:t>about race, belonging, and inequality—will not be fought at the ballot box or in the halls of government alone. It is also a battle being fought in the heart and minds of the people who share this country</w:t>
      </w:r>
      <w:r w:rsidRPr="00107E4B">
        <w:rPr>
          <w:sz w:val="16"/>
        </w:rPr>
        <w:t xml:space="preserve">, and 108 Negrón-Gonzales undocumented </w:t>
      </w:r>
      <w:r w:rsidRPr="00107E4B">
        <w:rPr>
          <w:u w:val="single"/>
        </w:rPr>
        <w:t>youth are uniquely positioned to take up this fight</w:t>
      </w:r>
      <w:r w:rsidRPr="00107E4B">
        <w:rPr>
          <w:sz w:val="16"/>
        </w:rPr>
        <w:t xml:space="preserve">. They are both insiders and outsiders in this society, positioned halfway between their US citizen counterparts, whom they have grown up alongside, and their undocumented worker parents, who occupy the bottom rungs of the social, political, and economic hierarchy. Three things have become clear. First, </w:t>
      </w:r>
      <w:r w:rsidRPr="00107E4B">
        <w:rPr>
          <w:u w:val="single"/>
        </w:rPr>
        <w:t>many undocumented youth activists are using their position as “deserving” to crack open space and demand a kind of immigration reform that will also address the needs of the “undeserving” immigrants</w:t>
      </w:r>
      <w:r w:rsidRPr="00107E4B">
        <w:rPr>
          <w:sz w:val="16"/>
        </w:rPr>
        <w:t xml:space="preserve">, whom they are unwilling to leave behind. Second, </w:t>
      </w:r>
      <w:r w:rsidRPr="00107E4B">
        <w:rPr>
          <w:u w:val="single"/>
        </w:rPr>
        <w:t>they are articulating this fight as a struggle for civil rights, drawing on the long tradition of challenging unjust laws and positioning themselves as part of that heritage</w:t>
      </w:r>
      <w:r w:rsidRPr="00107E4B">
        <w:rPr>
          <w:sz w:val="16"/>
        </w:rPr>
        <w:t xml:space="preserve">. Third, they are willing to do whatever it takes to bring about this change. Far from merely a pragmatic effort that has yet to achieve its goal of passing the DREAM Act, the movement led by undocumented youth is a much bigger project. These </w:t>
      </w:r>
      <w:r w:rsidRPr="00107E4B">
        <w:rPr>
          <w:u w:val="single"/>
        </w:rPr>
        <w:t xml:space="preserve">young people are risking deportation to put pressure on the political structure and call attention to the plight of the undocumented. Such actions reflect the daring strategy and radical tactics that guide this movement </w:t>
      </w:r>
      <w:r w:rsidRPr="00107E4B">
        <w:rPr>
          <w:sz w:val="16"/>
        </w:rPr>
        <w:t>and that quite possibly will reconfigure the political terrain around immigration in this country</w:t>
      </w:r>
    </w:p>
    <w:p w14:paraId="53D5D6EF" w14:textId="77777777" w:rsidR="007E3D3F" w:rsidRPr="00107E4B" w:rsidRDefault="007E3D3F" w:rsidP="007E3D3F">
      <w:pPr>
        <w:spacing w:before="240" w:after="40" w:line="240" w:lineRule="auto"/>
        <w:outlineLvl w:val="3"/>
        <w:rPr>
          <w:rFonts w:ascii="Times New Roman" w:eastAsia="Times New Roman" w:hAnsi="Times New Roman" w:cs="Times New Roman"/>
          <w:b/>
          <w:bCs/>
          <w:sz w:val="24"/>
        </w:rPr>
      </w:pPr>
      <w:r w:rsidRPr="00107E4B">
        <w:rPr>
          <w:rFonts w:ascii="Arial" w:eastAsia="Times New Roman" w:hAnsi="Arial" w:cs="Arial"/>
          <w:b/>
          <w:bCs/>
          <w:color w:val="000000"/>
          <w:sz w:val="24"/>
        </w:rPr>
        <w:t>Activism in debate is key to opening discussion about the space and empowering excluded voices in debate</w:t>
      </w:r>
    </w:p>
    <w:p w14:paraId="4DA3794C" w14:textId="77777777" w:rsidR="007E3D3F" w:rsidRPr="00107E4B" w:rsidRDefault="007E3D3F" w:rsidP="007E3D3F">
      <w:pPr>
        <w:spacing w:after="0" w:line="240" w:lineRule="auto"/>
        <w:rPr>
          <w:rFonts w:ascii="Times New Roman" w:eastAsia="Times New Roman" w:hAnsi="Times New Roman" w:cs="Times New Roman"/>
          <w:sz w:val="24"/>
        </w:rPr>
      </w:pPr>
      <w:r w:rsidRPr="00107E4B">
        <w:rPr>
          <w:rFonts w:ascii="Arial" w:eastAsia="Times New Roman" w:hAnsi="Arial" w:cs="Arial"/>
          <w:b/>
          <w:bCs/>
          <w:color w:val="000000"/>
          <w:sz w:val="24"/>
        </w:rPr>
        <w:t>Eisenberg  2012</w:t>
      </w:r>
    </w:p>
    <w:p w14:paraId="137136B9" w14:textId="77777777" w:rsidR="007E3D3F" w:rsidRPr="00107E4B" w:rsidRDefault="007E3D3F" w:rsidP="007E3D3F">
      <w:pPr>
        <w:spacing w:after="0" w:line="240" w:lineRule="auto"/>
        <w:rPr>
          <w:rFonts w:ascii="Times New Roman" w:eastAsia="Times New Roman" w:hAnsi="Times New Roman" w:cs="Times New Roman"/>
          <w:sz w:val="24"/>
        </w:rPr>
      </w:pPr>
      <w:r w:rsidRPr="00107E4B">
        <w:rPr>
          <w:rFonts w:ascii="Arial" w:eastAsia="Times New Roman" w:hAnsi="Arial" w:cs="Arial"/>
          <w:color w:val="000000"/>
        </w:rPr>
        <w:t>(Stephanie Esienberg “Speaking from the Margins: Negotiating barriers to women’s</w:t>
      </w:r>
      <w:r w:rsidRPr="00107E4B">
        <w:rPr>
          <w:rFonts w:ascii="Arial" w:eastAsia="Times New Roman" w:hAnsi="Arial" w:cs="Arial"/>
          <w:color w:val="000000"/>
        </w:rPr>
        <w:br/>
        <w:t>participation and success in policy debate” San Francisco State.)</w:t>
      </w:r>
    </w:p>
    <w:p w14:paraId="794D1013" w14:textId="77777777" w:rsidR="007E3D3F" w:rsidRPr="00107E4B" w:rsidRDefault="007E3D3F" w:rsidP="007E3D3F">
      <w:pPr>
        <w:spacing w:after="0" w:line="240" w:lineRule="auto"/>
        <w:rPr>
          <w:rFonts w:ascii="Times New Roman" w:eastAsia="Times New Roman" w:hAnsi="Times New Roman" w:cs="Times New Roman"/>
          <w:sz w:val="24"/>
        </w:rPr>
      </w:pPr>
      <w:r w:rsidRPr="00107E4B">
        <w:rPr>
          <w:rFonts w:ascii="Arial" w:eastAsia="Times New Roman" w:hAnsi="Arial" w:cs="Arial"/>
          <w:color w:val="000000"/>
          <w:sz w:val="16"/>
          <w:szCs w:val="16"/>
        </w:rPr>
        <w:t xml:space="preserve">Particular types of argument choices may affect the way participants experience a debate round. For example, </w:t>
      </w:r>
      <w:r w:rsidRPr="00107E4B">
        <w:rPr>
          <w:rFonts w:ascii="Arial" w:eastAsia="Times New Roman" w:hAnsi="Arial" w:cs="Arial"/>
          <w:color w:val="000000"/>
          <w:sz w:val="24"/>
          <w:u w:val="single"/>
        </w:rPr>
        <w:t>debaters may experience some pushback to some of the arguments they wish to speak about in debate, especially if they are trying to integrating personal experiences</w:t>
      </w:r>
      <w:r w:rsidRPr="00107E4B">
        <w:rPr>
          <w:rFonts w:ascii="Arial" w:eastAsia="Times New Roman" w:hAnsi="Arial" w:cs="Arial"/>
          <w:color w:val="000000"/>
          <w:sz w:val="16"/>
          <w:szCs w:val="16"/>
        </w:rPr>
        <w:t xml:space="preserve"> into their argument. For example, Akila explains that </w:t>
      </w:r>
      <w:r w:rsidRPr="00107E4B">
        <w:rPr>
          <w:rFonts w:ascii="Arial" w:eastAsia="Times New Roman" w:hAnsi="Arial" w:cs="Arial"/>
          <w:color w:val="000000"/>
          <w:sz w:val="24"/>
          <w:u w:val="single"/>
        </w:rPr>
        <w:t>debaters tend to treat each other as if it is a race to the bottom, where the ballot is the only thing that matters</w:t>
      </w:r>
      <w:r w:rsidRPr="00107E4B">
        <w:rPr>
          <w:rFonts w:ascii="Arial" w:eastAsia="Times New Roman" w:hAnsi="Arial" w:cs="Arial"/>
          <w:color w:val="000000"/>
          <w:sz w:val="16"/>
          <w:szCs w:val="16"/>
        </w:rPr>
        <w:t xml:space="preserve">. </w:t>
      </w:r>
      <w:r w:rsidRPr="00107E4B">
        <w:rPr>
          <w:rFonts w:ascii="Arial" w:eastAsia="Times New Roman" w:hAnsi="Arial" w:cs="Arial"/>
          <w:color w:val="000000"/>
          <w:sz w:val="24"/>
          <w:u w:val="single"/>
        </w:rPr>
        <w:t>Judy notes that this norm of the community to place emphasis on competitive success allows people to justify arguments that are reprehensible or “not okay.”</w:t>
      </w:r>
      <w:r w:rsidRPr="00107E4B">
        <w:rPr>
          <w:rFonts w:ascii="Arial" w:eastAsia="Times New Roman" w:hAnsi="Arial" w:cs="Arial"/>
          <w:color w:val="000000"/>
          <w:sz w:val="16"/>
          <w:szCs w:val="16"/>
        </w:rPr>
        <w:t xml:space="preserve"> Akila highlights several examples of teams who will justify racism, sexism and imperialism as appropriate side effects of advocacies that claim to save the lives of many people from potential nuclear war scenarios constructed through a lens of political realism. Ivana notes that externalized logic, large body counts and phallic weapons are privileged over personal experience or “your own body.” Akila feels that debaters don’t place an emphasis on trying to relate to one another, and feels that debate isn’t an alternative space where students are encouraged to relate more ethically towards one another. Like Judy, Akila agrees </w:t>
      </w:r>
      <w:r w:rsidRPr="00107E4B">
        <w:rPr>
          <w:rFonts w:ascii="Arial" w:eastAsia="Times New Roman" w:hAnsi="Arial" w:cs="Arial"/>
          <w:color w:val="000000"/>
          <w:sz w:val="24"/>
          <w:u w:val="single"/>
        </w:rPr>
        <w:t>that the atmosphere promotes an emphasis on competitive success that makes debate feel like “warfare,” a common masculine metaphor</w:t>
      </w:r>
      <w:r w:rsidRPr="00107E4B">
        <w:rPr>
          <w:rFonts w:ascii="Arial" w:eastAsia="Times New Roman" w:hAnsi="Arial" w:cs="Arial"/>
          <w:color w:val="000000"/>
          <w:sz w:val="16"/>
          <w:szCs w:val="16"/>
        </w:rPr>
        <w:t xml:space="preserve">. Akila shares: On a personal level, I spent time writing this poem to try to convey to you what being a woman of color and an immigrant is like under this year’s topic which is immigration, but because of the way that we are taught to socialize in a sort of militarized space that is debate, that gets lost until it becomes some sort of arsenal or some sort of weapon. My narrative is just a reason we should win because it foregrounds experiences of immigrants…that’s not a good way of understanding why </w:t>
      </w:r>
      <w:r w:rsidRPr="00107E4B">
        <w:rPr>
          <w:rFonts w:ascii="Arial" w:eastAsia="Times New Roman" w:hAnsi="Arial" w:cs="Arial"/>
          <w:color w:val="000000"/>
          <w:sz w:val="16"/>
          <w:szCs w:val="16"/>
        </w:rPr>
        <w:lastRenderedPageBreak/>
        <w:t>people put themselves in debates. People put themselves in debates because debate needs to be less insular; it needs to be less detached from the reality of what we talk about. While some women experienced this as a barrier, others did not perceive specific arguments as inherently gendered or as a roadblock to their participation or success in debate. Even though Catherine adopts this particular perspective, she has become more aware of language choices in argumentation, and explains that she frequently hears rhetoric that equates certain argument choices with weakness, such as comparing arguments with rape or making comments such as “that’s gay” or other. These comparisons serve to reaffirm hegemonic masculinity, and Catherine feels that this type of</w:t>
      </w:r>
      <w:r w:rsidRPr="00107E4B">
        <w:rPr>
          <w:rFonts w:ascii="Arial" w:eastAsia="Times New Roman" w:hAnsi="Arial" w:cs="Arial"/>
          <w:color w:val="000000"/>
          <w:sz w:val="16"/>
          <w:szCs w:val="16"/>
        </w:rPr>
        <w:br/>
        <w:t xml:space="preserve">rhetoric is a distinct barrier to inclusion in debate. In order to combat some of these barriers, women utilize argument choice itself as a tactic. Ivana, for example, frequently deploys feminist arguments in debate rounds. She notes that even though some men in the community find it acceptable to speak more candidly  about women’s bodies and sexual experiences, it is perpetually taboo to speak about women’s bodies in debate rounds. Ivana deployed arguments related to women’s menstruation as one way to engage this dichotomy she is confronted with. Thomas (2007) explains how the menstruation taboo in modern Western society is “restricting Western women from full citizenship” (p. 76). Ivana’s decision to speak out in this public forum about women’s menstruation might be thought of as a tactic to confront this taboo while reclaiming a sense of citizenship in the debate community or even in the round itself. By </w:t>
      </w:r>
      <w:r w:rsidRPr="00107E4B">
        <w:rPr>
          <w:rFonts w:ascii="Arial" w:eastAsia="Times New Roman" w:hAnsi="Arial" w:cs="Arial"/>
          <w:color w:val="000000"/>
          <w:sz w:val="24"/>
          <w:u w:val="single"/>
        </w:rPr>
        <w:t>requiring both the judge to listen and the other team to engage her discussion of menstruation, she can call for a questioning of this simultaneous objectification and silencing of women while establishing a space for her to feel engaged and empowered by her argument.</w:t>
      </w:r>
      <w:r w:rsidRPr="00107E4B">
        <w:rPr>
          <w:rFonts w:ascii="Arial" w:eastAsia="Times New Roman" w:hAnsi="Arial" w:cs="Arial"/>
          <w:color w:val="000000"/>
          <w:sz w:val="16"/>
          <w:szCs w:val="16"/>
        </w:rPr>
        <w:t xml:space="preserve"> </w:t>
      </w:r>
      <w:r w:rsidRPr="00107E4B">
        <w:rPr>
          <w:rFonts w:ascii="Arial" w:eastAsia="Times New Roman" w:hAnsi="Arial" w:cs="Arial"/>
          <w:color w:val="000000"/>
          <w:sz w:val="24"/>
          <w:u w:val="single"/>
        </w:rPr>
        <w:t>Other women chose to approach these tensions by using personal experience as evidence, sharing their own stories in debate rounds. Davis (2007) argues that “women’s subjective accounts of their experiences and how they affect their everyday practices need to be linked to a critical interrogation of the cultural discourses, institutional arrangements, and geopolitical contexts in which these accounts are invariably embedded” (p.133) This is precisely what these women are doing, weaving their own narratives in with theoretical texts and political events situated while acknowledging the particular institutional space the activity is located in.</w:t>
      </w:r>
      <w:r w:rsidRPr="00107E4B">
        <w:rPr>
          <w:rFonts w:ascii="Arial" w:eastAsia="Times New Roman" w:hAnsi="Arial" w:cs="Arial"/>
          <w:color w:val="000000"/>
          <w:sz w:val="16"/>
          <w:szCs w:val="16"/>
        </w:rPr>
        <w:t xml:space="preserve"> Lucille doesn’t feel that she uses tactics in debate rounds very often to overcome these barriers, however she notes that there are instances where enough was enough and she spoke about her subjectivity as a woman. </w:t>
      </w:r>
      <w:r w:rsidRPr="00107E4B">
        <w:rPr>
          <w:rFonts w:ascii="Arial" w:eastAsia="Times New Roman" w:hAnsi="Arial" w:cs="Arial"/>
          <w:color w:val="000000"/>
          <w:sz w:val="24"/>
          <w:u w:val="single"/>
        </w:rPr>
        <w:t>Several women noted that being able to speak about being a female or femininity in general while also remaining strategic and successful was an empowering tactic. Akila calls these types of tactics “little disruptions,” or subversive instances in debate that challenge their competitors and judges to a moment of reflexivity.</w:t>
      </w:r>
    </w:p>
    <w:p w14:paraId="1C6EA3F0" w14:textId="77777777" w:rsidR="007E3D3F" w:rsidRPr="00107E4B" w:rsidRDefault="007E3D3F" w:rsidP="007E3D3F">
      <w:r w:rsidRPr="00107E4B">
        <w:rPr>
          <w:rFonts w:ascii="Times New Roman" w:eastAsia="Times New Roman" w:hAnsi="Times New Roman" w:cs="Times New Roman"/>
          <w:sz w:val="24"/>
        </w:rPr>
        <w:br/>
      </w:r>
    </w:p>
    <w:p w14:paraId="5B93EB8D" w14:textId="77777777" w:rsidR="007E3D3F" w:rsidRPr="00107E4B" w:rsidRDefault="007E3D3F" w:rsidP="007E3D3F">
      <w:pPr>
        <w:pStyle w:val="Heading4"/>
        <w:rPr>
          <w:rFonts w:eastAsia="Times New Roman"/>
          <w:lang w:bidi="mr-IN"/>
        </w:rPr>
      </w:pPr>
      <w:r w:rsidRPr="00107E4B">
        <w:rPr>
          <w:rFonts w:eastAsia="Times New Roman"/>
          <w:lang w:bidi="mr-IN"/>
        </w:rPr>
        <w:t xml:space="preserve">Youth activism empowers people disenfranchised by poverty </w:t>
      </w:r>
    </w:p>
    <w:p w14:paraId="54C0775C" w14:textId="77777777" w:rsidR="007E3D3F" w:rsidRPr="00107E4B" w:rsidRDefault="007E3D3F" w:rsidP="007E3D3F">
      <w:pPr>
        <w:spacing w:line="240" w:lineRule="auto"/>
        <w:rPr>
          <w:rFonts w:eastAsia="Times New Roman" w:cs="Times New Roman"/>
          <w:lang w:bidi="mr-IN"/>
        </w:rPr>
      </w:pPr>
      <w:r w:rsidRPr="00107E4B">
        <w:rPr>
          <w:rStyle w:val="Style13ptBold"/>
          <w:lang w:bidi="mr-IN"/>
        </w:rPr>
        <w:t>Ballard and Ozard 16</w:t>
      </w:r>
      <w:r w:rsidRPr="00107E4B">
        <w:rPr>
          <w:rFonts w:ascii="Arial" w:eastAsia="Times New Roman" w:hAnsi="Arial" w:cs="Arial"/>
          <w:b/>
          <w:bCs/>
          <w:color w:val="000000"/>
          <w:lang w:bidi="mr-IN"/>
        </w:rPr>
        <w:t xml:space="preserve"> </w:t>
      </w:r>
      <w:r w:rsidRPr="00107E4B">
        <w:rPr>
          <w:rFonts w:ascii="Arial" w:eastAsia="Times New Roman" w:hAnsi="Arial" w:cs="Arial"/>
          <w:color w:val="000000"/>
          <w:sz w:val="16"/>
          <w:szCs w:val="16"/>
          <w:lang w:bidi="mr-IN"/>
        </w:rPr>
        <w:t>(Jahromi) Ballard, Parissa &amp; Ozer, Emily. (2016). Implications of Youth Activism for Health and Well-Being.)</w:t>
      </w:r>
    </w:p>
    <w:p w14:paraId="76AFD6EA" w14:textId="77777777" w:rsidR="007E3D3F" w:rsidRPr="00107E4B" w:rsidRDefault="007E3D3F" w:rsidP="007E3D3F">
      <w:pPr>
        <w:spacing w:line="240" w:lineRule="auto"/>
        <w:rPr>
          <w:rFonts w:eastAsia="Times New Roman" w:cs="Times New Roman"/>
          <w:lang w:bidi="mr-IN"/>
        </w:rPr>
      </w:pPr>
      <w:r w:rsidRPr="00107E4B">
        <w:rPr>
          <w:rFonts w:ascii="Arial" w:eastAsia="Times New Roman" w:hAnsi="Arial" w:cs="Arial"/>
          <w:color w:val="000000"/>
          <w:sz w:val="16"/>
          <w:szCs w:val="16"/>
          <w:lang w:bidi="mr-IN"/>
        </w:rPr>
        <w:t xml:space="preserve">Youth activism and adolescent health. Adolescent health is multi-dimensional. </w:t>
      </w:r>
      <w:r w:rsidRPr="00107E4B">
        <w:rPr>
          <w:rFonts w:ascii="Arial" w:eastAsia="Times New Roman" w:hAnsi="Arial" w:cs="Arial"/>
          <w:b/>
          <w:bCs/>
          <w:color w:val="000000"/>
          <w:u w:val="single"/>
          <w:lang w:bidi="mr-IN"/>
        </w:rPr>
        <w:t xml:space="preserve">For our purpose of linking youth activism with health and well-being, we are concerned with three aspects of adolescent health: mental health and psychological well-being, physical health, and health behaviors. As described further below, </w:t>
      </w:r>
      <w:r w:rsidRPr="000C2D03">
        <w:rPr>
          <w:rStyle w:val="Emphasis"/>
        </w:rPr>
        <w:t>activism has been linked with indicators of mental health such as self-esteem, empowerment, and self-confidence.</w:t>
      </w:r>
      <w:r w:rsidRPr="00107E4B">
        <w:rPr>
          <w:rFonts w:ascii="Arial" w:eastAsia="Times New Roman" w:hAnsi="Arial" w:cs="Arial"/>
          <w:color w:val="000000"/>
          <w:sz w:val="16"/>
          <w:szCs w:val="16"/>
          <w:lang w:bidi="mr-IN"/>
        </w:rPr>
        <w:t xml:space="preserve"> Volunteerism has been linked to physical health among adolescents, bringing up the intriguing possibility that </w:t>
      </w:r>
      <w:r w:rsidRPr="000C2D03">
        <w:rPr>
          <w:rStyle w:val="Emphasis"/>
        </w:rPr>
        <w:t>certain types of engagement with communities can promote physical health</w:t>
      </w:r>
      <w:r w:rsidRPr="00107E4B">
        <w:rPr>
          <w:rFonts w:ascii="Arial" w:eastAsia="Times New Roman" w:hAnsi="Arial" w:cs="Arial"/>
          <w:color w:val="000000"/>
          <w:sz w:val="16"/>
          <w:szCs w:val="16"/>
          <w:lang w:bidi="mr-IN"/>
        </w:rPr>
        <w:t>, although there is not yet evidence 4 linking activism and physical health. Finally,</w:t>
      </w:r>
      <w:r w:rsidRPr="00107E4B">
        <w:rPr>
          <w:rFonts w:ascii="Arial" w:eastAsia="Times New Roman" w:hAnsi="Arial" w:cs="Arial"/>
          <w:b/>
          <w:bCs/>
          <w:color w:val="000000"/>
          <w:u w:val="single"/>
          <w:lang w:bidi="mr-IN"/>
        </w:rPr>
        <w:t xml:space="preserve"> </w:t>
      </w:r>
      <w:r w:rsidRPr="000C2D03">
        <w:rPr>
          <w:rStyle w:val="Emphasis"/>
        </w:rPr>
        <w:t>activism aims to provide youth with a sense of purpose and a chance to make meaningful community contributions</w:t>
      </w:r>
      <w:r w:rsidRPr="00107E4B">
        <w:rPr>
          <w:rFonts w:ascii="Arial" w:eastAsia="Times New Roman" w:hAnsi="Arial" w:cs="Arial"/>
          <w:b/>
          <w:bCs/>
          <w:color w:val="000000"/>
          <w:u w:val="single"/>
          <w:lang w:bidi="mr-IN"/>
        </w:rPr>
        <w:t>, which can have implications for positive health behaviors</w:t>
      </w:r>
      <w:r w:rsidRPr="00107E4B">
        <w:rPr>
          <w:rFonts w:ascii="Arial" w:eastAsia="Times New Roman" w:hAnsi="Arial" w:cs="Arial"/>
          <w:color w:val="000000"/>
          <w:sz w:val="16"/>
          <w:szCs w:val="16"/>
          <w:lang w:bidi="mr-IN"/>
        </w:rPr>
        <w:t>. For these reasons, the review below includes studies that focus on these three types of health and well-being outcomes. There are troubling disparities in both adolescent health and levels of youth civic engagement across socioeconomic and racial/ethnic lines. On average</w:t>
      </w:r>
      <w:r w:rsidRPr="000C2D03">
        <w:rPr>
          <w:rStyle w:val="Emphasis"/>
        </w:rPr>
        <w:t xml:space="preserve">, youth of color and adolescents from lower socioeconomic backgrounds have poorer health status, measured by </w:t>
      </w:r>
      <w:r w:rsidRPr="000C2D03">
        <w:rPr>
          <w:rStyle w:val="Emphasis"/>
        </w:rPr>
        <w:lastRenderedPageBreak/>
        <w:t xml:space="preserve">markers such as disease (e.g., HIV/AIDS), some indicators of behavioral health (homicide, dating violence, unintended pregnancies), as well as access to health services </w:t>
      </w:r>
      <w:r w:rsidRPr="00107E4B">
        <w:rPr>
          <w:rFonts w:ascii="Arial" w:eastAsia="Times New Roman" w:hAnsi="Arial" w:cs="Arial"/>
          <w:color w:val="000000"/>
          <w:sz w:val="16"/>
          <w:szCs w:val="16"/>
          <w:lang w:bidi="mr-IN"/>
        </w:rPr>
        <w:t xml:space="preserve">(National Association of Social Workers, 2001; Newacheck, Hung, Park, Brindis, &amp; Irwin, 2003). </w:t>
      </w:r>
      <w:r w:rsidRPr="00107E4B">
        <w:rPr>
          <w:rFonts w:ascii="Arial" w:eastAsia="Times New Roman" w:hAnsi="Arial" w:cs="Arial"/>
          <w:b/>
          <w:bCs/>
          <w:color w:val="000000"/>
          <w:u w:val="single"/>
          <w:lang w:bidi="mr-IN"/>
        </w:rPr>
        <w:t xml:space="preserve">At the same time, youth of color and adolescents from lower socioeconomic backgrounds are </w:t>
      </w:r>
      <w:r w:rsidRPr="000C2D03">
        <w:rPr>
          <w:rStyle w:val="Emphasis"/>
        </w:rPr>
        <w:t>presented with fewer opportunities for high quality civic engagement (</w:t>
      </w:r>
      <w:r w:rsidRPr="00107E4B">
        <w:rPr>
          <w:rFonts w:ascii="Arial" w:eastAsia="Times New Roman" w:hAnsi="Arial" w:cs="Arial"/>
          <w:color w:val="000000"/>
          <w:sz w:val="16"/>
          <w:szCs w:val="16"/>
          <w:lang w:bidi="mr-IN"/>
        </w:rPr>
        <w:t xml:space="preserve">Kahne &amp; Middaugh, 2008; Levinson, 2010). We submit that </w:t>
      </w:r>
      <w:r w:rsidRPr="00107E4B">
        <w:rPr>
          <w:rFonts w:ascii="Arial" w:eastAsia="Times New Roman" w:hAnsi="Arial" w:cs="Arial"/>
          <w:b/>
          <w:bCs/>
          <w:color w:val="000000"/>
          <w:u w:val="single"/>
          <w:lang w:bidi="mr-IN"/>
        </w:rPr>
        <w:t xml:space="preserve">these are not unrelated phenomena, but rather, that </w:t>
      </w:r>
      <w:r w:rsidRPr="000C2D03">
        <w:rPr>
          <w:rStyle w:val="Emphasis"/>
        </w:rPr>
        <w:t>the structural realities of socioeconomic hardship and the related opportunity gaps in the US underlie both health and civic disparities. Youth activism can provide a path for young people to lobby for necessary structural changes that might improve community health, while potentially experiencing health benefits of empowerment during the process. Thus, youth activism has the dual potential to affect youth and community health positively</w:t>
      </w:r>
      <w:r w:rsidRPr="00107E4B">
        <w:rPr>
          <w:rFonts w:ascii="Arial" w:eastAsia="Times New Roman" w:hAnsi="Arial" w:cs="Arial"/>
          <w:color w:val="000000"/>
          <w:sz w:val="16"/>
          <w:szCs w:val="16"/>
          <w:lang w:bidi="mr-IN"/>
        </w:rPr>
        <w:t xml:space="preserve"> (Ballard &amp; Syme, 2015). Given the theoretical importance of civic engagement for healthy adolescent development and the disparities in youth civic participation, there has been surprisingly little systematic research on the role of activism for youth health and well-being. Although most youth researchers and practitioners share an assumption that youth activism is beneficial for youth, it is important to provide evidence supporting or challenging this assumption. At a time when youth activism is on the rise as new technologies enable new forms of activism (Kahne, Middaugh, &amp; Allen, 2014), we ask: What does activism mean for healthy youth development?</w:t>
      </w:r>
    </w:p>
    <w:p w14:paraId="52D4CEAF" w14:textId="77777777" w:rsidR="007E3D3F" w:rsidRPr="00107E4B" w:rsidRDefault="007E3D3F" w:rsidP="007E3D3F">
      <w:pPr>
        <w:pStyle w:val="Heading4"/>
      </w:pPr>
      <w:r w:rsidRPr="00107E4B">
        <w:t>The Deadliest Form of Violence is Poverty</w:t>
      </w:r>
    </w:p>
    <w:p w14:paraId="4909FD32" w14:textId="77777777" w:rsidR="007E3D3F" w:rsidRPr="00107E4B" w:rsidRDefault="007E3D3F" w:rsidP="007E3D3F">
      <w:pPr>
        <w:pStyle w:val="NormalWeb"/>
        <w:spacing w:before="0" w:beforeAutospacing="0" w:after="0" w:afterAutospacing="0"/>
      </w:pPr>
      <w:r w:rsidRPr="00107E4B">
        <w:rPr>
          <w:rFonts w:asciiTheme="minorHAnsi" w:hAnsiTheme="minorHAnsi" w:cstheme="minorHAnsi"/>
          <w:b/>
          <w:color w:val="000000"/>
          <w:sz w:val="26"/>
          <w:szCs w:val="26"/>
        </w:rPr>
        <w:t>Abu-Jamal 98</w:t>
      </w:r>
      <w:r w:rsidRPr="00107E4B">
        <w:rPr>
          <w:color w:val="000000"/>
          <w:sz w:val="18"/>
          <w:szCs w:val="18"/>
        </w:rPr>
        <w:t xml:space="preserve"> </w:t>
      </w:r>
      <w:r w:rsidRPr="00107E4B">
        <w:rPr>
          <w:rFonts w:asciiTheme="minorHAnsi" w:hAnsiTheme="minorHAnsi" w:cstheme="minorHAnsi"/>
          <w:color w:val="000000"/>
          <w:sz w:val="22"/>
        </w:rPr>
        <w:t>- (</w:t>
      </w:r>
      <w:r w:rsidRPr="00107E4B">
        <w:rPr>
          <w:rFonts w:asciiTheme="minorHAnsi" w:hAnsiTheme="minorHAnsi" w:cstheme="minorHAnsi"/>
          <w:color w:val="222222"/>
          <w:sz w:val="22"/>
          <w:shd w:val="clear" w:color="auto" w:fill="FFFFFF"/>
        </w:rPr>
        <w:t>Mumia Abu-Jamal is a political activist and journalist who was convicted of murder and sentenced to death in 1982 for the 1981 murder of Philadelphia police officer Daniel Faulkner.)</w:t>
      </w:r>
    </w:p>
    <w:p w14:paraId="1F43370A" w14:textId="77777777" w:rsidR="007E3D3F" w:rsidRPr="00107E4B" w:rsidRDefault="007E3D3F" w:rsidP="007E3D3F">
      <w:pPr>
        <w:pStyle w:val="NormalWeb"/>
        <w:spacing w:before="0" w:beforeAutospacing="0" w:after="0" w:afterAutospacing="0"/>
        <w:rPr>
          <w:rFonts w:asciiTheme="minorHAnsi" w:hAnsiTheme="minorHAnsi" w:cstheme="minorHAnsi"/>
          <w:color w:val="000000"/>
          <w:sz w:val="22"/>
          <w:u w:val="single"/>
        </w:rPr>
      </w:pPr>
      <w:r w:rsidRPr="00107E4B">
        <w:rPr>
          <w:rFonts w:asciiTheme="minorHAnsi" w:hAnsiTheme="minorHAnsi" w:cstheme="minorHAnsi"/>
          <w:color w:val="000000"/>
          <w:sz w:val="22"/>
        </w:rPr>
        <w:t xml:space="preserve">It has often been observed that America is a truly violent nation, as shown by the thousands of cases of social and communal violence that occurs daily in the nation. Every year, some 20,000 people are killed by others, and additional 20,000 folks kill themselves. Add to this the nonlethal violence that Americans daily inflict on each other, and we begin to see the tracings of a nation immersed in a fever of violence. But, as remarkable, and harrowing as this level and degree of violence is, it is, by far, not the most violent features of living in the midst of the American empire. </w:t>
      </w:r>
      <w:r w:rsidRPr="00107E4B">
        <w:rPr>
          <w:rFonts w:asciiTheme="minorHAnsi" w:hAnsiTheme="minorHAnsi" w:cstheme="minorHAnsi"/>
          <w:color w:val="000000"/>
          <w:sz w:val="22"/>
          <w:u w:val="single"/>
        </w:rPr>
        <w:t>We live</w:t>
      </w:r>
      <w:r w:rsidRPr="00107E4B">
        <w:rPr>
          <w:rFonts w:asciiTheme="minorHAnsi" w:hAnsiTheme="minorHAnsi" w:cstheme="minorHAnsi"/>
          <w:color w:val="000000"/>
          <w:sz w:val="22"/>
        </w:rPr>
        <w:t xml:space="preserve">, equally immersed, and to a deeper degree, </w:t>
      </w:r>
      <w:r w:rsidRPr="00107E4B">
        <w:rPr>
          <w:rFonts w:asciiTheme="minorHAnsi" w:hAnsiTheme="minorHAnsi" w:cstheme="minorHAnsi"/>
          <w:color w:val="000000"/>
          <w:sz w:val="22"/>
          <w:u w:val="single"/>
        </w:rPr>
        <w:t>in a nation that condones and ignores wide-ranging "structural' violence, of a kind that destroys human life with a breathtaking ruthlessness.</w:t>
      </w:r>
      <w:r w:rsidRPr="00107E4B">
        <w:rPr>
          <w:rFonts w:asciiTheme="minorHAnsi" w:hAnsiTheme="minorHAnsi" w:cstheme="minorHAnsi"/>
          <w:color w:val="000000"/>
          <w:sz w:val="22"/>
        </w:rPr>
        <w:t xml:space="preserve"> Former Massachusetts prison official and writer, Dr. James Gilligan observes; By "structural violence" I mean the increased rates of death and disability suffered by those who occupy the bottom rungs of society, as contrasted by those who are above them. Those excess deaths (or at least a demonstrably large proportion of them) are a function of the class structure; and that structure is itself a product of society's collective human choices, concerning how to distribute the collective wealth of the society. These are not acts of God. I am contrasting "structural" with "behavioral violence" by which I mean the non-natural deaths and injuries that are caused by specific behavioral actions of individuals against individuals, such as the deaths we attribute to homicide, suicide, soldiers in warfare, capital punishment, and so on. --(Gilligan, J., MD, Violence: Reflections On a National Epidemic (New York: Vintage, 1996), 192.) </w:t>
      </w:r>
      <w:r w:rsidRPr="00107E4B">
        <w:rPr>
          <w:rFonts w:asciiTheme="minorHAnsi" w:hAnsiTheme="minorHAnsi" w:cstheme="minorHAnsi"/>
          <w:color w:val="000000"/>
          <w:sz w:val="22"/>
          <w:u w:val="single"/>
        </w:rPr>
        <w:t>This form of violence</w:t>
      </w:r>
      <w:r w:rsidRPr="00107E4B">
        <w:rPr>
          <w:rFonts w:asciiTheme="minorHAnsi" w:hAnsiTheme="minorHAnsi" w:cstheme="minorHAnsi"/>
          <w:color w:val="000000"/>
          <w:sz w:val="22"/>
        </w:rPr>
        <w:t xml:space="preserve">, </w:t>
      </w:r>
      <w:r w:rsidRPr="00107E4B">
        <w:rPr>
          <w:rFonts w:asciiTheme="minorHAnsi" w:hAnsiTheme="minorHAnsi" w:cstheme="minorHAnsi"/>
          <w:color w:val="000000"/>
          <w:sz w:val="22"/>
          <w:u w:val="single"/>
        </w:rPr>
        <w:t>not covered by any of the majoritarian, corporate, ruling-class protected media, is invisible to us</w:t>
      </w:r>
      <w:r w:rsidRPr="00107E4B">
        <w:rPr>
          <w:rFonts w:asciiTheme="minorHAnsi" w:hAnsiTheme="minorHAnsi" w:cstheme="minorHAnsi"/>
          <w:color w:val="000000"/>
          <w:sz w:val="22"/>
        </w:rPr>
        <w:t xml:space="preserve"> </w:t>
      </w:r>
      <w:r w:rsidRPr="00107E4B">
        <w:rPr>
          <w:rFonts w:asciiTheme="minorHAnsi" w:hAnsiTheme="minorHAnsi" w:cstheme="minorHAnsi"/>
          <w:color w:val="000000"/>
          <w:sz w:val="22"/>
          <w:u w:val="single"/>
        </w:rPr>
        <w:t>and because of its invisibility, all the more insidious.</w:t>
      </w:r>
      <w:r w:rsidRPr="00107E4B">
        <w:rPr>
          <w:rFonts w:asciiTheme="minorHAnsi" w:hAnsiTheme="minorHAnsi" w:cstheme="minorHAnsi"/>
          <w:color w:val="000000"/>
          <w:sz w:val="22"/>
        </w:rPr>
        <w:t xml:space="preserve"> How dangerous is it--really? Gilligan notes: </w:t>
      </w:r>
      <w:r w:rsidRPr="00107E4B">
        <w:rPr>
          <w:rFonts w:asciiTheme="minorHAnsi" w:hAnsiTheme="minorHAnsi" w:cstheme="minorHAnsi"/>
          <w:color w:val="000000"/>
          <w:sz w:val="22"/>
          <w:u w:val="single"/>
        </w:rPr>
        <w:t>[E]very fifteen years</w:t>
      </w:r>
      <w:r w:rsidRPr="00107E4B">
        <w:rPr>
          <w:rFonts w:asciiTheme="minorHAnsi" w:hAnsiTheme="minorHAnsi" w:cstheme="minorHAnsi"/>
          <w:color w:val="000000"/>
          <w:sz w:val="22"/>
        </w:rPr>
        <w:t xml:space="preserve">, on the average, </w:t>
      </w:r>
      <w:r w:rsidRPr="00107E4B">
        <w:rPr>
          <w:rFonts w:asciiTheme="minorHAnsi" w:hAnsiTheme="minorHAnsi" w:cstheme="minorHAnsi"/>
          <w:color w:val="000000"/>
          <w:sz w:val="22"/>
          <w:u w:val="single"/>
        </w:rPr>
        <w:t>as many people die because of relative poverty as would be killed in a nuclear war that caused 232 million deaths</w:t>
      </w:r>
      <w:r w:rsidRPr="00107E4B">
        <w:rPr>
          <w:rFonts w:asciiTheme="minorHAnsi" w:hAnsiTheme="minorHAnsi" w:cstheme="minorHAnsi"/>
          <w:color w:val="000000"/>
          <w:sz w:val="22"/>
        </w:rPr>
        <w:t xml:space="preserve">; and </w:t>
      </w:r>
      <w:r w:rsidRPr="00107E4B">
        <w:rPr>
          <w:rFonts w:asciiTheme="minorHAnsi" w:hAnsiTheme="minorHAnsi" w:cstheme="minorHAnsi"/>
          <w:color w:val="000000"/>
          <w:sz w:val="22"/>
          <w:u w:val="single"/>
        </w:rPr>
        <w:t>every single year</w:t>
      </w:r>
      <w:r w:rsidRPr="00107E4B">
        <w:rPr>
          <w:rFonts w:asciiTheme="minorHAnsi" w:hAnsiTheme="minorHAnsi" w:cstheme="minorHAnsi"/>
          <w:color w:val="000000"/>
          <w:sz w:val="22"/>
        </w:rPr>
        <w:t xml:space="preserve">, </w:t>
      </w:r>
      <w:r w:rsidRPr="00107E4B">
        <w:rPr>
          <w:rFonts w:asciiTheme="minorHAnsi" w:hAnsiTheme="minorHAnsi" w:cstheme="minorHAnsi"/>
          <w:color w:val="000000"/>
          <w:sz w:val="22"/>
          <w:u w:val="single"/>
        </w:rPr>
        <w:t>two to three times as many people die from poverty throughout the world as were killed by the Nazi genocide of the Jews over a six-year period</w:t>
      </w:r>
      <w:r w:rsidRPr="00107E4B">
        <w:rPr>
          <w:rFonts w:asciiTheme="minorHAnsi" w:hAnsiTheme="minorHAnsi" w:cstheme="minorHAnsi"/>
          <w:color w:val="000000"/>
          <w:sz w:val="22"/>
        </w:rPr>
        <w:t xml:space="preserve">. </w:t>
      </w:r>
      <w:r w:rsidRPr="00107E4B">
        <w:rPr>
          <w:rFonts w:asciiTheme="minorHAnsi" w:hAnsiTheme="minorHAnsi" w:cstheme="minorHAnsi"/>
          <w:color w:val="000000"/>
          <w:sz w:val="22"/>
          <w:u w:val="single"/>
        </w:rPr>
        <w:t>This is</w:t>
      </w:r>
      <w:r w:rsidRPr="00107E4B">
        <w:rPr>
          <w:rFonts w:asciiTheme="minorHAnsi" w:hAnsiTheme="minorHAnsi" w:cstheme="minorHAnsi"/>
          <w:color w:val="000000"/>
          <w:sz w:val="22"/>
        </w:rPr>
        <w:t xml:space="preserve">, in effect, </w:t>
      </w:r>
      <w:r w:rsidRPr="00107E4B">
        <w:rPr>
          <w:rFonts w:asciiTheme="minorHAnsi" w:hAnsiTheme="minorHAnsi" w:cstheme="minorHAnsi"/>
          <w:color w:val="000000"/>
          <w:sz w:val="22"/>
          <w:u w:val="single"/>
        </w:rPr>
        <w:t>the equivalent of an</w:t>
      </w:r>
      <w:r w:rsidRPr="00107E4B">
        <w:rPr>
          <w:rFonts w:asciiTheme="minorHAnsi" w:hAnsiTheme="minorHAnsi" w:cstheme="minorHAnsi"/>
          <w:color w:val="000000"/>
          <w:sz w:val="22"/>
        </w:rPr>
        <w:t xml:space="preserve"> ongoing, </w:t>
      </w:r>
      <w:r w:rsidRPr="00107E4B">
        <w:rPr>
          <w:rFonts w:asciiTheme="minorHAnsi" w:hAnsiTheme="minorHAnsi" w:cstheme="minorHAnsi"/>
          <w:color w:val="000000"/>
          <w:sz w:val="22"/>
          <w:u w:val="single"/>
        </w:rPr>
        <w:t>unending</w:t>
      </w:r>
      <w:r w:rsidRPr="00107E4B">
        <w:rPr>
          <w:rFonts w:asciiTheme="minorHAnsi" w:hAnsiTheme="minorHAnsi" w:cstheme="minorHAnsi"/>
          <w:color w:val="000000"/>
          <w:sz w:val="22"/>
        </w:rPr>
        <w:t xml:space="preserve">, in fact </w:t>
      </w:r>
      <w:r w:rsidRPr="00107E4B">
        <w:rPr>
          <w:rFonts w:asciiTheme="minorHAnsi" w:hAnsiTheme="minorHAnsi" w:cstheme="minorHAnsi"/>
          <w:color w:val="000000"/>
          <w:sz w:val="22"/>
          <w:u w:val="single"/>
        </w:rPr>
        <w:t>accelerating</w:t>
      </w:r>
      <w:r w:rsidRPr="00107E4B">
        <w:rPr>
          <w:rFonts w:asciiTheme="minorHAnsi" w:hAnsiTheme="minorHAnsi" w:cstheme="minorHAnsi"/>
          <w:color w:val="000000"/>
          <w:sz w:val="22"/>
        </w:rPr>
        <w:t xml:space="preserve">, </w:t>
      </w:r>
      <w:r w:rsidRPr="00107E4B">
        <w:rPr>
          <w:rFonts w:asciiTheme="minorHAnsi" w:hAnsiTheme="minorHAnsi" w:cstheme="minorHAnsi"/>
          <w:color w:val="000000"/>
          <w:sz w:val="22"/>
          <w:u w:val="single"/>
        </w:rPr>
        <w:t>thermonuclear war, or genocide on the weak and poor every year of every decade, throughout the world.</w:t>
      </w:r>
      <w:r w:rsidRPr="00107E4B">
        <w:rPr>
          <w:rFonts w:asciiTheme="minorHAnsi" w:hAnsiTheme="minorHAnsi" w:cstheme="minorHAnsi"/>
          <w:color w:val="000000"/>
          <w:sz w:val="22"/>
        </w:rPr>
        <w:t xml:space="preserve"> [Gilligan, p. 196] Worse still, </w:t>
      </w:r>
      <w:r w:rsidRPr="00107E4B">
        <w:rPr>
          <w:rFonts w:asciiTheme="minorHAnsi" w:hAnsiTheme="minorHAnsi" w:cstheme="minorHAnsi"/>
          <w:color w:val="000000"/>
          <w:sz w:val="22"/>
          <w:u w:val="single"/>
        </w:rPr>
        <w:t>in a</w:t>
      </w:r>
      <w:r w:rsidRPr="00107E4B">
        <w:rPr>
          <w:rFonts w:asciiTheme="minorHAnsi" w:hAnsiTheme="minorHAnsi" w:cstheme="minorHAnsi"/>
          <w:color w:val="000000"/>
          <w:sz w:val="22"/>
        </w:rPr>
        <w:t xml:space="preserve"> thoroughly </w:t>
      </w:r>
      <w:r w:rsidRPr="00107E4B">
        <w:rPr>
          <w:rFonts w:asciiTheme="minorHAnsi" w:hAnsiTheme="minorHAnsi" w:cstheme="minorHAnsi"/>
          <w:color w:val="000000"/>
          <w:sz w:val="22"/>
          <w:u w:val="single"/>
        </w:rPr>
        <w:t>capitalist society</w:t>
      </w:r>
      <w:r w:rsidRPr="00107E4B">
        <w:rPr>
          <w:rFonts w:asciiTheme="minorHAnsi" w:hAnsiTheme="minorHAnsi" w:cstheme="minorHAnsi"/>
          <w:color w:val="000000"/>
          <w:sz w:val="22"/>
        </w:rPr>
        <w:t xml:space="preserve">, much of </w:t>
      </w:r>
      <w:r w:rsidRPr="00107E4B">
        <w:rPr>
          <w:rFonts w:asciiTheme="minorHAnsi" w:hAnsiTheme="minorHAnsi" w:cstheme="minorHAnsi"/>
          <w:color w:val="000000"/>
          <w:sz w:val="22"/>
          <w:u w:val="single"/>
        </w:rPr>
        <w:t>that violence became internalized</w:t>
      </w:r>
      <w:r w:rsidRPr="00107E4B">
        <w:rPr>
          <w:rFonts w:asciiTheme="minorHAnsi" w:hAnsiTheme="minorHAnsi" w:cstheme="minorHAnsi"/>
          <w:color w:val="000000"/>
          <w:sz w:val="22"/>
        </w:rPr>
        <w:t xml:space="preserve">, </w:t>
      </w:r>
      <w:r w:rsidRPr="00107E4B">
        <w:rPr>
          <w:rFonts w:asciiTheme="minorHAnsi" w:hAnsiTheme="minorHAnsi" w:cstheme="minorHAnsi"/>
          <w:color w:val="000000"/>
          <w:sz w:val="22"/>
          <w:u w:val="single"/>
        </w:rPr>
        <w:t>turned back on the Self</w:t>
      </w:r>
      <w:r w:rsidRPr="00107E4B">
        <w:rPr>
          <w:rFonts w:asciiTheme="minorHAnsi" w:hAnsiTheme="minorHAnsi" w:cstheme="minorHAnsi"/>
          <w:color w:val="000000"/>
          <w:sz w:val="22"/>
        </w:rPr>
        <w:t xml:space="preserve">, </w:t>
      </w:r>
      <w:r w:rsidRPr="00107E4B">
        <w:rPr>
          <w:rFonts w:asciiTheme="minorHAnsi" w:hAnsiTheme="minorHAnsi" w:cstheme="minorHAnsi"/>
          <w:color w:val="000000"/>
          <w:sz w:val="22"/>
          <w:u w:val="single"/>
        </w:rPr>
        <w:t>because</w:t>
      </w:r>
      <w:r w:rsidRPr="00107E4B">
        <w:rPr>
          <w:rFonts w:asciiTheme="minorHAnsi" w:hAnsiTheme="minorHAnsi" w:cstheme="minorHAnsi"/>
          <w:color w:val="000000"/>
          <w:sz w:val="22"/>
        </w:rPr>
        <w:t xml:space="preserve">, in a society based on the priority of wealth, </w:t>
      </w:r>
      <w:r w:rsidRPr="00107E4B">
        <w:rPr>
          <w:rFonts w:asciiTheme="minorHAnsi" w:hAnsiTheme="minorHAnsi" w:cstheme="minorHAnsi"/>
          <w:color w:val="000000"/>
          <w:sz w:val="22"/>
          <w:u w:val="single"/>
        </w:rPr>
        <w:t xml:space="preserve">those who own nothing are taught to </w:t>
      </w:r>
      <w:r w:rsidRPr="00107E4B">
        <w:rPr>
          <w:rFonts w:asciiTheme="minorHAnsi" w:hAnsiTheme="minorHAnsi" w:cstheme="minorHAnsi"/>
          <w:color w:val="000000"/>
          <w:sz w:val="22"/>
          <w:u w:val="single"/>
        </w:rPr>
        <w:lastRenderedPageBreak/>
        <w:t>loathe themselves</w:t>
      </w:r>
      <w:r w:rsidRPr="00107E4B">
        <w:rPr>
          <w:rFonts w:asciiTheme="minorHAnsi" w:hAnsiTheme="minorHAnsi" w:cstheme="minorHAnsi"/>
          <w:color w:val="000000"/>
          <w:sz w:val="22"/>
        </w:rPr>
        <w:t xml:space="preserve">, as if something is inherently wrong with themselves, instead of the social order that promotes this self-loathing. </w:t>
      </w:r>
      <w:r w:rsidRPr="00107E4B">
        <w:rPr>
          <w:rFonts w:asciiTheme="minorHAnsi" w:hAnsiTheme="minorHAnsi" w:cstheme="minorHAnsi"/>
          <w:color w:val="000000"/>
          <w:sz w:val="22"/>
          <w:u w:val="single"/>
        </w:rPr>
        <w:t>This intense self-hatred was often manifested in familial violence</w:t>
      </w:r>
      <w:r w:rsidRPr="00107E4B">
        <w:rPr>
          <w:rFonts w:asciiTheme="minorHAnsi" w:hAnsiTheme="minorHAnsi" w:cstheme="minorHAnsi"/>
          <w:color w:val="000000"/>
          <w:sz w:val="22"/>
        </w:rPr>
        <w:t xml:space="preserve"> as when the husband beats the wife, the wife smacks the son, and the kids fight each other. </w:t>
      </w:r>
      <w:r w:rsidRPr="00107E4B">
        <w:rPr>
          <w:rFonts w:asciiTheme="minorHAnsi" w:hAnsiTheme="minorHAnsi" w:cstheme="minorHAnsi"/>
          <w:color w:val="000000"/>
          <w:sz w:val="22"/>
          <w:u w:val="single"/>
        </w:rPr>
        <w:t>This</w:t>
      </w:r>
      <w:r w:rsidRPr="00107E4B">
        <w:rPr>
          <w:rFonts w:asciiTheme="minorHAnsi" w:hAnsiTheme="minorHAnsi" w:cstheme="minorHAnsi"/>
          <w:color w:val="000000"/>
          <w:sz w:val="22"/>
        </w:rPr>
        <w:t xml:space="preserve"> vicious, </w:t>
      </w:r>
      <w:r w:rsidRPr="00107E4B">
        <w:rPr>
          <w:rFonts w:asciiTheme="minorHAnsi" w:hAnsiTheme="minorHAnsi" w:cstheme="minorHAnsi"/>
          <w:color w:val="000000"/>
          <w:sz w:val="22"/>
          <w:u w:val="single"/>
        </w:rPr>
        <w:t>circular</w:t>
      </w:r>
      <w:r w:rsidRPr="00107E4B">
        <w:rPr>
          <w:rFonts w:asciiTheme="minorHAnsi" w:hAnsiTheme="minorHAnsi" w:cstheme="minorHAnsi"/>
          <w:color w:val="000000"/>
          <w:sz w:val="22"/>
        </w:rPr>
        <w:t xml:space="preserve">, and invisible </w:t>
      </w:r>
      <w:r w:rsidRPr="00107E4B">
        <w:rPr>
          <w:rFonts w:asciiTheme="minorHAnsi" w:hAnsiTheme="minorHAnsi" w:cstheme="minorHAnsi"/>
          <w:color w:val="000000"/>
          <w:sz w:val="22"/>
          <w:u w:val="single"/>
        </w:rPr>
        <w:t>violence</w:t>
      </w:r>
      <w:r w:rsidRPr="00107E4B">
        <w:rPr>
          <w:rFonts w:asciiTheme="minorHAnsi" w:hAnsiTheme="minorHAnsi" w:cstheme="minorHAnsi"/>
          <w:color w:val="000000"/>
          <w:sz w:val="22"/>
        </w:rPr>
        <w:t xml:space="preserve">, </w:t>
      </w:r>
      <w:r w:rsidRPr="00107E4B">
        <w:rPr>
          <w:rFonts w:asciiTheme="minorHAnsi" w:hAnsiTheme="minorHAnsi" w:cstheme="minorHAnsi"/>
          <w:color w:val="000000"/>
          <w:sz w:val="22"/>
          <w:u w:val="single"/>
        </w:rPr>
        <w:t>unacknowledged by the corporate media, uncriticized in substandard educational systems,</w:t>
      </w:r>
      <w:r w:rsidRPr="00107E4B">
        <w:rPr>
          <w:rFonts w:asciiTheme="minorHAnsi" w:hAnsiTheme="minorHAnsi" w:cstheme="minorHAnsi"/>
          <w:color w:val="000000"/>
          <w:sz w:val="22"/>
        </w:rPr>
        <w:t xml:space="preserve"> and un- understood by the very folks who suffer in its grips, </w:t>
      </w:r>
      <w:r w:rsidRPr="00107E4B">
        <w:rPr>
          <w:rFonts w:asciiTheme="minorHAnsi" w:hAnsiTheme="minorHAnsi" w:cstheme="minorHAnsi"/>
          <w:color w:val="000000"/>
          <w:sz w:val="22"/>
          <w:u w:val="single"/>
        </w:rPr>
        <w:t>feeds on the</w:t>
      </w:r>
      <w:r w:rsidRPr="00107E4B">
        <w:rPr>
          <w:rFonts w:asciiTheme="minorHAnsi" w:hAnsiTheme="minorHAnsi" w:cstheme="minorHAnsi"/>
          <w:color w:val="000000"/>
          <w:sz w:val="22"/>
        </w:rPr>
        <w:t xml:space="preserve"> spectacular and </w:t>
      </w:r>
      <w:r w:rsidRPr="00107E4B">
        <w:rPr>
          <w:rFonts w:asciiTheme="minorHAnsi" w:hAnsiTheme="minorHAnsi" w:cstheme="minorHAnsi"/>
          <w:color w:val="000000"/>
          <w:sz w:val="22"/>
          <w:u w:val="single"/>
        </w:rPr>
        <w:t xml:space="preserve">more common forms of violence </w:t>
      </w:r>
      <w:r w:rsidRPr="00107E4B">
        <w:rPr>
          <w:rFonts w:asciiTheme="minorHAnsi" w:hAnsiTheme="minorHAnsi" w:cstheme="minorHAnsi"/>
          <w:color w:val="000000"/>
          <w:sz w:val="22"/>
        </w:rPr>
        <w:t xml:space="preserve">that the system makes damn sure -that we can recognize and must react to it. </w:t>
      </w:r>
      <w:r w:rsidRPr="00107E4B">
        <w:rPr>
          <w:rFonts w:asciiTheme="minorHAnsi" w:hAnsiTheme="minorHAnsi" w:cstheme="minorHAnsi"/>
          <w:color w:val="000000"/>
          <w:sz w:val="22"/>
          <w:u w:val="single"/>
        </w:rPr>
        <w:t>This fatal and systematic violence may be called The War on the Poor</w:t>
      </w:r>
      <w:r w:rsidRPr="00107E4B">
        <w:rPr>
          <w:rFonts w:asciiTheme="minorHAnsi" w:hAnsiTheme="minorHAnsi" w:cstheme="minorHAnsi"/>
          <w:color w:val="000000"/>
          <w:sz w:val="22"/>
        </w:rPr>
        <w:t xml:space="preserve">. </w:t>
      </w:r>
      <w:r w:rsidRPr="00107E4B">
        <w:rPr>
          <w:rFonts w:asciiTheme="minorHAnsi" w:hAnsiTheme="minorHAnsi" w:cstheme="minorHAnsi"/>
          <w:color w:val="000000"/>
          <w:sz w:val="22"/>
          <w:u w:val="single"/>
        </w:rPr>
        <w:t>It is found in every country</w:t>
      </w:r>
      <w:r w:rsidRPr="00107E4B">
        <w:rPr>
          <w:rFonts w:asciiTheme="minorHAnsi" w:hAnsiTheme="minorHAnsi" w:cstheme="minorHAnsi"/>
          <w:color w:val="000000"/>
          <w:sz w:val="22"/>
        </w:rPr>
        <w:t xml:space="preserve">, submerged beneath the sands of history, </w:t>
      </w:r>
      <w:r w:rsidRPr="00107E4B">
        <w:rPr>
          <w:rFonts w:asciiTheme="minorHAnsi" w:hAnsiTheme="minorHAnsi" w:cstheme="minorHAnsi"/>
          <w:color w:val="000000"/>
          <w:sz w:val="22"/>
          <w:u w:val="single"/>
        </w:rPr>
        <w:t>buried</w:t>
      </w:r>
      <w:r w:rsidRPr="00107E4B">
        <w:rPr>
          <w:rFonts w:asciiTheme="minorHAnsi" w:hAnsiTheme="minorHAnsi" w:cstheme="minorHAnsi"/>
          <w:color w:val="000000"/>
          <w:sz w:val="22"/>
        </w:rPr>
        <w:t xml:space="preserve">, </w:t>
      </w:r>
      <w:r w:rsidRPr="00107E4B">
        <w:rPr>
          <w:rFonts w:asciiTheme="minorHAnsi" w:hAnsiTheme="minorHAnsi" w:cstheme="minorHAnsi"/>
          <w:color w:val="000000"/>
          <w:sz w:val="22"/>
          <w:u w:val="single"/>
        </w:rPr>
        <w:t>yet ever present, as omnipotent as death</w:t>
      </w:r>
      <w:r w:rsidRPr="00107E4B">
        <w:rPr>
          <w:rFonts w:asciiTheme="minorHAnsi" w:hAnsiTheme="minorHAnsi" w:cstheme="minorHAnsi"/>
          <w:color w:val="000000"/>
          <w:sz w:val="22"/>
        </w:rPr>
        <w:t xml:space="preserve">. In the struggles over the commons in Europe, when the peasants struggled and lost their battles for their commonal lands (a precursor to similar struggles throughout Africa and the Americas), this violence was sanctified, by church and crown, as the 'Divine Right of Kings' to the spoils of class battle. Scholars Frances Fox-Piven and Richard A Cloward wrote, in The New Class War (Pantheon, 1982/1985): They did not lose because landowners were immune to burning and preaching and rioting. They lost because the usurpations of owners were regularly defended by the legal authority and the armed force of the state. </w:t>
      </w:r>
      <w:r w:rsidRPr="00107E4B">
        <w:rPr>
          <w:rFonts w:asciiTheme="minorHAnsi" w:hAnsiTheme="minorHAnsi" w:cstheme="minorHAnsi"/>
          <w:color w:val="000000"/>
          <w:sz w:val="22"/>
          <w:u w:val="single"/>
        </w:rPr>
        <w:t>It was the state that imposed increased taxes or enforced the payment of increased rents</w:t>
      </w:r>
      <w:r w:rsidRPr="00107E4B">
        <w:rPr>
          <w:rFonts w:asciiTheme="minorHAnsi" w:hAnsiTheme="minorHAnsi" w:cstheme="minorHAnsi"/>
          <w:color w:val="000000"/>
          <w:sz w:val="22"/>
        </w:rPr>
        <w:t xml:space="preserve">, and evicted or jailed those who could not pay the resulting debts. </w:t>
      </w:r>
      <w:r w:rsidRPr="00107E4B">
        <w:rPr>
          <w:rFonts w:asciiTheme="minorHAnsi" w:hAnsiTheme="minorHAnsi" w:cstheme="minorHAnsi"/>
          <w:color w:val="000000"/>
          <w:sz w:val="22"/>
          <w:u w:val="single"/>
        </w:rPr>
        <w:t>It was the state that made lawful the appropriation by landowners</w:t>
      </w:r>
      <w:r w:rsidRPr="00107E4B">
        <w:rPr>
          <w:rFonts w:asciiTheme="minorHAnsi" w:hAnsiTheme="minorHAnsi" w:cstheme="minorHAnsi"/>
          <w:color w:val="000000"/>
          <w:sz w:val="22"/>
        </w:rPr>
        <w:t xml:space="preserve"> of the forests, streams, and commons, and </w:t>
      </w:r>
      <w:r w:rsidRPr="00107E4B">
        <w:rPr>
          <w:rFonts w:asciiTheme="minorHAnsi" w:hAnsiTheme="minorHAnsi" w:cstheme="minorHAnsi"/>
          <w:color w:val="000000"/>
          <w:sz w:val="22"/>
          <w:u w:val="single"/>
        </w:rPr>
        <w:t>imposed terrifying penalties on those who persisted in claiming the old rights to these resources</w:t>
      </w:r>
      <w:r w:rsidRPr="00107E4B">
        <w:rPr>
          <w:rFonts w:asciiTheme="minorHAnsi" w:hAnsiTheme="minorHAnsi" w:cstheme="minorHAnsi"/>
          <w:color w:val="000000"/>
          <w:sz w:val="22"/>
        </w:rPr>
        <w:t xml:space="preserve">. It was the state that freed serfs or emancipated sharecroppers only to leave them landless. (52) </w:t>
      </w:r>
      <w:r w:rsidRPr="00107E4B">
        <w:rPr>
          <w:rFonts w:asciiTheme="minorHAnsi" w:hAnsiTheme="minorHAnsi" w:cstheme="minorHAnsi"/>
          <w:color w:val="000000"/>
          <w:sz w:val="22"/>
          <w:u w:val="single"/>
        </w:rPr>
        <w:t>The "Law", then, was a tool of the powerful to protect their interests, then, as now. It was a weapon against the poor and impoverished, then, as now.</w:t>
      </w:r>
      <w:r w:rsidRPr="00107E4B">
        <w:rPr>
          <w:rFonts w:asciiTheme="minorHAnsi" w:hAnsiTheme="minorHAnsi" w:cstheme="minorHAnsi"/>
          <w:color w:val="000000"/>
          <w:sz w:val="22"/>
        </w:rPr>
        <w:t xml:space="preserve"> It punished retail violence, while turning a blind eye to the wholesale violence daily done by their class masters. </w:t>
      </w:r>
      <w:r w:rsidRPr="00107E4B">
        <w:rPr>
          <w:rFonts w:asciiTheme="minorHAnsi" w:hAnsiTheme="minorHAnsi" w:cstheme="minorHAnsi"/>
          <w:color w:val="000000"/>
          <w:sz w:val="22"/>
          <w:u w:val="single"/>
        </w:rPr>
        <w:t>The law was, and is, a tool of state power, utilized to protect the status quo, no matter how oppressive that status was, or is.</w:t>
      </w:r>
      <w:r w:rsidRPr="00107E4B">
        <w:rPr>
          <w:rFonts w:asciiTheme="minorHAnsi" w:hAnsiTheme="minorHAnsi" w:cstheme="minorHAnsi"/>
          <w:color w:val="000000"/>
          <w:sz w:val="22"/>
        </w:rPr>
        <w:t xml:space="preserve"> Systems are essentially ways of doing things that have concretized into tradition, and custom, without regard to the rightness of those ways. </w:t>
      </w:r>
      <w:r w:rsidRPr="00107E4B">
        <w:rPr>
          <w:rFonts w:asciiTheme="minorHAnsi" w:hAnsiTheme="minorHAnsi" w:cstheme="minorHAnsi"/>
          <w:color w:val="000000"/>
          <w:sz w:val="22"/>
          <w:u w:val="single"/>
        </w:rPr>
        <w:t xml:space="preserve">No system that causes this kind of harm to people should be allowed to remain, based solely upon its time in existence. Systems must serve life, or be discarded as a threat and a danger to life. Such systems must pass away, so that their great and terrible violence passes away with them. </w:t>
      </w:r>
    </w:p>
    <w:p w14:paraId="70A3463C" w14:textId="77777777" w:rsidR="007E3D3F" w:rsidRPr="00107E4B" w:rsidRDefault="007E3D3F" w:rsidP="007E3D3F">
      <w:pPr>
        <w:pStyle w:val="NormalWeb"/>
        <w:spacing w:before="0" w:beforeAutospacing="0" w:after="0" w:afterAutospacing="0"/>
        <w:rPr>
          <w:rFonts w:asciiTheme="minorHAnsi" w:hAnsiTheme="minorHAnsi" w:cstheme="minorHAnsi"/>
          <w:color w:val="000000"/>
          <w:sz w:val="22"/>
          <w:u w:val="single"/>
        </w:rPr>
      </w:pPr>
    </w:p>
    <w:p w14:paraId="42CA5033" w14:textId="77777777" w:rsidR="007E3D3F" w:rsidRPr="00107E4B" w:rsidRDefault="007E3D3F" w:rsidP="007E3D3F">
      <w:pPr>
        <w:spacing w:line="240" w:lineRule="auto"/>
        <w:rPr>
          <w:rFonts w:eastAsia="Times New Roman" w:cs="Times New Roman"/>
          <w:lang w:bidi="mr-IN"/>
        </w:rPr>
      </w:pPr>
    </w:p>
    <w:p w14:paraId="66739DA6" w14:textId="77777777" w:rsidR="007E3D3F" w:rsidRPr="00107E4B" w:rsidRDefault="007E3D3F" w:rsidP="007E3D3F">
      <w:pPr>
        <w:pStyle w:val="Heading4"/>
        <w:rPr>
          <w:rFonts w:eastAsia="Times New Roman"/>
          <w:szCs w:val="24"/>
          <w:lang w:bidi="mr-IN"/>
        </w:rPr>
      </w:pPr>
      <w:r w:rsidRPr="00107E4B">
        <w:rPr>
          <w:rFonts w:eastAsia="Times New Roman"/>
          <w:lang w:bidi="mr-IN"/>
        </w:rPr>
        <w:t>The aff’s method of debate excludes voices that are not heard from the debate space. They only focus on creating change based on personal gain, not taking into account the experiences of those who will be affected by this change. Activist education is the best mode of debate – it is inherently more inclusive and allows the state to be checked by its people.</w:t>
      </w:r>
    </w:p>
    <w:p w14:paraId="7C73E36F" w14:textId="77777777" w:rsidR="007E3D3F" w:rsidRPr="00107E4B" w:rsidRDefault="007E3D3F" w:rsidP="007E3D3F">
      <w:pPr>
        <w:spacing w:before="240" w:after="40" w:line="240" w:lineRule="auto"/>
        <w:rPr>
          <w:rFonts w:eastAsia="Times New Roman" w:cs="Times New Roman"/>
          <w:lang w:bidi="mr-IN"/>
        </w:rPr>
      </w:pPr>
      <w:r w:rsidRPr="00107E4B">
        <w:rPr>
          <w:rStyle w:val="Style13ptBold"/>
          <w:lang w:bidi="mr-IN"/>
        </w:rPr>
        <w:t>Young 01</w:t>
      </w:r>
      <w:r w:rsidRPr="00107E4B">
        <w:rPr>
          <w:rFonts w:ascii="Arial" w:eastAsia="Times New Roman" w:hAnsi="Arial" w:cs="Arial"/>
          <w:b/>
          <w:bCs/>
          <w:color w:val="000000"/>
          <w:lang w:bidi="mr-IN"/>
        </w:rPr>
        <w:t xml:space="preserve"> </w:t>
      </w:r>
      <w:r w:rsidRPr="00107E4B">
        <w:rPr>
          <w:rFonts w:ascii="Arial" w:eastAsia="Times New Roman" w:hAnsi="Arial" w:cs="Arial"/>
          <w:color w:val="000000"/>
          <w:sz w:val="16"/>
          <w:szCs w:val="16"/>
          <w:lang w:bidi="mr-IN"/>
        </w:rPr>
        <w:t>(Iris Marion Young, “Activist Challenges to Deliberative Democracy”, pg. 675-678, https://www.jstor.org/stable/pdf/3072534.pdf?refreqid=search%3Acf3fd94d9aec2b5a5dd03705b742f9bc)</w:t>
      </w:r>
    </w:p>
    <w:p w14:paraId="04E91C61" w14:textId="77777777" w:rsidR="007E3D3F" w:rsidRPr="00107E4B" w:rsidRDefault="007E3D3F" w:rsidP="007E3D3F">
      <w:pPr>
        <w:spacing w:before="240" w:after="40" w:line="240" w:lineRule="auto"/>
        <w:rPr>
          <w:rFonts w:ascii="Arial" w:eastAsia="Times New Roman" w:hAnsi="Arial" w:cs="Arial"/>
          <w:color w:val="000000"/>
          <w:u w:val="single"/>
          <w:lang w:bidi="mr-IN"/>
        </w:rPr>
      </w:pPr>
      <w:r w:rsidRPr="00107E4B">
        <w:rPr>
          <w:rFonts w:ascii="Arial" w:eastAsia="Times New Roman" w:hAnsi="Arial" w:cs="Arial"/>
          <w:color w:val="000000"/>
          <w:sz w:val="12"/>
          <w:szCs w:val="12"/>
          <w:lang w:bidi="mr-IN"/>
        </w:rPr>
        <w:t>The deliberative democrat might claim that the stance of the activist is unreasonable. Reasonable political engagement, on this account, consists of the willingness to listen to those whom one believes is wrong, to demand reasons from them, and to give arguments aimed at persuading them to change their views. For the most part, the activist declines so to engage persons he disagrees with. Rather than on reason, according to this deliberative democrat, the activist relies on emotional appeal, slogans, irony, and disruptive tactics to protest and make his claims. It is common in the political life of many democracies thus to label an activist stance unreasonable and even "extremist." One can interpret such blanket labeling itself as a power ploy whose function is to rule out of bounds all claims that question something basic about existing institutions and the terms in which they put political alternatives. It is important, therefore, to consider the activist answer to the charge of being an irrational extremist: it relies on far too narrow an understanding of what is reasonable</w:t>
      </w:r>
      <w:r w:rsidRPr="00107E4B">
        <w:rPr>
          <w:rFonts w:ascii="Arial" w:eastAsia="Times New Roman" w:hAnsi="Arial" w:cs="Arial"/>
          <w:b/>
          <w:bCs/>
          <w:i/>
          <w:iCs/>
          <w:color w:val="000000"/>
          <w:lang w:bidi="mr-IN"/>
        </w:rPr>
        <w:t>.</w:t>
      </w:r>
      <w:r w:rsidRPr="00107E4B">
        <w:rPr>
          <w:rFonts w:ascii="Arial" w:eastAsia="Times New Roman" w:hAnsi="Arial" w:cs="Arial"/>
          <w:b/>
          <w:bCs/>
          <w:color w:val="000000"/>
          <w:u w:val="single"/>
          <w:lang w:bidi="mr-IN"/>
        </w:rPr>
        <w:t xml:space="preserve"> By "reasonable" here, I mean having a sense of a range of alternatives in belief and action and engaging in considered judgment in deciding among them. </w:t>
      </w:r>
      <w:r w:rsidRPr="000C2D03">
        <w:rPr>
          <w:rStyle w:val="Emphasis"/>
        </w:rPr>
        <w:t>The reasonable person</w:t>
      </w:r>
      <w:r w:rsidRPr="00107E4B">
        <w:rPr>
          <w:rFonts w:ascii="Arial" w:eastAsia="Times New Roman" w:hAnsi="Arial" w:cs="Arial"/>
          <w:b/>
          <w:bCs/>
          <w:color w:val="000000"/>
          <w:u w:val="single"/>
          <w:lang w:bidi="mr-IN"/>
        </w:rPr>
        <w:t xml:space="preserve"> </w:t>
      </w:r>
      <w:r w:rsidRPr="00107E4B">
        <w:rPr>
          <w:rFonts w:ascii="Arial" w:eastAsia="Times New Roman" w:hAnsi="Arial" w:cs="Arial"/>
          <w:b/>
          <w:bCs/>
          <w:color w:val="000000"/>
          <w:u w:val="single"/>
          <w:lang w:bidi="mr-IN"/>
        </w:rPr>
        <w:lastRenderedPageBreak/>
        <w:t>thus is also able and willing to justify his or her claims and actions to others. As I have constructed the stance of the activist, he is principled and reasonable in this sense. He reflects on some of the wrongs that come to people and nonhuman things and has an account of some of the social causes of those wrongs that he believes are alterable</w:t>
      </w:r>
      <w:r w:rsidRPr="00107E4B">
        <w:rPr>
          <w:rFonts w:ascii="Arial" w:eastAsia="Times New Roman" w:hAnsi="Arial" w:cs="Arial"/>
          <w:color w:val="000000"/>
          <w:sz w:val="12"/>
          <w:szCs w:val="12"/>
          <w:lang w:bidi="mr-IN"/>
        </w:rPr>
        <w:t>. He considers alternative means for bringing attention to those wrongs and calling on others to help redress them, and he is usually quite prepared to justify the use of specific means on specific occasions, both to his comrades and to others, such as television reporter</w:t>
      </w:r>
      <w:r w:rsidRPr="00107E4B">
        <w:rPr>
          <w:rFonts w:ascii="Arial" w:eastAsia="Times New Roman" w:hAnsi="Arial" w:cs="Arial"/>
          <w:i/>
          <w:iCs/>
          <w:color w:val="000000"/>
          <w:sz w:val="12"/>
          <w:szCs w:val="12"/>
          <w:u w:val="single"/>
          <w:lang w:bidi="mr-IN"/>
        </w:rPr>
        <w:t xml:space="preserve">s. </w:t>
      </w:r>
      <w:r w:rsidRPr="00107E4B">
        <w:rPr>
          <w:rFonts w:ascii="Arial" w:eastAsia="Times New Roman" w:hAnsi="Arial" w:cs="Arial"/>
          <w:b/>
          <w:bCs/>
          <w:color w:val="000000"/>
          <w:u w:val="single"/>
          <w:lang w:bidi="mr-IN"/>
        </w:rPr>
        <w:t>While his principles often lead him to protest outside of or disrupt the meetings of powerful people with whom he disagrees, one of his primary reasons for such protest is to make a wider public aware of institutional wrongs and persuade that public to join him in pressuring for change in the institutions.</w:t>
      </w:r>
      <w:r w:rsidRPr="00107E4B">
        <w:rPr>
          <w:rFonts w:ascii="Arial" w:eastAsia="Times New Roman" w:hAnsi="Arial" w:cs="Arial"/>
          <w:color w:val="000000"/>
          <w:sz w:val="12"/>
          <w:szCs w:val="12"/>
          <w:lang w:bidi="mr-IN"/>
        </w:rPr>
        <w:t xml:space="preserve"> </w:t>
      </w:r>
      <w:r w:rsidRPr="00107E4B">
        <w:rPr>
          <w:rFonts w:ascii="Arial" w:eastAsia="Times New Roman" w:hAnsi="Arial" w:cs="Arial"/>
          <w:color w:val="000000"/>
          <w:u w:val="single"/>
          <w:lang w:bidi="mr-IN"/>
        </w:rPr>
        <w:t>While not deliberative, then, in the sense of engaging in orderly reason giving, most activist political engagements aim to communicate specific ideas to a wide public. They use slogans, humor, and irony to do so because discursive arguments alone are not likely to command attention or inspire action</w:t>
      </w:r>
      <w:r w:rsidRPr="00107E4B">
        <w:rPr>
          <w:rFonts w:ascii="Arial" w:eastAsia="Times New Roman" w:hAnsi="Arial" w:cs="Arial"/>
          <w:b/>
          <w:bCs/>
          <w:color w:val="000000"/>
          <w:lang w:bidi="mr-IN"/>
        </w:rPr>
        <w:t xml:space="preserve">. </w:t>
      </w:r>
      <w:r w:rsidRPr="00107E4B">
        <w:rPr>
          <w:rFonts w:ascii="Arial" w:eastAsia="Times New Roman" w:hAnsi="Arial" w:cs="Arial"/>
          <w:color w:val="000000"/>
          <w:sz w:val="12"/>
          <w:szCs w:val="12"/>
          <w:lang w:bidi="mr-IN"/>
        </w:rPr>
        <w:t xml:space="preserve">In the real world of politics, some nihilistic and destructive persons demonstrate and protest from blind rage or because they get pleasure from destruction. Such a nihilistic stance describes few activists, however; activists are often more self-conscious than other political actors about having good reasons for what they do and disciplining their fellows to follow rules in their collective actions. The common rhetorical move of official powers to paint all protest action with the tar of "extremism" should be resisted by anyone committed to social justice and reasonable communication. Now that the activist has answered the deliberative democrat's suspicion that he is not worth talking to, we can hear his criticism of deliberative recommendations for political engagement and citizen virtue. I will present these challenges in four steps, giving the deliberative democrat the opportunity to respond to each. Exhorting citizens to engage in respectful argument with others they disagree with is a fine recommendation for the ideal world that the deliberative democrat theorizes, says the activist, where everyone is included and the political equal of one another. This is not the real world of politics, however, where powerful elites representing structurally dominant social segments have significant influence over political processes and decisions Deliberation sometimes occurs in this real world. Officials and dignitaries meet all the time to hammer out agreements. Their meetings are usually well organized with structured procedures, and those who know the rules are often able to further their objectives through them by presenting proposals and giving reasons for them, which are considered and critically evaluated by the others, who give their own reasons. </w:t>
      </w:r>
      <w:r w:rsidRPr="00107E4B">
        <w:rPr>
          <w:rFonts w:ascii="Arial" w:eastAsia="Times New Roman" w:hAnsi="Arial" w:cs="Arial"/>
          <w:b/>
          <w:bCs/>
          <w:color w:val="000000"/>
          <w:u w:val="single"/>
          <w:lang w:bidi="mr-IN"/>
        </w:rPr>
        <w:t>Deliberation, the activist says, is an activity of boardrooms and congressional committees and sometimes even parliaments. Elites exert their power partly through managing deliberative settings</w:t>
      </w:r>
      <w:r w:rsidRPr="00107E4B">
        <w:rPr>
          <w:rFonts w:ascii="Arial" w:eastAsia="Times New Roman" w:hAnsi="Arial" w:cs="Arial"/>
          <w:b/>
          <w:bCs/>
          <w:i/>
          <w:iCs/>
          <w:color w:val="000000"/>
          <w:lang w:bidi="mr-IN"/>
        </w:rPr>
        <w:t>.</w:t>
      </w:r>
      <w:r w:rsidRPr="00107E4B">
        <w:rPr>
          <w:rFonts w:ascii="Arial" w:eastAsia="Times New Roman" w:hAnsi="Arial" w:cs="Arial"/>
          <w:color w:val="000000"/>
          <w:sz w:val="12"/>
          <w:szCs w:val="12"/>
          <w:lang w:bidi="mr-IN"/>
        </w:rPr>
        <w:t xml:space="preserve"> Among themselves</w:t>
      </w:r>
      <w:r w:rsidRPr="00107E4B">
        <w:rPr>
          <w:rFonts w:ascii="Arial" w:eastAsia="Times New Roman" w:hAnsi="Arial" w:cs="Arial"/>
          <w:color w:val="000000"/>
          <w:sz w:val="12"/>
          <w:szCs w:val="12"/>
          <w:u w:val="single"/>
          <w:lang w:bidi="mr-IN"/>
        </w:rPr>
        <w:t xml:space="preserve"> </w:t>
      </w:r>
      <w:r w:rsidRPr="00107E4B">
        <w:rPr>
          <w:rFonts w:ascii="Arial" w:eastAsia="Times New Roman" w:hAnsi="Arial" w:cs="Arial"/>
          <w:color w:val="000000"/>
          <w:u w:val="single"/>
          <w:lang w:bidi="mr-IN"/>
        </w:rPr>
        <w:t>they engage in debate about the policies that will sustain their power and further their collective interests. Entrance</w:t>
      </w:r>
      <w:r w:rsidRPr="00107E4B">
        <w:rPr>
          <w:rFonts w:ascii="Arial" w:eastAsia="Times New Roman" w:hAnsi="Arial" w:cs="Arial"/>
          <w:color w:val="000000"/>
          <w:sz w:val="12"/>
          <w:szCs w:val="12"/>
          <w:lang w:bidi="mr-IN"/>
        </w:rPr>
        <w:t xml:space="preserve"> into such deliberative settings</w:t>
      </w:r>
      <w:r w:rsidRPr="00107E4B">
        <w:rPr>
          <w:rFonts w:ascii="Arial" w:eastAsia="Times New Roman" w:hAnsi="Arial" w:cs="Arial"/>
          <w:b/>
          <w:bCs/>
          <w:color w:val="000000"/>
          <w:lang w:bidi="mr-IN"/>
        </w:rPr>
        <w:t xml:space="preserve"> </w:t>
      </w:r>
      <w:r w:rsidRPr="00107E4B">
        <w:rPr>
          <w:rFonts w:ascii="Arial" w:eastAsia="Times New Roman" w:hAnsi="Arial" w:cs="Arial"/>
          <w:color w:val="000000"/>
          <w:u w:val="single"/>
          <w:lang w:bidi="mr-IN"/>
        </w:rPr>
        <w:t>is usually</w:t>
      </w:r>
      <w:r w:rsidRPr="00107E4B">
        <w:rPr>
          <w:rFonts w:ascii="Arial" w:eastAsia="Times New Roman" w:hAnsi="Arial" w:cs="Arial"/>
          <w:color w:val="000000"/>
          <w:sz w:val="12"/>
          <w:szCs w:val="12"/>
          <w:lang w:bidi="mr-IN"/>
        </w:rPr>
        <w:t xml:space="preserve"> rather</w:t>
      </w:r>
      <w:r w:rsidRPr="00107E4B">
        <w:rPr>
          <w:rFonts w:ascii="Arial" w:eastAsia="Times New Roman" w:hAnsi="Arial" w:cs="Arial"/>
          <w:color w:val="000000"/>
          <w:sz w:val="12"/>
          <w:szCs w:val="12"/>
          <w:u w:val="single"/>
          <w:lang w:bidi="mr-IN"/>
        </w:rPr>
        <w:t xml:space="preserve"> </w:t>
      </w:r>
      <w:r w:rsidRPr="00107E4B">
        <w:rPr>
          <w:rFonts w:ascii="Arial" w:eastAsia="Times New Roman" w:hAnsi="Arial" w:cs="Arial"/>
          <w:color w:val="000000"/>
          <w:u w:val="single"/>
          <w:lang w:bidi="mr-IN"/>
        </w:rPr>
        <w:t>tightly controlled</w:t>
      </w:r>
      <w:r w:rsidRPr="00107E4B">
        <w:rPr>
          <w:rFonts w:ascii="Arial" w:eastAsia="Times New Roman" w:hAnsi="Arial" w:cs="Arial"/>
          <w:color w:val="000000"/>
          <w:sz w:val="12"/>
          <w:szCs w:val="12"/>
          <w:lang w:bidi="mr-IN"/>
        </w:rPr>
        <w:t xml:space="preserve">, </w:t>
      </w:r>
      <w:r w:rsidRPr="00107E4B">
        <w:rPr>
          <w:rFonts w:ascii="Arial" w:eastAsia="Times New Roman" w:hAnsi="Arial" w:cs="Arial"/>
          <w:b/>
          <w:bCs/>
          <w:color w:val="000000"/>
          <w:u w:val="single"/>
          <w:lang w:bidi="mr-IN"/>
        </w:rPr>
        <w:t>and the interests of many affected by the decisions made in them often receive no voice or representation</w:t>
      </w:r>
      <w:r w:rsidRPr="00107E4B">
        <w:rPr>
          <w:rFonts w:ascii="Arial" w:eastAsia="Times New Roman" w:hAnsi="Arial" w:cs="Arial"/>
          <w:b/>
          <w:bCs/>
          <w:color w:val="000000"/>
          <w:sz w:val="12"/>
          <w:szCs w:val="12"/>
          <w:u w:val="single"/>
          <w:lang w:bidi="mr-IN"/>
        </w:rPr>
        <w:t xml:space="preserve">. </w:t>
      </w:r>
      <w:r w:rsidRPr="00107E4B">
        <w:rPr>
          <w:rFonts w:ascii="Arial" w:eastAsia="Times New Roman" w:hAnsi="Arial" w:cs="Arial"/>
          <w:color w:val="000000"/>
          <w:sz w:val="12"/>
          <w:szCs w:val="12"/>
          <w:lang w:bidi="mr-IN"/>
        </w:rPr>
        <w:t xml:space="preserve">The proceedings of these meetings, moreover, are often not open to general observation, and often they leave no public record. Observers and members of the press come only by invitation. Deliberation is primarily an activity of political elites who treat one another with cordial respect and try to work out their differences. Insofar as </w:t>
      </w:r>
      <w:r w:rsidRPr="00107E4B">
        <w:rPr>
          <w:rFonts w:ascii="Arial" w:eastAsia="Times New Roman" w:hAnsi="Arial" w:cs="Arial"/>
          <w:b/>
          <w:bCs/>
          <w:color w:val="000000"/>
          <w:u w:val="single"/>
          <w:lang w:bidi="mr-IN"/>
        </w:rPr>
        <w:t>deliberation is exclusive in this way, and insofar as the decisions reached in such deliberative bodies support and perpetuate structural inequality</w:t>
      </w:r>
      <w:r w:rsidRPr="00107E4B">
        <w:rPr>
          <w:rFonts w:ascii="Arial" w:eastAsia="Times New Roman" w:hAnsi="Arial" w:cs="Arial"/>
          <w:color w:val="000000"/>
          <w:sz w:val="12"/>
          <w:szCs w:val="12"/>
          <w:lang w:bidi="mr-IN"/>
        </w:rPr>
        <w:t xml:space="preserve"> or otherwise have unjust and harmful consequences, says the activist, then it is wrong to prescribe deliberation for good citizens committed to furthering social justice.</w:t>
      </w:r>
      <w:r w:rsidRPr="00107E4B">
        <w:rPr>
          <w:rFonts w:ascii="Arial" w:eastAsia="Times New Roman" w:hAnsi="Arial" w:cs="Arial"/>
          <w:color w:val="000000"/>
          <w:sz w:val="12"/>
          <w:szCs w:val="12"/>
          <w:u w:val="single"/>
          <w:lang w:bidi="mr-IN"/>
        </w:rPr>
        <w:t xml:space="preserve"> </w:t>
      </w:r>
      <w:r w:rsidRPr="00107E4B">
        <w:rPr>
          <w:rFonts w:ascii="Arial" w:eastAsia="Times New Roman" w:hAnsi="Arial" w:cs="Arial"/>
          <w:color w:val="000000"/>
          <w:u w:val="single"/>
          <w:lang w:bidi="mr-IN"/>
        </w:rPr>
        <w:t>Under these circumstances of structural inequality and exclusive power, good citizens should be protesting outside these meetings, calling public attention to the assumptions made in them, the control exercised, and the resulting limitations or wrongs of their outcomes</w:t>
      </w:r>
      <w:r w:rsidRPr="00107E4B">
        <w:rPr>
          <w:rFonts w:ascii="Arial" w:eastAsia="Times New Roman" w:hAnsi="Arial" w:cs="Arial"/>
          <w:color w:val="000000"/>
          <w:sz w:val="12"/>
          <w:szCs w:val="12"/>
          <w:u w:val="single"/>
          <w:lang w:bidi="mr-IN"/>
        </w:rPr>
        <w:t xml:space="preserve">. </w:t>
      </w:r>
      <w:r w:rsidRPr="00107E4B">
        <w:rPr>
          <w:rFonts w:ascii="Arial" w:eastAsia="Times New Roman" w:hAnsi="Arial" w:cs="Arial"/>
          <w:color w:val="000000"/>
          <w:sz w:val="12"/>
          <w:szCs w:val="12"/>
          <w:lang w:bidi="mr-IN"/>
        </w:rPr>
        <w:t xml:space="preserve">They should use the power of shame and exposure to pressure deliberators to widen their agenda and include attention to more interests. As long as the proceedings exercise exclusive power for the sake of the interests of elites and against the interests of most citizens, then politically engaged citizens who care about justice and environmental preservation are justified even in taking actions aimed at preventing or disrupting the deliberations. Many of the thousands who filled the streets of Seattle in December 1999, it seems to me, assumed just this account of the relation between deliberation and protest. Heads of state or other high officials came from all over the world to a meeting of the World Trade Organization (WTO) to deliberate and try to agree on a new round of global trade rules. Protestors criticized the meeting, and many thought it should simply be stopped. They protested the exclusive methods of the WTO, that the proceedings of its commission are closed, and that the Seattle meeting itself was not public. They claimed that the WTO is a tool of transnational corporate power and that its deliberations give little attention to the effects of the free trade regime on average citizens, especially the world's poorest people. The deliberations of the WTO are not legitimate, and the agenda of the organization is morally wrong. As I write this, some of my fellow citizens prepare to protest similar deliberations on agreement for free trade in the Americas. Not only are the meetings exclusive, but even the document they will discuss is not public. There is no alternative to protest and disruption, the activist thinks, when decisions affecting so many people are made by so few and almost in secret. The advocate of deliberative democracy as a prescription for political processes and the behavior of good citizens has an easy answer to this criticism of deliberation. She agrees with many things the activist says. Insofar as </w:t>
      </w:r>
      <w:r w:rsidRPr="00107E4B">
        <w:rPr>
          <w:rFonts w:ascii="Arial" w:eastAsia="Times New Roman" w:hAnsi="Arial" w:cs="Arial"/>
          <w:color w:val="000000"/>
          <w:u w:val="single"/>
          <w:lang w:bidi="mr-IN"/>
        </w:rPr>
        <w:t>the proceedings of elite meetings are exclusive and nonpublic, they are not democratic, even if they are deliberative</w:t>
      </w:r>
      <w:r w:rsidRPr="00107E4B">
        <w:rPr>
          <w:rFonts w:ascii="Arial" w:eastAsia="Times New Roman" w:hAnsi="Arial" w:cs="Arial"/>
          <w:color w:val="000000"/>
          <w:sz w:val="12"/>
          <w:szCs w:val="12"/>
          <w:u w:val="single"/>
          <w:lang w:bidi="mr-IN"/>
        </w:rPr>
        <w:t>.</w:t>
      </w:r>
      <w:r w:rsidRPr="00107E4B">
        <w:rPr>
          <w:rFonts w:ascii="Arial" w:eastAsia="Times New Roman" w:hAnsi="Arial" w:cs="Arial"/>
          <w:color w:val="000000"/>
          <w:sz w:val="12"/>
          <w:szCs w:val="12"/>
          <w:lang w:bidi="mr-IN"/>
        </w:rPr>
        <w:t xml:space="preserve"> The norms of deliberative democracy call not only for discussion among parties who use the force of argument alone and treat each other as equals. They also require publicity, accountability, and inclusion.4 </w:t>
      </w:r>
      <w:r w:rsidRPr="00107E4B">
        <w:rPr>
          <w:rFonts w:ascii="Arial" w:eastAsia="Times New Roman" w:hAnsi="Arial" w:cs="Arial"/>
          <w:b/>
          <w:bCs/>
          <w:color w:val="000000"/>
          <w:u w:val="single"/>
          <w:lang w:bidi="mr-IN"/>
        </w:rPr>
        <w:t xml:space="preserve">To be democratically legitimate, policies and actions decided on by means of deliberation ought to include representation of all affected interests and perspectives. </w:t>
      </w:r>
      <w:r w:rsidRPr="00107E4B">
        <w:rPr>
          <w:rFonts w:ascii="Arial" w:eastAsia="Times New Roman" w:hAnsi="Arial" w:cs="Arial"/>
          <w:color w:val="000000"/>
          <w:u w:val="single"/>
          <w:lang w:bidi="mr-IN"/>
        </w:rPr>
        <w:t>The deliberations of such inclusively representative bodies ought to be public in every way</w:t>
      </w:r>
      <w:r w:rsidRPr="00107E4B">
        <w:rPr>
          <w:rFonts w:ascii="Arial" w:eastAsia="Times New Roman" w:hAnsi="Arial" w:cs="Arial"/>
          <w:b/>
          <w:bCs/>
          <w:color w:val="000000"/>
          <w:lang w:bidi="mr-IN"/>
        </w:rPr>
        <w:t>.</w:t>
      </w:r>
      <w:r w:rsidRPr="00107E4B">
        <w:rPr>
          <w:rFonts w:ascii="Arial" w:eastAsia="Times New Roman" w:hAnsi="Arial" w:cs="Arial"/>
          <w:color w:val="000000"/>
          <w:sz w:val="12"/>
          <w:szCs w:val="12"/>
          <w:lang w:bidi="mr-IN"/>
        </w:rPr>
        <w:t xml:space="preserve"> The people who speak and vote in such deliberative settings, finally, ought to be accountable to their fellow citizens for their opinions and decisions. The deliberative democrat will likely join the activist to protest outside exclusive and private deliberations. She exhorts the activist to join her call for deliberations whose proceedings are public, accountable, and inclusive, and she allies with the activist in regarding deliberative processes as illegitimate unless they meet these conditions. She may consider </w:t>
      </w:r>
      <w:r w:rsidRPr="00107E4B">
        <w:rPr>
          <w:rFonts w:ascii="Arial" w:eastAsia="Times New Roman" w:hAnsi="Arial" w:cs="Arial"/>
          <w:color w:val="000000"/>
          <w:u w:val="single"/>
          <w:lang w:bidi="mr-IN"/>
        </w:rPr>
        <w:t>activist protest a healthy means of deepening democracy, of creating open and inclusive settings of deliberative democracy.</w:t>
      </w:r>
    </w:p>
    <w:p w14:paraId="7DF25CDF" w14:textId="77777777" w:rsidR="007E3D3F" w:rsidRPr="00107E4B" w:rsidRDefault="007E3D3F" w:rsidP="007E3D3F">
      <w:pPr>
        <w:pStyle w:val="Heading4"/>
      </w:pPr>
      <w:r w:rsidRPr="00107E4B">
        <w:lastRenderedPageBreak/>
        <w:t>Activist Education Helps Social and Political Change</w:t>
      </w:r>
    </w:p>
    <w:p w14:paraId="55E1DA96" w14:textId="77777777" w:rsidR="007E3D3F" w:rsidRPr="00107E4B" w:rsidRDefault="007E3D3F" w:rsidP="007E3D3F">
      <w:pPr>
        <w:rPr>
          <w:sz w:val="20"/>
          <w:szCs w:val="20"/>
        </w:rPr>
      </w:pPr>
      <w:r w:rsidRPr="00107E4B">
        <w:rPr>
          <w:b/>
          <w:sz w:val="26"/>
          <w:szCs w:val="26"/>
        </w:rPr>
        <w:t xml:space="preserve">Niblett 15 </w:t>
      </w:r>
      <w:r w:rsidRPr="00107E4B">
        <w:rPr>
          <w:sz w:val="20"/>
          <w:szCs w:val="20"/>
        </w:rPr>
        <w:t>– (Blair Niblett Ph.D. in Education, “Narrating activist education: teachers’ stories of affecting social and political change”, Lakehead University, https://knowledgecommons.lakeheadu.ca/handle/2453/604)</w:t>
      </w:r>
    </w:p>
    <w:p w14:paraId="548B84D5" w14:textId="77777777" w:rsidR="007E3D3F" w:rsidRPr="00107E4B" w:rsidRDefault="007E3D3F" w:rsidP="007E3D3F">
      <w:pPr>
        <w:rPr>
          <w:u w:val="single"/>
        </w:rPr>
      </w:pPr>
      <w:r w:rsidRPr="00107E4B">
        <w:t xml:space="preserve">The project was undertaken in order to gain a deeper understanding of the conceptual and practical relationships between education and activism. </w:t>
      </w:r>
      <w:r w:rsidRPr="00107E4B">
        <w:rPr>
          <w:u w:val="single"/>
        </w:rPr>
        <w:t>Of particular concern is how teachers perceive this landscape from social, cultural, political, and pedagogical perspectives.</w:t>
      </w:r>
      <w:r w:rsidRPr="00107E4B">
        <w:t xml:space="preserve"> Underpinning this research is a presupposition that education has the potential to create a less oppressive and more socially just world. Methodologically informed by narrative inquiry, ten participants were interviewed using a semi-</w:t>
      </w:r>
      <w:r w:rsidRPr="00107E4B">
        <w:softHyphen/>
        <w:t xml:space="preserve">‐structured interview format that encouraged story telling. The approach to the interviews was based in an understanding of stories as fluid and organic organisms. Deleuze and Guattari’s (1987) notion of concepts as rhizomes was helpful in theorizing this approach. Participants were encouraged to share stories of their experiences as activist educators, the transcripts of each were parsed for relevant stories, following McCormack’s (2000a, b) multiple lenses approach, and then curated into an experience narrative for each participant. Three meaningful rhizomes were discerned from the body of experience narratives. </w:t>
      </w:r>
      <w:r w:rsidRPr="00107E4B">
        <w:rPr>
          <w:u w:val="single"/>
        </w:rPr>
        <w:t>Analysis of stories indicated that activist education may be understood as socially, politically, and pedagogically oriented.</w:t>
      </w:r>
      <w:r w:rsidRPr="00107E4B">
        <w:t xml:space="preserve"> Social elements have to do with human relations, how people treat each other, and how they learn these ideas through education. Political elements refer to normative dimensions of activism and education: what decisions should be made in order to live well? Who should be included in making these decisions, and who is excluded? </w:t>
      </w:r>
      <w:r w:rsidRPr="00107E4B">
        <w:rPr>
          <w:u w:val="single"/>
        </w:rPr>
        <w:t>Pedagogical elements reflect the importance of experiences as vehicles for learning, and the potential for activism to be a source of rich learning experiences.</w:t>
      </w:r>
      <w:r w:rsidRPr="00107E4B">
        <w:t xml:space="preserve"> These three strands are not strictly independent, but rather are intricately intertwined, and even chameleonic at times; that is to say that activist education may be social at one moment, but transform into something more political or pedagogical at another moment according to the needs of the teachers and students and the contexts in which they find themselves</w:t>
      </w:r>
      <w:r w:rsidRPr="00107E4B">
        <w:rPr>
          <w:u w:val="single"/>
        </w:rPr>
        <w:t>. The findings of this work are significant both for teachers who identify as activist educators, teachers who do not immediately see themselves as activist educators but who are interested in anti-</w:t>
      </w:r>
      <w:r w:rsidRPr="00107E4B">
        <w:rPr>
          <w:u w:val="single"/>
        </w:rPr>
        <w:softHyphen/>
        <w:t>‐oppressive and social justice education, and others who are interested in social justice and anti-</w:t>
      </w:r>
      <w:r w:rsidRPr="00107E4B">
        <w:rPr>
          <w:u w:val="single"/>
        </w:rPr>
        <w:softHyphen/>
        <w:t>‐oppressive education.</w:t>
      </w:r>
      <w:r w:rsidRPr="00107E4B">
        <w:t xml:space="preserve"> The stories shared by the ten participants in this research illustrate a broad range of activist education approaches that range from simple and politically safe, to complex and politically contentious. </w:t>
      </w:r>
      <w:r w:rsidRPr="00107E4B">
        <w:rPr>
          <w:u w:val="single"/>
        </w:rPr>
        <w:t>Readers of the participants’ stories and accompanying theorizing have an opportunity to better understand ways that education, as a process that changes students and teachers, can play a role in social change both in schools and the societies and cultures in which they are situated.</w:t>
      </w:r>
    </w:p>
    <w:p w14:paraId="0773BF24" w14:textId="77777777" w:rsidR="007E3D3F" w:rsidRPr="00107E4B" w:rsidRDefault="007E3D3F" w:rsidP="007E3D3F">
      <w:pPr>
        <w:spacing w:before="240" w:after="40" w:line="240" w:lineRule="auto"/>
        <w:rPr>
          <w:rFonts w:ascii="Arial" w:eastAsia="Times New Roman" w:hAnsi="Arial" w:cs="Arial"/>
          <w:color w:val="000000"/>
          <w:u w:val="single"/>
          <w:lang w:bidi="mr-IN"/>
        </w:rPr>
      </w:pPr>
    </w:p>
    <w:p w14:paraId="7E7880CC" w14:textId="77777777" w:rsidR="007E3D3F" w:rsidRPr="00107E4B" w:rsidRDefault="007E3D3F" w:rsidP="007E3D3F">
      <w:pPr>
        <w:pStyle w:val="Heading4"/>
        <w:rPr>
          <w:rFonts w:ascii="Times New Roman" w:hAnsi="Times New Roman" w:cs="Times New Roman"/>
          <w:sz w:val="48"/>
          <w:szCs w:val="48"/>
        </w:rPr>
      </w:pPr>
      <w:r w:rsidRPr="00107E4B">
        <w:t>Organized Debate Can Be a Tool For Activism – But Not Without a Critical Self-Reflection of its Elitist Roots</w:t>
      </w:r>
    </w:p>
    <w:p w14:paraId="6FF1FF34" w14:textId="77777777" w:rsidR="007E3D3F" w:rsidRPr="00107E4B" w:rsidRDefault="007E3D3F" w:rsidP="007E3D3F">
      <w:pPr>
        <w:spacing w:after="0" w:line="240" w:lineRule="auto"/>
        <w:rPr>
          <w:rFonts w:ascii="Times New Roman" w:eastAsia="Times New Roman" w:hAnsi="Times New Roman" w:cs="Times New Roman"/>
          <w:sz w:val="24"/>
        </w:rPr>
      </w:pPr>
      <w:r w:rsidRPr="00107E4B">
        <w:rPr>
          <w:rFonts w:ascii="Arial" w:eastAsia="Times New Roman" w:hAnsi="Arial" w:cs="Arial"/>
          <w:b/>
          <w:bCs/>
          <w:color w:val="333333"/>
          <w:shd w:val="clear" w:color="auto" w:fill="FFFFFF"/>
        </w:rPr>
        <w:t>Zhang, Amanda</w:t>
      </w:r>
      <w:r w:rsidRPr="00107E4B">
        <w:rPr>
          <w:rFonts w:ascii="Arial" w:eastAsia="Times New Roman" w:hAnsi="Arial" w:cs="Arial"/>
          <w:color w:val="333333"/>
          <w:sz w:val="20"/>
          <w:szCs w:val="20"/>
          <w:shd w:val="clear" w:color="auto" w:fill="FFFFFF"/>
        </w:rPr>
        <w:t xml:space="preserve">. </w:t>
      </w:r>
      <w:r w:rsidRPr="00107E4B">
        <w:rPr>
          <w:rFonts w:ascii="Arial" w:eastAsia="Times New Roman" w:hAnsi="Arial" w:cs="Arial"/>
          <w:color w:val="000000"/>
          <w:sz w:val="20"/>
          <w:szCs w:val="20"/>
          <w:shd w:val="clear" w:color="auto" w:fill="FFFFFF"/>
        </w:rPr>
        <w:t xml:space="preserve">“Organized Debate Can Be a Tool For Activism - But Not Without a Critical Self-Reflection of Its Elitist Roots.” </w:t>
      </w:r>
      <w:r w:rsidRPr="00107E4B">
        <w:rPr>
          <w:rFonts w:ascii="Arial" w:eastAsia="Times New Roman" w:hAnsi="Arial" w:cs="Arial"/>
          <w:i/>
          <w:iCs/>
          <w:color w:val="000000"/>
          <w:sz w:val="20"/>
          <w:szCs w:val="20"/>
        </w:rPr>
        <w:t>The Madison Times</w:t>
      </w:r>
      <w:r w:rsidRPr="00107E4B">
        <w:rPr>
          <w:rFonts w:ascii="Arial" w:eastAsia="Times New Roman" w:hAnsi="Arial" w:cs="Arial"/>
          <w:color w:val="000000"/>
          <w:sz w:val="20"/>
          <w:szCs w:val="20"/>
          <w:shd w:val="clear" w:color="auto" w:fill="FFFFFF"/>
        </w:rPr>
        <w:t>, 12 Nov. 2015, themadisontimes.themadent.com/article/organized-debate-can-be-a-tool-for-activism-but-not-without-a-critical-self-reflection-of-its-elitist-roots/.</w:t>
      </w:r>
    </w:p>
    <w:p w14:paraId="31D859B7" w14:textId="77777777" w:rsidR="007E3D3F" w:rsidRPr="00107E4B" w:rsidRDefault="007E3D3F" w:rsidP="007E3D3F">
      <w:pPr>
        <w:spacing w:after="0" w:line="240" w:lineRule="auto"/>
        <w:rPr>
          <w:rFonts w:ascii="Times New Roman" w:eastAsia="Times New Roman" w:hAnsi="Times New Roman" w:cs="Times New Roman"/>
          <w:sz w:val="24"/>
        </w:rPr>
      </w:pPr>
    </w:p>
    <w:p w14:paraId="53F683A4" w14:textId="77777777" w:rsidR="007E3D3F" w:rsidRPr="00107E4B" w:rsidRDefault="007E3D3F" w:rsidP="007E3D3F">
      <w:pPr>
        <w:spacing w:after="400" w:line="240" w:lineRule="auto"/>
        <w:rPr>
          <w:rFonts w:ascii="Times New Roman" w:eastAsia="Times New Roman" w:hAnsi="Times New Roman" w:cs="Times New Roman"/>
          <w:sz w:val="24"/>
        </w:rPr>
      </w:pPr>
      <w:r w:rsidRPr="000C2D03">
        <w:rPr>
          <w:rStyle w:val="Emphasis"/>
        </w:rPr>
        <w:t>High School debate is prized as an intellectual activity for politically engaged young people.</w:t>
      </w:r>
      <w:r w:rsidRPr="00107E4B">
        <w:rPr>
          <w:rFonts w:ascii="Arial" w:eastAsia="Times New Roman" w:hAnsi="Arial" w:cs="Arial"/>
          <w:color w:val="000000"/>
          <w:sz w:val="24"/>
        </w:rPr>
        <w:t xml:space="preserve"> Each tournament often begins with a commencement speech by some important </w:t>
      </w:r>
      <w:r w:rsidRPr="000C2D03">
        <w:rPr>
          <w:rStyle w:val="Emphasis"/>
        </w:rPr>
        <w:t>person or other who makes the claim that those of us participating will be the future leaders of the world.</w:t>
      </w:r>
      <w:r w:rsidRPr="00107E4B">
        <w:rPr>
          <w:rFonts w:ascii="Arial" w:eastAsia="Times New Roman" w:hAnsi="Arial" w:cs="Arial"/>
          <w:color w:val="000000"/>
          <w:sz w:val="24"/>
          <w:shd w:val="clear" w:color="auto" w:fill="FFFF00"/>
        </w:rPr>
        <w:t xml:space="preserve"> </w:t>
      </w:r>
      <w:r w:rsidRPr="00107E4B">
        <w:rPr>
          <w:rFonts w:ascii="Arial" w:eastAsia="Times New Roman" w:hAnsi="Arial" w:cs="Arial"/>
          <w:color w:val="000000"/>
          <w:sz w:val="24"/>
        </w:rPr>
        <w:t>Advertisements hung throughout high schools tout the fact a that a numerous number of famous political officials and academics have participated in some form of formal debate education and competition and in fact, the claim is genuine. A large number of important political and social leaders have indeed participated in formal competitive debating when they were in high school or college.</w:t>
      </w:r>
      <w:r w:rsidRPr="00107E4B">
        <w:rPr>
          <w:rFonts w:ascii="Times New Roman" w:eastAsia="Times New Roman" w:hAnsi="Times New Roman" w:cs="Times New Roman"/>
          <w:sz w:val="24"/>
        </w:rPr>
        <w:t xml:space="preserve"> </w:t>
      </w:r>
      <w:r w:rsidRPr="00107E4B">
        <w:rPr>
          <w:rFonts w:ascii="Arial" w:eastAsia="Times New Roman" w:hAnsi="Arial" w:cs="Arial"/>
          <w:color w:val="000000"/>
          <w:sz w:val="24"/>
        </w:rPr>
        <w:t xml:space="preserve">For </w:t>
      </w:r>
      <w:r w:rsidRPr="000C2D03">
        <w:rPr>
          <w:rStyle w:val="Emphasis"/>
        </w:rPr>
        <w:t xml:space="preserve">those who aren’t as familiar with the activity, it works like this: there a few different types of categories of competitive debate ranging from individual to partner to group </w:t>
      </w:r>
      <w:r w:rsidRPr="00107E4B">
        <w:rPr>
          <w:rFonts w:ascii="Arial" w:eastAsia="Times New Roman" w:hAnsi="Arial" w:cs="Arial"/>
          <w:color w:val="000000"/>
          <w:sz w:val="24"/>
        </w:rPr>
        <w:t>events with different focuses on policy making skills, research, philosophical rhetoric, or presentation. Each month or year, depending on the category of debate, the National Speech and Debate Association assigns an official national topic often in the form of a resolved clause. For the months of September and October the resolution was “Resolved, The US Federal government ought to pay reparations to African Americans.” Competitors are then expected to come up with both a pro and con position on the resolution and debate both positions against other teams.</w:t>
      </w:r>
      <w:r w:rsidRPr="00107E4B">
        <w:rPr>
          <w:rFonts w:ascii="Times New Roman" w:eastAsia="Times New Roman" w:hAnsi="Times New Roman" w:cs="Times New Roman"/>
          <w:sz w:val="24"/>
        </w:rPr>
        <w:t xml:space="preserve"> </w:t>
      </w:r>
      <w:r w:rsidRPr="00107E4B">
        <w:rPr>
          <w:rFonts w:ascii="Arial" w:eastAsia="Times New Roman" w:hAnsi="Arial" w:cs="Arial"/>
          <w:color w:val="000000"/>
          <w:sz w:val="24"/>
        </w:rPr>
        <w:t xml:space="preserve">Unsurprisingly, </w:t>
      </w:r>
      <w:r w:rsidRPr="000C2D03">
        <w:rPr>
          <w:rStyle w:val="Emphasis"/>
        </w:rPr>
        <w:t>national level competitive debate functions as a mirror microcosm of the greater political climate of the United States. As future leaders of the world, those who are able to compete in national-level competition are often those who are affluent or come from wealthy schools. More disconcertingly, those who win and do well, much like the real world, are almost always wealthy white me</w:t>
      </w:r>
      <w:r>
        <w:rPr>
          <w:rStyle w:val="Emphasis"/>
        </w:rPr>
        <w:t xml:space="preserve">n. </w:t>
      </w:r>
      <w:r w:rsidRPr="00107E4B">
        <w:rPr>
          <w:rFonts w:ascii="Arial" w:eastAsia="Times New Roman" w:hAnsi="Arial" w:cs="Arial"/>
          <w:color w:val="000000"/>
          <w:sz w:val="24"/>
        </w:rPr>
        <w:t>Wealth plays a significant determinant of success as debate is an often times ridiculous expensive activity with many students paying up to a thousand dollars a year to compete at national tournaments across the country</w:t>
      </w:r>
      <w:r w:rsidRPr="000C2D03">
        <w:rPr>
          <w:rStyle w:val="Emphasis"/>
        </w:rPr>
        <w:t xml:space="preserve">. Individual costs are only mitigated by large debate endowments that are only usually seen in extremely wealthy schools. </w:t>
      </w:r>
      <w:r w:rsidRPr="00107E4B">
        <w:rPr>
          <w:rFonts w:ascii="Arial" w:eastAsia="Times New Roman" w:hAnsi="Arial" w:cs="Arial"/>
          <w:color w:val="000000"/>
          <w:sz w:val="24"/>
        </w:rPr>
        <w:t xml:space="preserve">Moreover, there is an advantage to those whose families can afford to send their children to debate camps over the summer with the cost of an average debate camp ranging from 2,000 to over 5,000 dollars. There have been some </w:t>
      </w:r>
      <w:r w:rsidRPr="000C2D03">
        <w:rPr>
          <w:rStyle w:val="StyleUnderline"/>
        </w:rPr>
        <w:t>efforts to equalize the playing field for those who can not afford camps such as creating an open evidence project.</w:t>
      </w:r>
      <w:r w:rsidRPr="00107E4B">
        <w:rPr>
          <w:rFonts w:ascii="Arial" w:eastAsia="Times New Roman" w:hAnsi="Arial" w:cs="Arial"/>
          <w:color w:val="000000"/>
          <w:sz w:val="24"/>
        </w:rPr>
        <w:t xml:space="preserve"> Originally, only those who were able to go to camp would have access to curated files of evidence that were an unbeatable advantage in competition. In the debate documentary Resolved director Greg Whiteley follows around two different teams: one affluent and white the other poor and black in which the differences and </w:t>
      </w:r>
      <w:r w:rsidRPr="000C2D03">
        <w:rPr>
          <w:rStyle w:val="Emphasis"/>
        </w:rPr>
        <w:t xml:space="preserve">advantages posed by wealth and perception lend to competitors. It is within this climate of elitism and dated preference that thousands of wealthy white debaters across the country were discussing the topic of African American reparations. </w:t>
      </w:r>
      <w:r w:rsidRPr="00107E4B">
        <w:rPr>
          <w:rFonts w:ascii="Arial" w:eastAsia="Times New Roman" w:hAnsi="Arial" w:cs="Arial"/>
          <w:color w:val="000000"/>
          <w:sz w:val="24"/>
        </w:rPr>
        <w:t xml:space="preserve">Recently, Bryan Stevenson, author of Just Mercy, came to UW Madison to speak on issues of racism within the criminal justice system. Throughout his speech he focused his efforts on conveying to the audience that proximity – that is, getting close to the problems you are passionate about – is essential in building good advocacy as an ally to disadvantaged communities. Within academia there is a rift between, on the one hand, academics who theorize and write </w:t>
      </w:r>
      <w:r w:rsidRPr="000C2D03">
        <w:rPr>
          <w:rStyle w:val="Emphasis"/>
        </w:rPr>
        <w:t xml:space="preserve">scholarship regarding privilege and oppression, but are not directly impacted by the oppression; and those who write from actual lived experiences of oppression. High school debate is one of the earliest forms of the former, the ‘armchair activist.’ </w:t>
      </w:r>
      <w:r w:rsidRPr="000C2D03">
        <w:rPr>
          <w:rStyle w:val="Emphasis"/>
        </w:rPr>
        <w:lastRenderedPageBreak/>
        <w:t>Oftentimes, debaters value a topic only to the extent that they can win a tournament and forget that the advocacy they espouse can genuinely impact the communities they talk about. Surely, this is not the case for every student who participates in high school debate, however, it is true for the vast majority. Debate is an extraordinarily valuable form of intellectual engagement and is especially vital for young people to develop their skills in rhetoric and argumentation</w:t>
      </w:r>
      <w:r>
        <w:rPr>
          <w:rStyle w:val="Emphasis"/>
        </w:rPr>
        <w:t xml:space="preserve">. </w:t>
      </w:r>
      <w:r w:rsidRPr="00107E4B">
        <w:rPr>
          <w:rFonts w:ascii="Arial" w:eastAsia="Times New Roman" w:hAnsi="Arial" w:cs="Arial"/>
          <w:color w:val="000000"/>
          <w:sz w:val="24"/>
        </w:rPr>
        <w:t>However, as an institution, unless there is a shift in the idea that competition is more valuable than learning the skills to impact the real world, debate will continue to simply be an application-boosting extracurricular that won’t make the world a better place.</w:t>
      </w:r>
    </w:p>
    <w:p w14:paraId="33251354" w14:textId="77777777" w:rsidR="007E3D3F" w:rsidRPr="00107E4B" w:rsidRDefault="007E3D3F" w:rsidP="007E3D3F">
      <w:pPr>
        <w:pStyle w:val="Heading2"/>
      </w:pPr>
      <w:r w:rsidRPr="00107E4B">
        <w:lastRenderedPageBreak/>
        <w:t xml:space="preserve">Futurism Links </w:t>
      </w:r>
    </w:p>
    <w:p w14:paraId="306354CF" w14:textId="77777777" w:rsidR="007E3D3F" w:rsidRPr="00107E4B" w:rsidRDefault="007E3D3F" w:rsidP="007E3D3F">
      <w:pPr>
        <w:pStyle w:val="Heading3"/>
      </w:pPr>
      <w:r w:rsidRPr="00107E4B">
        <w:lastRenderedPageBreak/>
        <w:t xml:space="preserve">Generic </w:t>
      </w:r>
    </w:p>
    <w:p w14:paraId="6DB95420" w14:textId="77777777" w:rsidR="007E3D3F" w:rsidRPr="00107E4B" w:rsidRDefault="007E3D3F" w:rsidP="007E3D3F">
      <w:pPr>
        <w:pStyle w:val="Heading4"/>
      </w:pPr>
      <w:r w:rsidRPr="00107E4B">
        <w:t xml:space="preserve">Futurism is unproductive </w:t>
      </w:r>
    </w:p>
    <w:p w14:paraId="79DD420A" w14:textId="77777777" w:rsidR="007E3D3F" w:rsidRPr="00107E4B" w:rsidRDefault="007E3D3F" w:rsidP="007E3D3F">
      <w:r w:rsidRPr="00107E4B">
        <w:rPr>
          <w:rStyle w:val="Style13ptBold"/>
        </w:rPr>
        <w:t xml:space="preserve">Salam 06 </w:t>
      </w:r>
      <w:r w:rsidRPr="00107E4B">
        <w:t>(Salam, Reihan.  American political commentator, columnist, and author. He is the executive editor of "</w:t>
      </w:r>
      <w:hyperlink r:id="rId10" w:tooltip="National Review" w:history="1">
        <w:r w:rsidRPr="00107E4B">
          <w:rPr>
            <w:rStyle w:val="Hyperlink"/>
          </w:rPr>
          <w:t>National Review</w:t>
        </w:r>
      </w:hyperlink>
      <w:r w:rsidRPr="00107E4B">
        <w:t>" "The Future of Futurism." Slate. The Slate Group, 09 June 2006. Web. &lt;http://www.slate.com/articles/technology/technology/2006/06/the_future_of_futurism.html&gt;.)</w:t>
      </w:r>
    </w:p>
    <w:p w14:paraId="383B618F" w14:textId="77777777" w:rsidR="007E3D3F" w:rsidRPr="00107E4B" w:rsidRDefault="007E3D3F" w:rsidP="007E3D3F">
      <w:pPr>
        <w:rPr>
          <w:sz w:val="16"/>
        </w:rPr>
      </w:pPr>
      <w:r w:rsidRPr="00107E4B">
        <w:rPr>
          <w:sz w:val="16"/>
        </w:rPr>
        <w:t xml:space="preserve">The problem is that we mean different things by “future.” </w:t>
      </w:r>
      <w:r w:rsidRPr="00107E4B">
        <w:rPr>
          <w:rStyle w:val="StyleUnderline"/>
        </w:rPr>
        <w:t>The reality is that there are other ways of imagining our relationship to time.</w:t>
      </w:r>
      <w:r w:rsidRPr="00107E4B">
        <w:rPr>
          <w:sz w:val="16"/>
        </w:rPr>
        <w:t xml:space="preserve"> Steffen outlines six 1. THE PAST. Character is history; character is destiny. </w:t>
      </w:r>
      <w:r w:rsidRPr="00107E4B">
        <w:rPr>
          <w:rStyle w:val="StyleUnderline"/>
        </w:rPr>
        <w:t>We have a way of rewriting history to suggest what the future will be</w:t>
      </w:r>
      <w:r w:rsidRPr="00107E4B">
        <w:rPr>
          <w:sz w:val="16"/>
        </w:rPr>
        <w:t xml:space="preserve">. To wit: The Alamo. It has been purposed and repurposed to be a lesson that substantiates Manifest Destiny, multi-cultural origins, and even anti-tax rhetoric. It positions where we’re going in the past. Steffen suggests that it’s worth knowing that there is often a huge gap between what professional historians think/believe and how retellers of these stories reflect these stories. 2. SIMPLE PREDICTION. </w:t>
      </w:r>
      <w:r w:rsidRPr="00107E4B">
        <w:rPr>
          <w:rStyle w:val="StyleUnderline"/>
        </w:rPr>
        <w:t>Most predictions are glaringly wrong</w:t>
      </w:r>
      <w:r w:rsidRPr="00107E4B">
        <w:rPr>
          <w:sz w:val="16"/>
        </w:rPr>
        <w:t>. I</w:t>
      </w:r>
      <w:r w:rsidRPr="00107E4B">
        <w:rPr>
          <w:rStyle w:val="StyleUnderline"/>
        </w:rPr>
        <w:t xml:space="preserve">t is important to know </w:t>
      </w:r>
      <w:r w:rsidRPr="00107E4B">
        <w:rPr>
          <w:sz w:val="16"/>
        </w:rPr>
        <w:t xml:space="preserve">the </w:t>
      </w:r>
      <w:r w:rsidRPr="00107E4B">
        <w:rPr>
          <w:rStyle w:val="StyleUnderline"/>
        </w:rPr>
        <w:t xml:space="preserve">difference between predictions grounded on data and articulated as probabilities, and predictions that are simply personal opinion founded on a set of individual, qualitative beliefs. </w:t>
      </w:r>
      <w:r w:rsidRPr="00107E4B">
        <w:rPr>
          <w:sz w:val="16"/>
        </w:rPr>
        <w:t>The latter is not always wrong, but the inquirer needs to be careful about them. One huge example: Climate Change. One side has assigned a set of probabilities, data, and created peer-reviewed work to predict our trajectory. Based on this scientific effort, the globe is on a track toward 7 degrees warming. There are very few predictions about what 7 degrees means because it represents such a profound change; there is no meaningful prediction. So academics and media talk about is 4 degrees and 2 degrees. “Business as usual” will land us at 4. But business as usual is not a fair way of dealing with the future. The climate models accepted by the scientific community give us budgets, curves and timelines; these are effectively predicting our future scientifically. If we want to have a more reasonable task, we must start to lower our emissions on an individual and national level. In fact, what we do now about carbon matters in a way that few moments have mattered. Impacts will be with us for thousands of years. All of this is a direct read of the world’s largest peer reviewed process of prediction. This is very real. We can look and feel despair, but Steffen believes that in fact there are many incentives aligning for the private sector to re-think its relationship to carbon. One of the reasons why change will happen is that the sheer size of the assets at risk from climate change, added to how much can be made from switching to new platforms and technologies, far outweigh the fossil fuel business. Steffen maintains that, fundamentally, there is only one question: how long will politics allow this delay to continue? 1. PREDICTING THE PRESENT</w:t>
      </w:r>
      <w:r w:rsidRPr="00107E4B">
        <w:rPr>
          <w:rStyle w:val="StyleUnderline"/>
        </w:rPr>
        <w:t>. Building on William Gibson</w:t>
      </w:r>
      <w:r w:rsidRPr="00107E4B">
        <w:rPr>
          <w:sz w:val="16"/>
        </w:rPr>
        <w:t xml:space="preserve">, author of Neuromancer, this way of approaching time suggests that </w:t>
      </w:r>
      <w:r w:rsidRPr="00107E4B">
        <w:rPr>
          <w:rStyle w:val="StyleUnderline"/>
        </w:rPr>
        <w:t>we predict the future by looking at things that have already been built in the present.</w:t>
      </w:r>
      <w:r w:rsidRPr="00107E4B">
        <w:rPr>
          <w:sz w:val="16"/>
        </w:rPr>
        <w:t xml:space="preserve"> (Gibson’s famous quote is some semblance of: “The Future is here; it’s not evenly distributed.”) </w:t>
      </w:r>
      <w:r w:rsidRPr="00107E4B">
        <w:rPr>
          <w:rStyle w:val="StyleUnderline"/>
        </w:rPr>
        <w:t>We can look for things in our current environs that suggest where change will take place.</w:t>
      </w:r>
      <w:r w:rsidRPr="00107E4B">
        <w:rPr>
          <w:sz w:val="16"/>
        </w:rPr>
        <w:t xml:space="preserve"> 1. ANTICIPATION OR PROVOCATION. This relationship to time uses new products as provocation. Steffen put up a fake-product picture of “panda jerky” (lab-grown panda meat, made into jerky, and packaged like any other FMCG). Concept cars brought to the auto shows are an example of anticipation or provocation. The TV show “Black Mirror” is this sort of speculative science fiction; its construct is that it takes one unintended consequence of a new technology and “blows it out,” trying to see how technology would change the future if its taken to an extreme conclusion. Many other types of science fiction (e.g., Mad Max) are themselves provocations, and not all of them are silly. (The Red Mars, Green Mars, Blue Mars Trilogy by Kim Stanley Robinson is one such example. Its premise: What if we tried settling Mars and the people who settled decided to rethink society?). Provocation can become the grounds for more detailed and thoughtful examination. 2. VISIONARY FUTURES. “Dune” is a detailed systems future using things that aren’t possible, but an excellent vision of a different reality. These works are often about “world building.” </w:t>
      </w:r>
      <w:r w:rsidRPr="00107E4B">
        <w:rPr>
          <w:rStyle w:val="StyleUnderline"/>
        </w:rPr>
        <w:t>World</w:t>
      </w:r>
      <w:r w:rsidRPr="00107E4B">
        <w:rPr>
          <w:sz w:val="16"/>
        </w:rPr>
        <w:t xml:space="preserve"> </w:t>
      </w:r>
      <w:r w:rsidRPr="00107E4B">
        <w:rPr>
          <w:rStyle w:val="StyleUnderline"/>
        </w:rPr>
        <w:t>building</w:t>
      </w:r>
      <w:r w:rsidRPr="00107E4B">
        <w:rPr>
          <w:sz w:val="16"/>
        </w:rPr>
        <w:t xml:space="preserve"> </w:t>
      </w:r>
      <w:r w:rsidRPr="00107E4B">
        <w:rPr>
          <w:rStyle w:val="StyleUnderline"/>
        </w:rPr>
        <w:t>itself</w:t>
      </w:r>
      <w:r w:rsidRPr="00107E4B">
        <w:rPr>
          <w:sz w:val="16"/>
        </w:rPr>
        <w:t xml:space="preserve"> </w:t>
      </w:r>
      <w:r w:rsidRPr="00107E4B">
        <w:rPr>
          <w:rStyle w:val="StyleUnderline"/>
        </w:rPr>
        <w:t>has become a popular cultural activity</w:t>
      </w:r>
      <w:r w:rsidRPr="00107E4B">
        <w:rPr>
          <w:sz w:val="16"/>
        </w:rPr>
        <w:t>. I</w:t>
      </w:r>
      <w:r w:rsidRPr="00107E4B">
        <w:rPr>
          <w:rStyle w:val="StyleUnderline"/>
        </w:rPr>
        <w:t>t’s evident in role-playing games</w:t>
      </w:r>
      <w:r w:rsidRPr="00107E4B">
        <w:rPr>
          <w:sz w:val="16"/>
        </w:rPr>
        <w:t xml:space="preserve">, and the way people look at programs like “Lost”. Often these visionary futures are pure entertainment. </w:t>
      </w:r>
      <w:r w:rsidRPr="00107E4B">
        <w:rPr>
          <w:rStyle w:val="StyleUnderline"/>
        </w:rPr>
        <w:t>We can think of this as escapism being a future function of our society. We don’t necessarily believe in what this outlines, but we are entertained</w:t>
      </w:r>
      <w:r w:rsidRPr="00107E4B">
        <w:rPr>
          <w:sz w:val="16"/>
        </w:rPr>
        <w:t>.</w:t>
      </w:r>
    </w:p>
    <w:p w14:paraId="591A8264" w14:textId="77777777" w:rsidR="007E3D3F" w:rsidRPr="00107E4B" w:rsidRDefault="007E3D3F" w:rsidP="007E3D3F">
      <w:pPr>
        <w:pStyle w:val="Heading4"/>
      </w:pPr>
      <w:r w:rsidRPr="00107E4B">
        <w:t xml:space="preserve">Imagination </w:t>
      </w:r>
      <w:r>
        <w:t>trades off with everyday issues</w:t>
      </w:r>
    </w:p>
    <w:p w14:paraId="69090F31" w14:textId="77777777" w:rsidR="007E3D3F" w:rsidRPr="00107E4B" w:rsidRDefault="007E3D3F" w:rsidP="007E3D3F">
      <w:r w:rsidRPr="00107E4B">
        <w:rPr>
          <w:rStyle w:val="Style13ptBold"/>
        </w:rPr>
        <w:t xml:space="preserve">Wojciszke &amp; Bocian 18 </w:t>
      </w:r>
      <w:r w:rsidRPr="00107E4B">
        <w:t>( Wojciszke, B., &amp; Bocian, K. (2018). Bad methods drive out good: The curse of imagination in social psychology research. Social Psychological Bulletin, 13(2), Article e26062. https://doi.org/10.5964/spb.v13i2.26062)</w:t>
      </w:r>
    </w:p>
    <w:p w14:paraId="1B98B4FA" w14:textId="77777777" w:rsidR="007E3D3F" w:rsidRPr="00107E4B" w:rsidRDefault="007E3D3F" w:rsidP="007E3D3F">
      <w:pPr>
        <w:rPr>
          <w:sz w:val="16"/>
        </w:rPr>
      </w:pPr>
      <w:r w:rsidRPr="00107E4B">
        <w:rPr>
          <w:rStyle w:val="StyleUnderline"/>
        </w:rPr>
        <w:lastRenderedPageBreak/>
        <w:t>We agree with Doliński (2018, this issue) that behavior is disappearing as an object of study of contemporary social psychology and it has been increasingly replaced by verbal declarations of imagined behaviors, which are analyzed as dependent variables. We read this as a case of a methodological version of Gresham’s law: “bad methods drive out good”. We notice a complementary trend on the side of manipulations of independent variables. Instead of manipulating real situations, researchers frequently instruct their participants to imagine these situations. In effect, social psychology drifts to studying imaginary behaviors in imagined situations and this poses a serious threat for the validity of our findings. We present one study comparing responses to imagined and actually experienced situations (concerning moral judgment and trust) and find that these two types of situation produce divergent responses. We conclude that imagined situations cannot be a source of knowledge about responses in situations that people really experience. It is well known that when good (more valuable) and bad (less valuable) money are in circulation, the former tends to disappear and the latter remains in circulation. This is called Gresham’s law, though it was known to both Aristophanes and Copernicus, and extends far beyond economy.</w:t>
      </w:r>
      <w:r w:rsidRPr="00107E4B">
        <w:rPr>
          <w:sz w:val="16"/>
        </w:rPr>
        <w:t xml:space="preserve"> Cheap, easy, and low labor-intense methods substitute methods that are time-consuming, high labor-intense, and tough to obtain. </w:t>
      </w:r>
      <w:r w:rsidRPr="00107E4B">
        <w:rPr>
          <w:rStyle w:val="StyleUnderline"/>
        </w:rPr>
        <w:t xml:space="preserve">Analyzing a recent issue of JPSP, the flagship journal of our discipline, Doliński (2018, this issue) discovers that only 6% of studies published there measured real behaviors as a dependent variable, with the rest using verbal responses. That is, instead of measuring what people are doing, social psychology measures what people say they are doing. As pointed out by Doliński, “there are mountains of evidence” that these two are not the same, for example, because people frequently do not know what they are doing. </w:t>
      </w:r>
      <w:r w:rsidRPr="00107E4B">
        <w:rPr>
          <w:sz w:val="16"/>
        </w:rPr>
        <w:t xml:space="preserve">Whereas Doliński identifies Gresham’s law on the side of dependent measures, we suspect that a similar phenomenon can also be found on the side of manipulations of independent variables. </w:t>
      </w:r>
      <w:r w:rsidRPr="00107E4B">
        <w:rPr>
          <w:rStyle w:val="StyleUnderline"/>
        </w:rPr>
        <w:t>Specifically, researchers can assign their participants to real situations like having power, experiencing anger or cooperating with another person, but they can also use low-effort substitutes of these situations, like asking for a recall of a past situation of having power, imagining they are angry or imagining that they are cooperating with somebody. To answer this question, we analyzed the same JPSP issue. We found that out of a total of 290 studies, 37% introduced the participants to a real situation or stimulus, 40% used a low effort substitute like imagination or recall, and 23% ignored the situation altogether (correlational studies).</w:t>
      </w:r>
      <w:r w:rsidRPr="00107E4B">
        <w:rPr>
          <w:sz w:val="16"/>
        </w:rPr>
        <w:t xml:space="preserve"> So, the issue with behavioral manipulations is not as acute as the one with behavioral measures, yet it remains a serious problem, because merely imagined situations may produce effects that are a far cry from effects of situations actually experienced.</w:t>
      </w:r>
    </w:p>
    <w:p w14:paraId="4C639D0E" w14:textId="77777777" w:rsidR="007E3D3F" w:rsidRPr="00107E4B" w:rsidRDefault="007E3D3F" w:rsidP="007E3D3F">
      <w:pPr>
        <w:pStyle w:val="Heading4"/>
      </w:pPr>
      <w:r>
        <w:t xml:space="preserve">Their reliance on political imagination is dangerous because our dreams become stand-ins for tangible solutions which leads to the worst forms of nationalism and egotism. </w:t>
      </w:r>
    </w:p>
    <w:p w14:paraId="248D11CE" w14:textId="77777777" w:rsidR="007E3D3F" w:rsidRPr="00107E4B" w:rsidRDefault="007E3D3F" w:rsidP="007E3D3F">
      <w:pPr>
        <w:rPr>
          <w:rStyle w:val="Style13ptBold"/>
        </w:rPr>
      </w:pPr>
      <w:r w:rsidRPr="00107E4B">
        <w:rPr>
          <w:rStyle w:val="Style13ptBold"/>
        </w:rPr>
        <w:t xml:space="preserve">Rovelli 13, </w:t>
      </w:r>
      <w:r w:rsidRPr="00107E4B">
        <w:t xml:space="preserve">Carlo Rovelli [Theoretical Physicist; Aix-Marseille University, in the Centre de Physique Théorique, Marseille, France; Author, </w:t>
      </w:r>
      <w:r w:rsidRPr="00107E4B">
        <w:rPr>
          <w:i/>
          <w:iCs/>
        </w:rPr>
        <w:t>Reality Is Not What It Seems</w:t>
      </w:r>
      <w:r w:rsidRPr="00107E4B">
        <w:t>], 2013, “2013 : WHAT *SHOULD* WE BE WORRIED ABOUT?” Edge.org, https://www.edge.org/response-detail/23695</w:t>
      </w:r>
    </w:p>
    <w:p w14:paraId="52F0DF01" w14:textId="77777777" w:rsidR="007E3D3F" w:rsidRPr="00107E4B" w:rsidRDefault="007E3D3F" w:rsidP="007E3D3F">
      <w:pPr>
        <w:rPr>
          <w:rStyle w:val="StyleUnderline"/>
        </w:rPr>
      </w:pPr>
      <w:r w:rsidRPr="00107E4B">
        <w:rPr>
          <w:sz w:val="16"/>
        </w:rPr>
        <w:t xml:space="preserve">Worries about imagination might seem out of place in a context like Edge, where intelligent creativity shines. I myself have often spent words in praise of visionary imagination and of those who could think what nobody else could. </w:t>
      </w:r>
      <w:r w:rsidRPr="00107E4B">
        <w:rPr>
          <w:rStyle w:val="StyleUnderline"/>
        </w:rPr>
        <w:t xml:space="preserve">But I worry that free imagination is overvalued, and I think this carries risks. In theoretical physics, my field, technical journals are replete with multi-universes, parallel dimensions, scores of particles that nobody </w:t>
      </w:r>
      <w:r w:rsidRPr="00107E4B">
        <w:rPr>
          <w:rStyle w:val="StyleUnderline"/>
        </w:rPr>
        <w:lastRenderedPageBreak/>
        <w:t>has ever seen, and so on.</w:t>
      </w:r>
      <w:r w:rsidRPr="00107E4B">
        <w:rPr>
          <w:sz w:val="16"/>
        </w:rPr>
        <w:t xml:space="preserve"> Physicists often look down to philosophers but they are influenced by philosophers' ideas more than they admit—and most of them have absorbed from Popper, Kuhn, Feyerabend, and other philosophers, the idea that science advances by throwing away the past and fancying novel visions. The heroes are Copernicus, who dared sending Earth flying around the Sun, and Einstein, who dared imagining space curved and fused with time. </w:t>
      </w:r>
      <w:r w:rsidRPr="00107E4B">
        <w:rPr>
          <w:rStyle w:val="StyleUnderline"/>
        </w:rPr>
        <w:t>Copernicus and Einstein turned out to be right, in a very strong sense. Will the current fantasies be equally successful? I feel a strange sense of unease. It is one thing to have ideas, it is another thing to have good ideas. There is value in producing ideas. There is value in screening them.</w:t>
      </w:r>
      <w:r w:rsidRPr="00107E4B">
        <w:rPr>
          <w:sz w:val="16"/>
        </w:rPr>
        <w:t xml:space="preserve"> A number of my colleagues in theoretical physics have spent their life studying a possible symmetry of nature called "supersymmetry". Experiments in laboratories like Geneva's CERN seem now to be pointing more towards the absence than the presence of this symmetry. I have seen lost stares in the eyes of some colleagues: "Could it be?", how dare Nature not confirm to our imagination? </w:t>
      </w:r>
      <w:r w:rsidRPr="00107E4B">
        <w:rPr>
          <w:rStyle w:val="StyleUnderline"/>
        </w:rPr>
        <w:t>The task of separating the good thoughts from the silly ones is extremely hard, of course, but this is precisely where intelligence matters, what should be nurtured. Isn't it? But many say today that, after all, there are no "good ideas" and "bad ideas". All ideas can be good. I hear this in philosophy departments, from very smart colleagues: "every idea is right in its own context"; or, "we do not have to suppress ideas that might turn out to be better tomorrow"; or "everything is better than lack of creativity". We often have to choose between truth or consolation, between realizing that we do not know, or making up pretty stories. To a large extent, we live in narrations we weave ourselves. So, why not just go for the sweetest of these? After we have freed ourselves from the close-mindedness of the past, why not feel free? We can create enchanting explanations, images of ourselves, of our own great country, of our great society. We can be fascinated by our own dreams. But something tells me we should worry. We live inside a real world, where not all the stories are equally good, equally effective. One dream out of many is the good one. Few explanations are the correct ones.</w:t>
      </w:r>
      <w:r w:rsidRPr="00107E4B">
        <w:rPr>
          <w:sz w:val="16"/>
        </w:rPr>
        <w:t xml:space="preserve"> Einstein used to say "I have no special talents, I am only passionately curious". His curiosity led him to find the diamonds in the dusty shelves, not dreams out the blue sky. The difficulty is that more often than not, our wild imaginations turn out to write poor drafts with respect to the surprising variety of reality. </w:t>
      </w:r>
      <w:r w:rsidRPr="00107E4B">
        <w:rPr>
          <w:rStyle w:val="StyleUnderline"/>
        </w:rPr>
        <w:t>Scientific intelligence met the triumphs that have lead us here by positing theories and by being extraordinarily suspicious about its own products. My worry is that we are going overboard with our contemporary fascination with imagination, and, in so doing, we risk losing track of the harsh independence of the world from the weakness of our minds.</w:t>
      </w:r>
    </w:p>
    <w:p w14:paraId="7DA81B07" w14:textId="77777777" w:rsidR="007E3D3F" w:rsidRPr="00107E4B" w:rsidRDefault="007E3D3F" w:rsidP="007E3D3F">
      <w:pPr>
        <w:pStyle w:val="Heading3"/>
      </w:pPr>
      <w:r w:rsidRPr="00107E4B">
        <w:lastRenderedPageBreak/>
        <w:t xml:space="preserve">Afro-Futurism Bad </w:t>
      </w:r>
    </w:p>
    <w:p w14:paraId="3521CA70" w14:textId="77777777" w:rsidR="007E3D3F" w:rsidRPr="00107E4B" w:rsidRDefault="007E3D3F" w:rsidP="007E3D3F">
      <w:pPr>
        <w:pStyle w:val="Heading4"/>
      </w:pPr>
      <w:r w:rsidRPr="00107E4B">
        <w:t>Afro-Future is imagined as a male dominated space.</w:t>
      </w:r>
    </w:p>
    <w:p w14:paraId="6C5FFDEE" w14:textId="77777777" w:rsidR="007E3D3F" w:rsidRPr="00107E4B" w:rsidRDefault="007E3D3F" w:rsidP="007E3D3F">
      <w:pPr>
        <w:shd w:val="clear" w:color="auto" w:fill="FFFFFF"/>
        <w:rPr>
          <w:rFonts w:asciiTheme="minorHAnsi" w:hAnsiTheme="minorHAnsi" w:cstheme="minorHAnsi"/>
          <w:color w:val="222222"/>
          <w:sz w:val="16"/>
          <w:szCs w:val="18"/>
        </w:rPr>
      </w:pPr>
      <w:r w:rsidRPr="00107E4B">
        <w:rPr>
          <w:rStyle w:val="Style13ptBold"/>
        </w:rPr>
        <w:t>AH 2011</w:t>
      </w:r>
      <w:r w:rsidRPr="00107E4B">
        <w:rPr>
          <w:rFonts w:ascii="Arial" w:hAnsi="Arial" w:cs="Arial"/>
          <w:color w:val="222222"/>
        </w:rPr>
        <w:t> </w:t>
      </w:r>
      <w:r w:rsidRPr="00107E4B">
        <w:t>(From a collection of short posts on the blog of Jakeya Caruthers, PhD Candidate in Anthropology of Education at Stanford University where she teaches courses on Black Childhood, Queer Afrofuturism and occasionally guest-lectures on representations of race, sex, and gender in popular culture. Her courses have earned her a Middlebrook Prize for Graduate Teaching and a teaching fellowship with Stanford’s Center for the Comparative Study of Race and Ethnicity. June 2, 2011 </w:t>
      </w:r>
      <w:hyperlink r:id="rId11" w:tgtFrame="_blank" w:history="1">
        <w:r w:rsidRPr="00107E4B">
          <w:rPr>
            <w:rStyle w:val="Hyperlink"/>
          </w:rPr>
          <w:t>http://queeringafrofuturism.tumblr.com/post/6126537901/female-presence-in-the-afro-future</w:t>
        </w:r>
      </w:hyperlink>
      <w:r w:rsidRPr="00107E4B">
        <w:t>)</w:t>
      </w:r>
    </w:p>
    <w:p w14:paraId="399D8C19" w14:textId="77777777" w:rsidR="007E3D3F" w:rsidRPr="00107E4B" w:rsidRDefault="007E3D3F" w:rsidP="007E3D3F">
      <w:pPr>
        <w:shd w:val="clear" w:color="auto" w:fill="FFFFFF"/>
      </w:pPr>
      <w:r w:rsidRPr="00107E4B">
        <w:rPr>
          <w:rFonts w:asciiTheme="minorHAnsi" w:hAnsiTheme="minorHAnsi" w:cstheme="minorHAnsi"/>
          <w:color w:val="222222"/>
          <w:sz w:val="16"/>
          <w:szCs w:val="18"/>
        </w:rPr>
        <w:t>In J. Griffith </w:t>
      </w:r>
      <w:r w:rsidRPr="00107E4B">
        <w:rPr>
          <w:rFonts w:asciiTheme="minorHAnsi" w:hAnsiTheme="minorHAnsi" w:cstheme="minorHAnsi"/>
          <w:color w:val="222222"/>
          <w:u w:val="single"/>
        </w:rPr>
        <w:t>Rollefson</w:t>
      </w:r>
      <w:r w:rsidRPr="00107E4B">
        <w:rPr>
          <w:rFonts w:asciiTheme="minorHAnsi" w:hAnsiTheme="minorHAnsi" w:cstheme="minorHAnsi"/>
          <w:color w:val="222222"/>
          <w:sz w:val="16"/>
          <w:szCs w:val="18"/>
        </w:rPr>
        <w:t>’s work “The Robot Voodoo Power Thesis: Afrofuturism and anti-anti-essentialism from Sun Ra to Kool Keith” the author </w:t>
      </w:r>
      <w:r w:rsidRPr="00107E4B">
        <w:rPr>
          <w:rFonts w:asciiTheme="minorHAnsi" w:hAnsiTheme="minorHAnsi" w:cstheme="minorHAnsi"/>
          <w:color w:val="222222"/>
          <w:u w:val="single"/>
        </w:rPr>
        <w:t>argues that afrofuturism</w:t>
      </w:r>
      <w:r w:rsidRPr="00107E4B">
        <w:rPr>
          <w:rFonts w:asciiTheme="minorHAnsi" w:hAnsiTheme="minorHAnsi" w:cstheme="minorHAnsi"/>
          <w:color w:val="222222"/>
          <w:sz w:val="16"/>
          <w:szCs w:val="18"/>
        </w:rPr>
        <w:t>, though often viewed as a constructed fantasy and sort of post human, futurist sensibility, </w:t>
      </w:r>
      <w:r w:rsidRPr="00107E4B">
        <w:rPr>
          <w:rFonts w:asciiTheme="minorHAnsi" w:hAnsiTheme="minorHAnsi" w:cstheme="minorHAnsi"/>
          <w:color w:val="222222"/>
          <w:u w:val="single"/>
        </w:rPr>
        <w:t>has “real” productive potential</w:t>
      </w:r>
      <w:r w:rsidRPr="00107E4B">
        <w:rPr>
          <w:rFonts w:asciiTheme="minorHAnsi" w:hAnsiTheme="minorHAnsi" w:cstheme="minorHAnsi"/>
          <w:color w:val="222222"/>
          <w:sz w:val="16"/>
          <w:szCs w:val="18"/>
        </w:rPr>
        <w:t> towards the larger project of cultural theory. He argues specifically that, “By stepping out side of the white liberal tradition and rewriting blackness in all its complexity, afrofuturism offers a novel form of revolution that is rooted in a long history of black opposition”. In his work Rollefson sites artists that while productive in their audacity to (re)envision and reproduce alter-destinies, still through practice and position reify notions of hetro-patriarchy and sexism. </w:t>
      </w:r>
      <w:r w:rsidRPr="00107E4B">
        <w:rPr>
          <w:rFonts w:asciiTheme="minorHAnsi" w:hAnsiTheme="minorHAnsi" w:cstheme="minorHAnsi"/>
          <w:color w:val="222222"/>
          <w:u w:val="single"/>
        </w:rPr>
        <w:t>In</w:t>
      </w:r>
      <w:r w:rsidRPr="00107E4B">
        <w:rPr>
          <w:rFonts w:asciiTheme="minorHAnsi" w:hAnsiTheme="minorHAnsi" w:cstheme="minorHAnsi"/>
          <w:color w:val="222222"/>
          <w:sz w:val="16"/>
          <w:szCs w:val="18"/>
        </w:rPr>
        <w:t> all of </w:t>
      </w:r>
      <w:r w:rsidRPr="00107E4B">
        <w:rPr>
          <w:rFonts w:asciiTheme="minorHAnsi" w:hAnsiTheme="minorHAnsi" w:cstheme="minorHAnsi"/>
          <w:color w:val="222222"/>
          <w:u w:val="single"/>
        </w:rPr>
        <w:t>his examples he presents male-bodied individuals as the leaders of this new wave of cultural thought and progression into the future</w:t>
      </w:r>
      <w:r w:rsidRPr="00107E4B">
        <w:rPr>
          <w:rFonts w:asciiTheme="minorHAnsi" w:hAnsiTheme="minorHAnsi" w:cstheme="minorHAnsi"/>
          <w:color w:val="222222"/>
          <w:sz w:val="16"/>
          <w:szCs w:val="18"/>
        </w:rPr>
        <w:t>. The first is the highly noted </w:t>
      </w:r>
      <w:r w:rsidRPr="00107E4B">
        <w:rPr>
          <w:rFonts w:asciiTheme="minorHAnsi" w:hAnsiTheme="minorHAnsi" w:cstheme="minorHAnsi"/>
          <w:color w:val="222222"/>
          <w:u w:val="single"/>
        </w:rPr>
        <w:t>Sun Ra</w:t>
      </w:r>
      <w:r w:rsidRPr="00107E4B">
        <w:rPr>
          <w:rFonts w:asciiTheme="minorHAnsi" w:hAnsiTheme="minorHAnsi" w:cstheme="minorHAnsi"/>
          <w:color w:val="222222"/>
          <w:sz w:val="16"/>
          <w:szCs w:val="18"/>
        </w:rPr>
        <w:t>, band leader for the Arkestra.</w:t>
      </w:r>
      <w:r w:rsidRPr="00107E4B">
        <w:rPr>
          <w:rFonts w:asciiTheme="minorHAnsi" w:hAnsiTheme="minorHAnsi" w:cstheme="minorHAnsi"/>
          <w:color w:val="222222"/>
          <w:sz w:val="16"/>
          <w:szCs w:val="18"/>
          <w:bdr w:val="none" w:sz="0" w:space="0" w:color="auto" w:frame="1"/>
        </w:rPr>
        <w:t> </w:t>
      </w:r>
      <w:r w:rsidRPr="00107E4B">
        <w:rPr>
          <w:rFonts w:asciiTheme="minorHAnsi" w:hAnsiTheme="minorHAnsi" w:cstheme="minorHAnsi"/>
          <w:color w:val="222222"/>
          <w:sz w:val="16"/>
          <w:szCs w:val="18"/>
        </w:rPr>
        <w:t>Rollefson highlights the leader’s ability to institute a new wave of futurist thought through an insistence that he was not of this planet and neither is any black person. The author notes that Sun-Ra creates a new space through which black people can begin to let go of desires towards equal citizenship through an indoctrination into an alternate world, that of the uni-verse. Rollefson, notes that Sun Ra </w:t>
      </w:r>
      <w:r w:rsidRPr="00107E4B">
        <w:rPr>
          <w:rFonts w:asciiTheme="minorHAnsi" w:hAnsiTheme="minorHAnsi" w:cstheme="minorHAnsi"/>
          <w:color w:val="222222"/>
          <w:u w:val="single"/>
        </w:rPr>
        <w:t>and other noted leaders such as George Clinton and Parliament-Funkadelic, as well as MC’s such as Kool Keith “established the core tenet of anti-anti-essentialist collapsed binaries”</w:t>
      </w:r>
      <w:r w:rsidRPr="00107E4B">
        <w:rPr>
          <w:rFonts w:asciiTheme="minorHAnsi" w:hAnsiTheme="minorHAnsi" w:cstheme="minorHAnsi"/>
          <w:color w:val="222222"/>
          <w:sz w:val="16"/>
          <w:szCs w:val="18"/>
        </w:rPr>
        <w:t>. He continues further: “ I would like to assert that they do have real political efficacy because they problematize the rigid binary of blackness/whiteness and the matrix of binaries that are inscribed up this central set.” </w:t>
      </w:r>
      <w:r w:rsidRPr="00107E4B">
        <w:rPr>
          <w:rFonts w:asciiTheme="minorHAnsi" w:hAnsiTheme="minorHAnsi" w:cstheme="minorHAnsi"/>
          <w:color w:val="222222"/>
          <w:u w:val="single"/>
        </w:rPr>
        <w:t>Such reimagining works to blur the lines of whiteness and blackness perhaps, however, they do little to renegotiate the history of sexism and erasure that these same histories present (as an opposition) to the project of feminist politics.</w:t>
      </w:r>
      <w:r w:rsidRPr="00107E4B">
        <w:rPr>
          <w:rFonts w:asciiTheme="minorHAnsi" w:hAnsiTheme="minorHAnsi" w:cstheme="minorHAnsi"/>
          <w:color w:val="222222"/>
          <w:u w:val="single"/>
          <w:bdr w:val="none" w:sz="0" w:space="0" w:color="auto" w:frame="1"/>
        </w:rPr>
        <w:t> </w:t>
      </w:r>
      <w:r w:rsidRPr="00107E4B">
        <w:rPr>
          <w:rFonts w:asciiTheme="minorHAnsi" w:hAnsiTheme="minorHAnsi" w:cstheme="minorHAnsi"/>
          <w:color w:val="222222"/>
          <w:sz w:val="16"/>
          <w:szCs w:val="18"/>
        </w:rPr>
        <w:t>Through Rollefson’s reading </w:t>
      </w:r>
      <w:r w:rsidRPr="00107E4B">
        <w:rPr>
          <w:rFonts w:asciiTheme="minorHAnsi" w:hAnsiTheme="minorHAnsi" w:cstheme="minorHAnsi"/>
          <w:b/>
          <w:bCs/>
          <w:color w:val="222222"/>
          <w:u w:val="single"/>
        </w:rPr>
        <w:t>we find that the female presence is non-existent in the theorized</w:t>
      </w:r>
      <w:r w:rsidRPr="00107E4B">
        <w:rPr>
          <w:rFonts w:asciiTheme="minorHAnsi" w:hAnsiTheme="minorHAnsi" w:cstheme="minorHAnsi"/>
          <w:color w:val="222222"/>
          <w:sz w:val="16"/>
          <w:szCs w:val="18"/>
        </w:rPr>
        <w:t> (and thus archived) </w:t>
      </w:r>
      <w:r w:rsidRPr="00107E4B">
        <w:rPr>
          <w:rFonts w:asciiTheme="minorHAnsi" w:hAnsiTheme="minorHAnsi" w:cstheme="minorHAnsi"/>
          <w:b/>
          <w:bCs/>
          <w:color w:val="222222"/>
          <w:u w:val="single"/>
        </w:rPr>
        <w:t>afrofuture</w:t>
      </w:r>
      <w:r w:rsidRPr="00107E4B">
        <w:rPr>
          <w:rFonts w:asciiTheme="minorHAnsi" w:hAnsiTheme="minorHAnsi" w:cstheme="minorHAnsi"/>
          <w:color w:val="222222"/>
          <w:sz w:val="16"/>
          <w:szCs w:val="18"/>
        </w:rPr>
        <w:t>. It is problematic to me that</w:t>
      </w:r>
      <w:r w:rsidRPr="00107E4B">
        <w:rPr>
          <w:rFonts w:asciiTheme="minorHAnsi" w:hAnsiTheme="minorHAnsi" w:cstheme="minorHAnsi"/>
          <w:color w:val="222222"/>
          <w:u w:val="single"/>
        </w:rPr>
        <w:t> </w:t>
      </w:r>
      <w:r w:rsidRPr="00107E4B">
        <w:rPr>
          <w:rFonts w:asciiTheme="minorHAnsi" w:hAnsiTheme="minorHAnsi" w:cstheme="minorHAnsi"/>
          <w:b/>
          <w:bCs/>
          <w:color w:val="222222"/>
          <w:u w:val="single"/>
        </w:rPr>
        <w:t>no space, imaginary or otherwise, has been offered with which to combat the issues of patriarchy and sexism</w:t>
      </w:r>
      <w:r w:rsidRPr="00107E4B">
        <w:rPr>
          <w:rFonts w:asciiTheme="minorHAnsi" w:hAnsiTheme="minorHAnsi" w:cstheme="minorHAnsi"/>
          <w:color w:val="222222"/>
          <w:u w:val="single"/>
        </w:rPr>
        <w:t> that override our present quests for “Freedom”. </w:t>
      </w:r>
      <w:r w:rsidRPr="00107E4B">
        <w:rPr>
          <w:rFonts w:asciiTheme="minorHAnsi" w:hAnsiTheme="minorHAnsi" w:cstheme="minorHAnsi"/>
          <w:b/>
          <w:bCs/>
          <w:color w:val="222222"/>
          <w:u w:val="single"/>
        </w:rPr>
        <w:t>Until</w:t>
      </w:r>
      <w:r w:rsidRPr="00107E4B">
        <w:rPr>
          <w:rFonts w:asciiTheme="minorHAnsi" w:hAnsiTheme="minorHAnsi" w:cstheme="minorHAnsi"/>
          <w:color w:val="222222"/>
          <w:u w:val="single"/>
        </w:rPr>
        <w:t> the way we think about </w:t>
      </w:r>
      <w:r w:rsidRPr="00107E4B">
        <w:rPr>
          <w:rFonts w:asciiTheme="minorHAnsi" w:hAnsiTheme="minorHAnsi" w:cstheme="minorHAnsi"/>
          <w:b/>
          <w:bCs/>
          <w:color w:val="222222"/>
          <w:u w:val="single"/>
        </w:rPr>
        <w:t>afro futurism is inclusive off all black bodies, the project towards liberation will continue to be stunted.</w:t>
      </w:r>
    </w:p>
    <w:p w14:paraId="6C145FA4" w14:textId="77777777" w:rsidR="007E3D3F" w:rsidRPr="00107E4B" w:rsidRDefault="007E3D3F" w:rsidP="007E3D3F">
      <w:pPr>
        <w:pStyle w:val="Heading4"/>
      </w:pPr>
      <w:r w:rsidRPr="00107E4B">
        <w:t>Afrofuturism masks Eurocentrism and colonial oppression</w:t>
      </w:r>
    </w:p>
    <w:p w14:paraId="64A5F822" w14:textId="77777777" w:rsidR="007E3D3F" w:rsidRPr="00107E4B" w:rsidRDefault="007E3D3F" w:rsidP="007E3D3F">
      <w:r w:rsidRPr="00107E4B">
        <w:rPr>
          <w:rStyle w:val="Style13ptBold"/>
        </w:rPr>
        <w:t>Albiez, 05</w:t>
      </w:r>
      <w:r w:rsidRPr="00107E4B">
        <w:t xml:space="preserve"> (Sean Albiez is Senior Lecturer in Popular Music at Southampton Solent University. He has lectured in popular music studies, music technology and media and cultural studies since 1991, and has been involved in electronic music making since the mid-1980s., Published in 2005 as 'Post Soul Futurama: African American cultural politics and early Detroit Techno' in European Journal of American Culture. Vol 24. No 2. 2005, TAM)</w:t>
      </w:r>
    </w:p>
    <w:p w14:paraId="4E2D1D5F" w14:textId="77777777" w:rsidR="007E3D3F" w:rsidRPr="00107E4B" w:rsidRDefault="007E3D3F" w:rsidP="007E3D3F">
      <w:pPr>
        <w:rPr>
          <w:rStyle w:val="StyleUnderline"/>
        </w:rPr>
      </w:pPr>
      <w:r w:rsidRPr="00107E4B">
        <w:rPr>
          <w:rStyle w:val="StyleUnderline"/>
        </w:rPr>
        <w:t>Cosgrove</w:t>
      </w:r>
      <w:r w:rsidRPr="00107E4B">
        <w:rPr>
          <w:sz w:val="16"/>
        </w:rPr>
        <w:t xml:space="preserve">, in creating </w:t>
      </w:r>
      <w:r w:rsidRPr="00107E4B">
        <w:rPr>
          <w:rStyle w:val="StyleUnderline"/>
        </w:rPr>
        <w:t xml:space="preserve">a thesis that emphasizes the innovatory futurism of techno, rides roughshod over the sensitivities of the black American racial and personal subjectivity of Atkins. </w:t>
      </w:r>
      <w:r w:rsidRPr="00107E4B">
        <w:rPr>
          <w:sz w:val="16"/>
        </w:rPr>
        <w:t>This controversial thesis lingered in later writing on techno, with Sinker stating ‘Techno ... explicitly and contemptuously refused community with Motown and motorcity gospel [in favour of] Gary “Me, I Disconnect From You” Numan’.39 Though there is some evidence to suggest Numan was more important musically to Juan Atkins than Motown, no disrespect was intended to the symbolic achievements of Gordy, and Atkins very specifically acknowledges the key role of electronic and synthesizer experimentation by Bernie Worrell (Funkadelic) and early 1970s Stevie Wonder in his music. Furthermore</w:t>
      </w:r>
      <w:r w:rsidRPr="00107E4B">
        <w:rPr>
          <w:rStyle w:val="StyleUnderline"/>
        </w:rPr>
        <w:t xml:space="preserve">, to cast European electronic </w:t>
      </w:r>
      <w:r w:rsidRPr="00107E4B">
        <w:rPr>
          <w:rStyle w:val="StyleUnderline"/>
        </w:rPr>
        <w:lastRenderedPageBreak/>
        <w:t>music as an escape route for black musicians from the USA’s racially antagonistic environment is to create a comforting story that perhaps helps European writers excise memories of the colonial enslavement of Africans, recasting Europe as a post-industrial sanctuary.</w:t>
      </w:r>
    </w:p>
    <w:p w14:paraId="33CCAA5E" w14:textId="77777777" w:rsidR="007E3D3F" w:rsidRPr="00107E4B" w:rsidRDefault="007E3D3F" w:rsidP="007E3D3F">
      <w:pPr>
        <w:pStyle w:val="Heading4"/>
        <w:rPr>
          <w:u w:val="single"/>
        </w:rPr>
      </w:pPr>
      <w:r w:rsidRPr="00107E4B">
        <w:t>Afrofuturism deepens alienation of communities</w:t>
      </w:r>
    </w:p>
    <w:p w14:paraId="4DB09E5B" w14:textId="77777777" w:rsidR="007E3D3F" w:rsidRPr="00107E4B" w:rsidRDefault="007E3D3F" w:rsidP="007E3D3F">
      <w:pPr>
        <w:rPr>
          <w:u w:val="single"/>
        </w:rPr>
      </w:pPr>
      <w:r w:rsidRPr="00107E4B">
        <w:rPr>
          <w:rStyle w:val="Style13ptBold"/>
        </w:rPr>
        <w:t>McCutcheon 2011</w:t>
      </w:r>
      <w:r w:rsidRPr="00107E4B">
        <w:t xml:space="preserve"> (Mark A. McCutcheon, PhD. Associate Professor, English, Athabasca University. Review: “Debating the Histories and Futures of Black SF” Published in Extrapolation Vol. 52, No. 2)</w:t>
      </w:r>
    </w:p>
    <w:p w14:paraId="0BB7EA78" w14:textId="77777777" w:rsidR="007E3D3F" w:rsidRPr="00107E4B" w:rsidRDefault="007E3D3F" w:rsidP="007E3D3F">
      <w:pPr>
        <w:rPr>
          <w:sz w:val="16"/>
          <w:szCs w:val="20"/>
        </w:rPr>
      </w:pPr>
      <w:r w:rsidRPr="00107E4B">
        <w:rPr>
          <w:rFonts w:eastAsia="Times New Roman" w:cs="Times New Roman"/>
          <w:sz w:val="16"/>
          <w:szCs w:val="20"/>
        </w:rPr>
        <w:t>I</w:t>
      </w:r>
      <w:r w:rsidRPr="00107E4B">
        <w:rPr>
          <w:sz w:val="16"/>
          <w:szCs w:val="20"/>
        </w:rPr>
        <w:t xml:space="preserve">n other words, </w:t>
      </w:r>
      <w:r w:rsidRPr="00107E4B">
        <w:rPr>
          <w:szCs w:val="20"/>
          <w:u w:val="single"/>
        </w:rPr>
        <w:t>Afro-Futurism produces a kind of cyborg, anti-realist identity politics that seeks not to overcome alienation but to deepen it</w:t>
      </w:r>
      <w:r w:rsidRPr="00107E4B">
        <w:rPr>
          <w:sz w:val="16"/>
          <w:szCs w:val="20"/>
        </w:rPr>
        <w:t xml:space="preserve"> as a mode of resis-tance to hegemonic ontologies. </w:t>
      </w:r>
      <w:r w:rsidRPr="00107E4B">
        <w:rPr>
          <w:szCs w:val="20"/>
          <w:u w:val="single"/>
        </w:rPr>
        <w:t>Afro-Futurism's alienating effects</w:t>
      </w:r>
      <w:r w:rsidRPr="00107E4B">
        <w:rPr>
          <w:sz w:val="16"/>
          <w:szCs w:val="20"/>
        </w:rPr>
        <w:t xml:space="preserve"> thus </w:t>
      </w:r>
      <w:r w:rsidRPr="00107E4B">
        <w:rPr>
          <w:szCs w:val="20"/>
          <w:u w:val="single"/>
        </w:rPr>
        <w:t>take aim equally at</w:t>
      </w:r>
      <w:r w:rsidRPr="00107E4B">
        <w:rPr>
          <w:sz w:val="16"/>
          <w:szCs w:val="20"/>
        </w:rPr>
        <w:t xml:space="preserve"> a technocratic modern society founded on white capitalist patriarchy and the racialized terrors of slavery, and at the </w:t>
      </w:r>
      <w:r w:rsidRPr="00107E4B">
        <w:rPr>
          <w:szCs w:val="20"/>
          <w:u w:val="single"/>
        </w:rPr>
        <w:t>dominant forms of subjectivity</w:t>
      </w:r>
      <w:r w:rsidRPr="00107E4B">
        <w:rPr>
          <w:sz w:val="16"/>
          <w:szCs w:val="20"/>
        </w:rPr>
        <w:t xml:space="preserve"> such a society has engendered. So </w:t>
      </w:r>
      <w:r w:rsidRPr="00107E4B">
        <w:rPr>
          <w:szCs w:val="20"/>
          <w:u w:val="single"/>
        </w:rPr>
        <w:t xml:space="preserve">the consistent, conspicuous absence here of any references to </w:t>
      </w:r>
      <w:r w:rsidRPr="00107E4B">
        <w:rPr>
          <w:sz w:val="16"/>
          <w:szCs w:val="20"/>
        </w:rPr>
        <w:t xml:space="preserve">Eshun, Nelson, or Rose (among </w:t>
      </w:r>
      <w:r w:rsidRPr="00107E4B">
        <w:rPr>
          <w:szCs w:val="20"/>
          <w:u w:val="single"/>
        </w:rPr>
        <w:t>others), while</w:t>
      </w:r>
      <w:r w:rsidRPr="00107E4B">
        <w:rPr>
          <w:sz w:val="16"/>
          <w:szCs w:val="20"/>
        </w:rPr>
        <w:t xml:space="preserve"> presumably </w:t>
      </w:r>
      <w:r w:rsidRPr="00107E4B">
        <w:rPr>
          <w:szCs w:val="20"/>
          <w:u w:val="single"/>
        </w:rPr>
        <w:t>unintended, nonetheless tends more to suppress than to enable a dialogue with Afro-Futurism</w:t>
      </w:r>
      <w:r w:rsidRPr="00107E4B">
        <w:rPr>
          <w:sz w:val="16"/>
          <w:szCs w:val="20"/>
        </w:rPr>
        <w:t xml:space="preserve">—an effect exacerbated by the editor's insistent self-positioning as a "pioneer" in this field (251; cf. ix, 245). Barr's editorial self-positioning (with its problematically colonialist figuring) relates the collection's </w:t>
      </w:r>
      <w:r w:rsidRPr="00107E4B">
        <w:rPr>
          <w:szCs w:val="20"/>
          <w:u w:val="single"/>
        </w:rPr>
        <w:t xml:space="preserve">highly selective representation of Afro-Futurist history </w:t>
      </w:r>
      <w:r w:rsidRPr="00107E4B">
        <w:rPr>
          <w:sz w:val="16"/>
          <w:szCs w:val="20"/>
        </w:rPr>
        <w:t xml:space="preserve">to a similarly selective representation of its territorial ambit: that is, the collec-tion </w:t>
      </w:r>
      <w:r w:rsidRPr="00107E4B">
        <w:rPr>
          <w:szCs w:val="20"/>
          <w:u w:val="single"/>
        </w:rPr>
        <w:t>frequently arrogates black Atlantic writers to black American contexts.</w:t>
      </w:r>
      <w:r w:rsidRPr="00107E4B">
        <w:rPr>
          <w:sz w:val="16"/>
          <w:szCs w:val="20"/>
        </w:rPr>
        <w:t xml:space="preserve"> The collection shares this kind of arrogation with Dery and Nelson, </w:t>
      </w:r>
      <w:r w:rsidRPr="00107E4B">
        <w:rPr>
          <w:szCs w:val="20"/>
          <w:u w:val="single"/>
        </w:rPr>
        <w:t>who</w:t>
      </w:r>
      <w:r w:rsidRPr="00107E4B">
        <w:rPr>
          <w:sz w:val="16"/>
          <w:szCs w:val="20"/>
        </w:rPr>
        <w:t xml:space="preserve"> both </w:t>
      </w:r>
      <w:r w:rsidRPr="00107E4B">
        <w:rPr>
          <w:szCs w:val="20"/>
          <w:u w:val="single"/>
        </w:rPr>
        <w:t>simply assume the U.S. supplies the defining and exemplary national site of Afro-Futurist production</w:t>
      </w:r>
      <w:r w:rsidRPr="00107E4B">
        <w:rPr>
          <w:sz w:val="16"/>
          <w:szCs w:val="20"/>
        </w:rPr>
        <w:t xml:space="preserve"> (Youngquist 183). </w:t>
      </w:r>
      <w:r w:rsidRPr="00107E4B">
        <w:rPr>
          <w:szCs w:val="20"/>
          <w:u w:val="single"/>
        </w:rPr>
        <w:t xml:space="preserve">In Afro-Future Females, this kind of presumptive, territorial arrogation arises </w:t>
      </w:r>
      <w:r w:rsidRPr="00107E4B">
        <w:rPr>
          <w:sz w:val="16"/>
          <w:szCs w:val="20"/>
        </w:rPr>
        <w:t xml:space="preserve">among several contributors, </w:t>
      </w:r>
      <w:r w:rsidRPr="00107E4B">
        <w:rPr>
          <w:szCs w:val="20"/>
          <w:u w:val="single"/>
        </w:rPr>
        <w:t>in descriptions of sf as an unproblematically American literature, and in related assumptions about black American culture as tacit synecdoche for Other black diasporic cultures around the Atlantic or around the world.</w:t>
      </w:r>
      <w:r w:rsidRPr="00107E4B">
        <w:rPr>
          <w:sz w:val="16"/>
          <w:szCs w:val="20"/>
        </w:rPr>
        <w:t xml:space="preserve"> Only Dubey connects the magic-infused </w:t>
      </w:r>
      <w:r w:rsidRPr="00107E4B">
        <w:rPr>
          <w:szCs w:val="20"/>
          <w:u w:val="single"/>
        </w:rPr>
        <w:t>speculative fiction of black women</w:t>
      </w:r>
      <w:r w:rsidRPr="00107E4B">
        <w:rPr>
          <w:sz w:val="16"/>
          <w:szCs w:val="20"/>
        </w:rPr>
        <w:t xml:space="preserve"> writers with Paul Gilroy as well as Toni Mor- rison (35). Henton </w:t>
      </w:r>
      <w:r w:rsidRPr="00107E4B">
        <w:rPr>
          <w:szCs w:val="20"/>
          <w:u w:val="single"/>
        </w:rPr>
        <w:t>invokes "diaspora" only to describe the African-American imagination</w:t>
      </w:r>
      <w:r w:rsidRPr="00107E4B">
        <w:rPr>
          <w:sz w:val="16"/>
          <w:szCs w:val="20"/>
        </w:rPr>
        <w:t xml:space="preserve"> (110</w:t>
      </w:r>
      <w:r w:rsidRPr="00107E4B">
        <w:rPr>
          <w:szCs w:val="20"/>
          <w:u w:val="single"/>
        </w:rPr>
        <w:t xml:space="preserve">) and the diversities of sf form </w:t>
      </w:r>
      <w:r w:rsidRPr="00107E4B">
        <w:rPr>
          <w:sz w:val="16"/>
          <w:szCs w:val="20"/>
        </w:rPr>
        <w:t xml:space="preserve">(101). That Hopkinson and some contributors to Mojo are African-Canadian (or African-Caribbean-Canadian, in Hopkinson 's case) is only mentioned in passing by Kilgore (120), who </w:t>
      </w:r>
      <w:r w:rsidRPr="00107E4B">
        <w:rPr>
          <w:szCs w:val="20"/>
          <w:u w:val="single"/>
        </w:rPr>
        <w:t>inscribes them nevertheless in "African-American involvement in fantastic fiction</w:t>
      </w:r>
      <w:r w:rsidRPr="00107E4B">
        <w:rPr>
          <w:sz w:val="16"/>
          <w:szCs w:val="20"/>
        </w:rPr>
        <w:t xml:space="preserve">" (119). </w:t>
      </w:r>
      <w:r w:rsidRPr="00107E4B">
        <w:rPr>
          <w:szCs w:val="20"/>
          <w:u w:val="single"/>
        </w:rPr>
        <w:t>A salutary illustration of the collection's U.S.-centric assumptions occurs in</w:t>
      </w:r>
      <w:r w:rsidRPr="00107E4B">
        <w:rPr>
          <w:sz w:val="16"/>
          <w:szCs w:val="20"/>
        </w:rPr>
        <w:t xml:space="preserve"> Rogan's essay on Due and Hopkinson. Rogan reads their representations of </w:t>
      </w:r>
      <w:r w:rsidRPr="00107E4B">
        <w:rPr>
          <w:rFonts w:eastAsia="Times New Roman" w:cs="Courier New"/>
          <w:szCs w:val="20"/>
          <w:u w:val="single"/>
        </w:rPr>
        <w:t>"the reproduction of mothering" according to a provocative historical-materialist</w:t>
      </w:r>
      <w:r w:rsidRPr="00107E4B">
        <w:rPr>
          <w:rFonts w:cs="Courier New"/>
          <w:szCs w:val="20"/>
          <w:u w:val="single"/>
        </w:rPr>
        <w:t xml:space="preserve"> </w:t>
      </w:r>
      <w:r w:rsidRPr="00107E4B">
        <w:rPr>
          <w:rFonts w:eastAsia="Times New Roman" w:cs="Courier New"/>
          <w:szCs w:val="20"/>
          <w:u w:val="single"/>
        </w:rPr>
        <w:t>premise: that "the master/slave dialectic…</w:t>
      </w:r>
      <w:r w:rsidRPr="00107E4B">
        <w:rPr>
          <w:rFonts w:cs="Courier New"/>
          <w:szCs w:val="20"/>
          <w:u w:val="single"/>
        </w:rPr>
        <w:t xml:space="preserve"> </w:t>
      </w:r>
      <w:r w:rsidRPr="00107E4B">
        <w:rPr>
          <w:rFonts w:eastAsia="Times New Roman" w:cs="Courier New"/>
          <w:szCs w:val="20"/>
          <w:u w:val="single"/>
        </w:rPr>
        <w:t>reinscribe[s] itself in the relation</w:t>
      </w:r>
      <w:r w:rsidRPr="00107E4B">
        <w:rPr>
          <w:rFonts w:cs="Courier New"/>
          <w:szCs w:val="20"/>
          <w:u w:val="single"/>
        </w:rPr>
        <w:t xml:space="preserve"> </w:t>
      </w:r>
      <w:r w:rsidRPr="00107E4B">
        <w:rPr>
          <w:rFonts w:eastAsia="Times New Roman" w:cs="Courier New"/>
          <w:szCs w:val="20"/>
          <w:u w:val="single"/>
        </w:rPr>
        <w:t>of the black woman to capitalist patriarchy… victimized by institutionalized</w:t>
      </w:r>
      <w:r w:rsidRPr="00107E4B">
        <w:rPr>
          <w:rFonts w:cs="Courier New"/>
          <w:szCs w:val="20"/>
          <w:u w:val="single"/>
        </w:rPr>
        <w:t xml:space="preserve"> </w:t>
      </w:r>
      <w:r w:rsidRPr="00107E4B">
        <w:rPr>
          <w:rFonts w:eastAsia="Times New Roman" w:cs="Courier New"/>
          <w:szCs w:val="20"/>
          <w:u w:val="single"/>
        </w:rPr>
        <w:t>neglect rather than by the close scrutiny she bore as an object of property”</w:t>
      </w:r>
      <w:r w:rsidRPr="00107E4B">
        <w:rPr>
          <w:rFonts w:eastAsia="Times New Roman" w:cs="Courier New"/>
          <w:sz w:val="16"/>
          <w:szCs w:val="20"/>
        </w:rPr>
        <w:t xml:space="preserve"> (77).</w:t>
      </w:r>
      <w:r w:rsidRPr="00107E4B">
        <w:rPr>
          <w:rFonts w:cs="Courier New"/>
          <w:sz w:val="16"/>
          <w:szCs w:val="20"/>
        </w:rPr>
        <w:t xml:space="preserve"> </w:t>
      </w:r>
      <w:r w:rsidRPr="00107E4B">
        <w:rPr>
          <w:rFonts w:eastAsia="Times New Roman" w:cs="Courier New"/>
          <w:sz w:val="16"/>
          <w:szCs w:val="20"/>
        </w:rPr>
        <w:t>On this premise, Rogan builds an insightful reading of mother figures in the subject</w:t>
      </w:r>
      <w:r w:rsidRPr="00107E4B">
        <w:rPr>
          <w:rFonts w:cs="Courier New"/>
          <w:sz w:val="16"/>
          <w:szCs w:val="20"/>
        </w:rPr>
        <w:t xml:space="preserve"> </w:t>
      </w:r>
      <w:r w:rsidRPr="00107E4B">
        <w:rPr>
          <w:rFonts w:eastAsia="Times New Roman" w:cs="Courier New"/>
          <w:sz w:val="16"/>
          <w:szCs w:val="20"/>
        </w:rPr>
        <w:t>authors' novels. However, notwithstanding the overall perspicacity of Rogan's</w:t>
      </w:r>
      <w:r w:rsidRPr="00107E4B">
        <w:rPr>
          <w:rFonts w:cs="Courier New"/>
          <w:sz w:val="16"/>
          <w:szCs w:val="20"/>
        </w:rPr>
        <w:t xml:space="preserve"> </w:t>
      </w:r>
      <w:r w:rsidRPr="00107E4B">
        <w:rPr>
          <w:rFonts w:eastAsia="Times New Roman" w:cs="Courier New"/>
          <w:sz w:val="16"/>
          <w:szCs w:val="20"/>
        </w:rPr>
        <w:t>reading of Hopkinson according to the globalized continuities of postcolonial</w:t>
      </w:r>
      <w:r w:rsidRPr="00107E4B">
        <w:rPr>
          <w:rFonts w:cs="Courier New"/>
          <w:sz w:val="16"/>
          <w:szCs w:val="20"/>
        </w:rPr>
        <w:t xml:space="preserve"> </w:t>
      </w:r>
      <w:r w:rsidRPr="00107E4B">
        <w:rPr>
          <w:rFonts w:eastAsia="Times New Roman" w:cs="Courier New"/>
          <w:sz w:val="16"/>
          <w:szCs w:val="20"/>
        </w:rPr>
        <w:t>cultures and neoliberal hegemony, the critic is on unfamiliar ground in discussing</w:t>
      </w:r>
      <w:r w:rsidRPr="00107E4B">
        <w:rPr>
          <w:rFonts w:cs="Courier New"/>
          <w:sz w:val="16"/>
          <w:szCs w:val="20"/>
        </w:rPr>
        <w:t xml:space="preserve"> </w:t>
      </w:r>
      <w:r w:rsidRPr="00107E4B">
        <w:rPr>
          <w:rFonts w:eastAsia="Times New Roman" w:cs="Courier New"/>
          <w:sz w:val="16"/>
          <w:szCs w:val="20"/>
        </w:rPr>
        <w:t>the Canadian setting of Brown Girl in the Ring (1999), whose antagonist Rogan</w:t>
      </w:r>
      <w:r w:rsidRPr="00107E4B">
        <w:rPr>
          <w:rFonts w:cs="Courier New"/>
          <w:sz w:val="16"/>
          <w:szCs w:val="20"/>
        </w:rPr>
        <w:t xml:space="preserve"> </w:t>
      </w:r>
      <w:r w:rsidRPr="00107E4B">
        <w:rPr>
          <w:rFonts w:eastAsia="Times New Roman" w:cs="Courier New"/>
          <w:sz w:val="16"/>
          <w:szCs w:val="20"/>
        </w:rPr>
        <w:t xml:space="preserve">describes as "Canada's Premier Uttley" (90). </w:t>
      </w:r>
      <w:r w:rsidRPr="00107E4B">
        <w:rPr>
          <w:rFonts w:eastAsia="Times New Roman" w:cs="Courier New"/>
          <w:szCs w:val="20"/>
          <w:u w:val="single"/>
        </w:rPr>
        <w:t>This misreading</w:t>
      </w:r>
      <w:r w:rsidRPr="00107E4B">
        <w:rPr>
          <w:rFonts w:eastAsia="Times New Roman" w:cs="Courier New"/>
          <w:sz w:val="16"/>
          <w:szCs w:val="20"/>
        </w:rPr>
        <w:t xml:space="preserve"> of a provincial</w:t>
      </w:r>
      <w:r w:rsidRPr="00107E4B">
        <w:rPr>
          <w:rFonts w:cs="Courier New"/>
          <w:sz w:val="16"/>
          <w:szCs w:val="20"/>
        </w:rPr>
        <w:t xml:space="preserve"> </w:t>
      </w:r>
      <w:r w:rsidRPr="00107E4B">
        <w:rPr>
          <w:rFonts w:eastAsia="Times New Roman" w:cs="Courier New"/>
          <w:sz w:val="16"/>
          <w:szCs w:val="20"/>
        </w:rPr>
        <w:t xml:space="preserve">government leader as Canada's head of state </w:t>
      </w:r>
      <w:r w:rsidRPr="00107E4B">
        <w:rPr>
          <w:rFonts w:eastAsia="Times New Roman" w:cs="Courier New"/>
          <w:szCs w:val="20"/>
          <w:u w:val="single"/>
        </w:rPr>
        <w:t>costs Rogan's argument a relevant</w:t>
      </w:r>
      <w:r w:rsidRPr="00107E4B">
        <w:rPr>
          <w:rFonts w:cs="Courier New"/>
          <w:szCs w:val="20"/>
          <w:u w:val="single"/>
        </w:rPr>
        <w:t xml:space="preserve"> </w:t>
      </w:r>
      <w:r w:rsidRPr="00107E4B">
        <w:rPr>
          <w:rFonts w:eastAsia="Times New Roman" w:cs="Courier New"/>
          <w:szCs w:val="20"/>
          <w:u w:val="single"/>
        </w:rPr>
        <w:t>point about globalization: the provincial political setting makes the novel legible</w:t>
      </w:r>
      <w:r w:rsidRPr="00107E4B">
        <w:rPr>
          <w:rFonts w:cs="Courier New"/>
          <w:szCs w:val="20"/>
          <w:u w:val="single"/>
        </w:rPr>
        <w:t xml:space="preserve"> </w:t>
      </w:r>
      <w:r w:rsidRPr="00107E4B">
        <w:rPr>
          <w:rFonts w:eastAsia="Times New Roman" w:cs="Courier New"/>
          <w:szCs w:val="20"/>
          <w:u w:val="single"/>
        </w:rPr>
        <w:t>as a satire on</w:t>
      </w:r>
      <w:r w:rsidRPr="00107E4B">
        <w:rPr>
          <w:rFonts w:eastAsia="Times New Roman" w:cs="Courier New"/>
          <w:sz w:val="16"/>
          <w:szCs w:val="20"/>
        </w:rPr>
        <w:t xml:space="preserve"> Ontario's hard right turn in the mid-1990s under </w:t>
      </w:r>
      <w:r w:rsidRPr="00107E4B">
        <w:rPr>
          <w:rFonts w:eastAsia="Times New Roman" w:cs="Courier New"/>
          <w:szCs w:val="20"/>
          <w:u w:val="single"/>
        </w:rPr>
        <w:t>the neoconserva-tive regime</w:t>
      </w:r>
      <w:r w:rsidRPr="00107E4B">
        <w:rPr>
          <w:rFonts w:eastAsia="Times New Roman" w:cs="Courier New"/>
          <w:sz w:val="16"/>
          <w:szCs w:val="20"/>
        </w:rPr>
        <w:t xml:space="preserve"> of Premier Mike Harris, which s</w:t>
      </w:r>
      <w:r w:rsidRPr="00107E4B">
        <w:rPr>
          <w:rFonts w:eastAsia="Times New Roman" w:cs="Courier New"/>
          <w:szCs w:val="20"/>
          <w:u w:val="single"/>
        </w:rPr>
        <w:t>o drastically slashed social programs</w:t>
      </w:r>
      <w:r w:rsidRPr="00107E4B">
        <w:rPr>
          <w:rFonts w:cs="Courier New"/>
          <w:szCs w:val="20"/>
          <w:u w:val="single"/>
        </w:rPr>
        <w:t xml:space="preserve"> </w:t>
      </w:r>
      <w:r w:rsidRPr="00107E4B">
        <w:rPr>
          <w:rFonts w:eastAsia="Times New Roman" w:cs="Courier New"/>
          <w:szCs w:val="20"/>
          <w:u w:val="single"/>
        </w:rPr>
        <w:t>and attacked minoritized groups that Hopkinson's image of</w:t>
      </w:r>
      <w:r w:rsidRPr="00107E4B">
        <w:rPr>
          <w:rFonts w:eastAsia="Times New Roman" w:cs="Courier New"/>
          <w:sz w:val="16"/>
          <w:szCs w:val="20"/>
        </w:rPr>
        <w:t xml:space="preserve"> downtown Toronto</w:t>
      </w:r>
      <w:r w:rsidRPr="00107E4B">
        <w:rPr>
          <w:rFonts w:cs="Courier New"/>
          <w:sz w:val="16"/>
          <w:szCs w:val="20"/>
        </w:rPr>
        <w:t xml:space="preserve"> </w:t>
      </w:r>
      <w:r w:rsidRPr="00107E4B">
        <w:rPr>
          <w:rFonts w:eastAsia="Times New Roman" w:cs="Courier New"/>
          <w:sz w:val="16"/>
          <w:szCs w:val="20"/>
        </w:rPr>
        <w:t xml:space="preserve">as </w:t>
      </w:r>
      <w:r w:rsidRPr="00107E4B">
        <w:rPr>
          <w:rFonts w:eastAsia="Times New Roman" w:cs="Courier New"/>
          <w:szCs w:val="20"/>
          <w:u w:val="single"/>
        </w:rPr>
        <w:t>a gutted inner city reads more like a shrewd urban-planning projection than</w:t>
      </w:r>
      <w:r w:rsidRPr="00107E4B">
        <w:rPr>
          <w:rFonts w:cs="Courier New"/>
          <w:szCs w:val="20"/>
          <w:u w:val="single"/>
        </w:rPr>
        <w:t xml:space="preserve"> </w:t>
      </w:r>
      <w:r w:rsidRPr="00107E4B">
        <w:rPr>
          <w:rFonts w:eastAsia="Times New Roman" w:cs="Courier New"/>
          <w:szCs w:val="20"/>
          <w:u w:val="single"/>
        </w:rPr>
        <w:t>a post-apocalyptic dystopia.</w:t>
      </w:r>
      <w:r w:rsidRPr="00107E4B">
        <w:rPr>
          <w:rFonts w:cs="Courier New"/>
          <w:szCs w:val="20"/>
          <w:u w:val="single"/>
        </w:rPr>
        <w:t xml:space="preserve"> </w:t>
      </w:r>
    </w:p>
    <w:p w14:paraId="29AAB62B" w14:textId="77777777" w:rsidR="007E3D3F" w:rsidRPr="00107E4B" w:rsidRDefault="007E3D3F" w:rsidP="007E3D3F">
      <w:pPr>
        <w:pStyle w:val="Heading4"/>
      </w:pPr>
      <w:r w:rsidRPr="00107E4B">
        <w:lastRenderedPageBreak/>
        <w:t>Afro Futurism is outdated and no longer works as a movement</w:t>
      </w:r>
    </w:p>
    <w:p w14:paraId="151B486B" w14:textId="77777777" w:rsidR="007E3D3F" w:rsidRPr="00107E4B" w:rsidRDefault="007E3D3F" w:rsidP="007E3D3F">
      <w:r w:rsidRPr="00107E4B">
        <w:rPr>
          <w:rStyle w:val="Style13ptBold"/>
        </w:rPr>
        <w:t>Miller 11</w:t>
      </w:r>
      <w:r w:rsidRPr="00107E4B">
        <w:t xml:space="preserve"> (Miller, Paul D.  a Washington DC-born electronic and experimental </w:t>
      </w:r>
      <w:hyperlink r:id="rId12" w:tooltip="Hip hop" w:history="1">
        <w:r w:rsidRPr="00107E4B">
          <w:rPr>
            <w:rStyle w:val="Hyperlink"/>
          </w:rPr>
          <w:t>hip hop</w:t>
        </w:r>
      </w:hyperlink>
      <w:r w:rsidRPr="00107E4B">
        <w:t> musician whose work is often called by critics or his fans as "</w:t>
      </w:r>
      <w:hyperlink r:id="rId13" w:tooltip="Illbient" w:history="1">
        <w:r w:rsidRPr="00107E4B">
          <w:rPr>
            <w:rStyle w:val="Hyperlink"/>
          </w:rPr>
          <w:t>illbient</w:t>
        </w:r>
      </w:hyperlink>
      <w:r w:rsidRPr="00107E4B">
        <w:t>" or "</w:t>
      </w:r>
      <w:hyperlink r:id="rId14" w:tooltip="Trip hop" w:history="1">
        <w:r w:rsidRPr="00107E4B">
          <w:rPr>
            <w:rStyle w:val="Hyperlink"/>
          </w:rPr>
          <w:t>trip hop</w:t>
        </w:r>
      </w:hyperlink>
      <w:r w:rsidRPr="00107E4B">
        <w:t>". He is a </w:t>
      </w:r>
      <w:hyperlink r:id="rId15" w:tooltip="Turntablist" w:history="1">
        <w:r w:rsidRPr="00107E4B">
          <w:rPr>
            <w:rStyle w:val="Hyperlink"/>
          </w:rPr>
          <w:t>turntablist</w:t>
        </w:r>
      </w:hyperlink>
      <w:r w:rsidRPr="00107E4B">
        <w:t>, a producer, a philosopher, and an author The Book of Ice. Brooklyn, NY: Mark Batty, 2011. Print.)</w:t>
      </w:r>
    </w:p>
    <w:p w14:paraId="52B5FE92" w14:textId="77777777" w:rsidR="007E3D3F" w:rsidRPr="00107E4B" w:rsidRDefault="007E3D3F" w:rsidP="007E3D3F">
      <w:r w:rsidRPr="00107E4B">
        <w:rPr>
          <w:u w:val="single"/>
        </w:rPr>
        <w:t>Every movement has its sell-by date</w:t>
      </w:r>
      <w:r w:rsidRPr="00107E4B">
        <w:rPr>
          <w:sz w:val="16"/>
        </w:rPr>
        <w:t xml:space="preserve">. I think that </w:t>
      </w:r>
      <w:r w:rsidRPr="00107E4B">
        <w:rPr>
          <w:u w:val="single"/>
        </w:rPr>
        <w:t>there were a lot of flaws in the way that Afro-Futurism unfolded</w:t>
      </w:r>
      <w:r w:rsidRPr="00107E4B">
        <w:rPr>
          <w:sz w:val="16"/>
        </w:rPr>
        <w:t xml:space="preserve">, and </w:t>
      </w:r>
      <w:r w:rsidRPr="00107E4B">
        <w:rPr>
          <w:u w:val="single"/>
        </w:rPr>
        <w:t>I think it missed certain pressure points in the flow of how culture evolves in this day and age</w:t>
      </w:r>
      <w:r w:rsidRPr="00107E4B">
        <w:rPr>
          <w:sz w:val="16"/>
        </w:rPr>
        <w:t>.</w:t>
      </w:r>
      <w:r w:rsidRPr="00107E4B">
        <w:rPr>
          <w:u w:val="single"/>
        </w:rPr>
        <w:t xml:space="preserve"> It wasn’t digital enough, it didn’t have a core group of people with any kind of coherent message. It was conceptually open ended without any kind of narrative</w:t>
      </w:r>
      <w:r w:rsidRPr="00107E4B">
        <w:rPr>
          <w:sz w:val="16"/>
        </w:rPr>
        <w:t>. People tend to like that kind of thing.</w:t>
      </w:r>
      <w:r w:rsidRPr="00107E4B">
        <w:rPr>
          <w:u w:val="single"/>
        </w:rPr>
        <w:t xml:space="preserve"> I speak of Afro-Futurism in the past tense because I think that the culture at large caught up to and bypassed many of the issues it was dealing with.</w:t>
      </w:r>
      <w:r w:rsidRPr="00107E4B">
        <w:rPr>
          <w:sz w:val="16"/>
        </w:rPr>
        <w:t xml:space="preserve"> Forget the idea of the “permanent underclass” that people like Greg Tate (no disrespect) kept pushing. Forget the idea that blacks are outside of any system—we are the system. I guess that many people outside of the arts have awakened to the day and age and moved on. </w:t>
      </w:r>
      <w:r w:rsidRPr="00107E4B">
        <w:rPr>
          <w:u w:val="single"/>
        </w:rPr>
        <w:t>It seemed like Afrofuturism just didn’t have a cohesive situation to have music, art and literature evolve fro</w:t>
      </w:r>
      <w:r w:rsidRPr="00107E4B">
        <w:rPr>
          <w:rStyle w:val="StyleUnderline"/>
        </w:rPr>
        <w:t>m. Sure, Afrofuturism can be used, as you put it to be a “descriptor of a body of knowledge, which does not die and outlives its progenitors</w:t>
      </w:r>
      <w:r w:rsidRPr="00107E4B">
        <w:rPr>
          <w:sz w:val="16"/>
        </w:rPr>
        <w:t xml:space="preserve"> (like jazz, hip-hop, deconstruction, or philosophy itself)”—</w:t>
      </w:r>
      <w:r w:rsidRPr="00107E4B">
        <w:rPr>
          <w:rStyle w:val="StyleUnderline"/>
        </w:rPr>
        <w:t xml:space="preserve">but only by sleight of hand </w:t>
      </w:r>
      <w:r w:rsidRPr="00107E4B">
        <w:rPr>
          <w:sz w:val="16"/>
        </w:rPr>
        <w:t xml:space="preserve">(which is sampling, anyway). </w:t>
      </w:r>
      <w:r w:rsidRPr="00107E4B">
        <w:rPr>
          <w:u w:val="single"/>
        </w:rPr>
        <w:t>It’s basically a hall of mirror</w:t>
      </w:r>
      <w:r w:rsidRPr="00107E4B">
        <w:rPr>
          <w:rStyle w:val="StyleUnderline"/>
        </w:rPr>
        <w:t>s, a smoke and fog routine in a middle brow cheap magic show.</w:t>
      </w:r>
      <w:r w:rsidRPr="00107E4B">
        <w:rPr>
          <w:sz w:val="16"/>
        </w:rPr>
        <w:t xml:space="preserve"> But hey... even that can be interesting sometimes.</w:t>
      </w:r>
      <w:r w:rsidRPr="00107E4B">
        <w:rPr>
          <w:rFonts w:eastAsia="Times New Roman"/>
          <w:sz w:val="16"/>
        </w:rPr>
        <w:br/>
      </w:r>
    </w:p>
    <w:p w14:paraId="2AF40EBE" w14:textId="77777777" w:rsidR="007E3D3F" w:rsidRPr="00107E4B" w:rsidRDefault="007E3D3F" w:rsidP="007E3D3F">
      <w:pPr>
        <w:pStyle w:val="Heading4"/>
      </w:pPr>
      <w:r w:rsidRPr="00107E4B">
        <w:t xml:space="preserve">Afrofuturistic Imagination leads to a totalization that erases the PRESENT as a tool of policing bodies in the status quo- reimagining the past erases its necessary trauma  </w:t>
      </w:r>
    </w:p>
    <w:p w14:paraId="6FE6517B" w14:textId="77777777" w:rsidR="007E3D3F" w:rsidRPr="00107E4B" w:rsidRDefault="007E3D3F" w:rsidP="007E3D3F">
      <w:pPr>
        <w:rPr>
          <w:b/>
          <w:sz w:val="26"/>
          <w:szCs w:val="26"/>
        </w:rPr>
      </w:pPr>
      <w:r w:rsidRPr="00107E4B">
        <w:rPr>
          <w:rStyle w:val="Style13ptBold"/>
        </w:rPr>
        <w:t xml:space="preserve">Jacob 05 </w:t>
      </w:r>
      <w:r w:rsidRPr="00107E4B">
        <w:rPr>
          <w:sz w:val="26"/>
          <w:szCs w:val="26"/>
        </w:rPr>
        <w:t>(Jacoby, Russell. professor of history at the University of California Los Angeles an author, and critic of academic culture Picture Imperfect: Utopian Thought for an Anti-Utopian Age. New York: Columbia UP, 2005. Print.  Page 12-13)</w:t>
      </w:r>
    </w:p>
    <w:p w14:paraId="71D0E04E" w14:textId="77777777" w:rsidR="007E3D3F" w:rsidRPr="00107E4B" w:rsidRDefault="007E3D3F" w:rsidP="007E3D3F">
      <w:pPr>
        <w:rPr>
          <w:sz w:val="16"/>
        </w:rPr>
      </w:pPr>
      <w:r w:rsidRPr="00107E4B">
        <w:rPr>
          <w:rStyle w:val="StyleUnderline"/>
        </w:rPr>
        <w:t>The common wisdom that utopias</w:t>
      </w:r>
      <w:r w:rsidRPr="00107E4B">
        <w:rPr>
          <w:rStyle w:val="StyleUnderline"/>
          <w:szCs w:val="18"/>
        </w:rPr>
        <w:t xml:space="preserve"> inexorably lead to dystopias not only derives from texts, it appeals to history</w:t>
      </w:r>
      <w:r w:rsidRPr="00107E4B">
        <w:rPr>
          <w:sz w:val="16"/>
        </w:rPr>
        <w:t xml:space="preserve"> to make its case. New words help make the argument. Like “dystopia,” the term “genocide” belongs to the twentieth century. Inevitably these new terms seem related; they seem to address kindred experiences. Raphael Lemkin, a Polish-Jewish refugee, coined “genocide” in </w:t>
      </w:r>
      <w:r w:rsidRPr="00107E4B">
        <w:rPr>
          <w:rFonts w:ascii="Lantinghei TC Heavy" w:eastAsia="SimSun" w:hAnsi="Lantinghei TC Heavy" w:cs="Lantinghei TC Heavy"/>
          <w:sz w:val="16"/>
        </w:rPr>
        <w:t></w:t>
      </w:r>
      <w:r w:rsidRPr="00107E4B">
        <w:rPr>
          <w:sz w:val="16"/>
        </w:rPr>
        <w:t xml:space="preserve"> “</w:t>
      </w:r>
      <w:r w:rsidRPr="00107E4B">
        <w:rPr>
          <w:u w:val="single"/>
        </w:rPr>
        <w:t>to denote an old practice in its modern development”—</w:t>
      </w:r>
      <w:r w:rsidRPr="00107E4B">
        <w:rPr>
          <w:sz w:val="16"/>
        </w:rPr>
        <w:t xml:space="preserve">the annihilation of a national or ethnic group. He believed the Nazi practices occasioned a new word.43 While Lemkin worked tirelessly to spread the news about genocide—with few rewards44—he did not associate it with either utopia or dystopia.45 Yet </w:t>
      </w:r>
      <w:r w:rsidRPr="00107E4B">
        <w:rPr>
          <w:rStyle w:val="StyleUnderline"/>
          <w:szCs w:val="18"/>
        </w:rPr>
        <w:t>scholarly and conventional opinion today consistently links genocide and utopia and bills the blood bath of the twentieth century to “utopians” such as Stalin, Hitler, and Mao</w:t>
      </w:r>
      <w:r w:rsidRPr="00107E4B">
        <w:rPr>
          <w:sz w:val="16"/>
        </w:rPr>
        <w:t xml:space="preserve">. From Hannah Arendt’s </w:t>
      </w:r>
      <w:r w:rsidRPr="00107E4B">
        <w:rPr>
          <w:rFonts w:ascii="Lantinghei TC Heavy" w:eastAsia="SimSun" w:hAnsi="Lantinghei TC Heavy" w:cs="Lantinghei TC Heavy"/>
          <w:sz w:val="16"/>
        </w:rPr>
        <w:t></w:t>
      </w:r>
      <w:r w:rsidRPr="00107E4B">
        <w:rPr>
          <w:sz w:val="16"/>
        </w:rPr>
        <w:t xml:space="preserve"> Origins of Totalitarianism to Martin Malia’s </w:t>
      </w:r>
      <w:r w:rsidRPr="00107E4B">
        <w:rPr>
          <w:rFonts w:ascii="Lantinghei TC Heavy" w:eastAsia="SimSun" w:hAnsi="Lantinghei TC Heavy" w:cs="Lantinghei TC Heavy"/>
          <w:sz w:val="16"/>
        </w:rPr>
        <w:t></w:t>
      </w:r>
      <w:r w:rsidRPr="00107E4B">
        <w:rPr>
          <w:sz w:val="16"/>
        </w:rPr>
        <w:t xml:space="preserve"> Soviet Tragedy—its last chapter is titled “The Perverse Logic of Utopia”—scholars have thrown communism, Nazism, and utopia into one tub. Prestigious savants like Isaiah Berlin and Karl Popper have persuasively argued that </w:t>
      </w:r>
      <w:r w:rsidRPr="00107E4B">
        <w:rPr>
          <w:rStyle w:val="StyleUnderline"/>
          <w:szCs w:val="18"/>
        </w:rPr>
        <w:t>utopia leads to totalitarianism and mass murder. “</w:t>
      </w:r>
      <w:r w:rsidRPr="00107E4B">
        <w:rPr>
          <w:sz w:val="16"/>
        </w:rPr>
        <w:t>We must beware of Utopia,” wrote Ralf Dahrendorf. “</w:t>
      </w:r>
      <w:r w:rsidRPr="00107E4B">
        <w:rPr>
          <w:rStyle w:val="StyleUnderline"/>
          <w:szCs w:val="18"/>
        </w:rPr>
        <w:t>Whoever sets out to implement Utopian plans will in the first instance have to wipe clean the canvas, on which the real world is painted. This is a brutal process of destruction;” it leads to hell on earth.</w:t>
      </w:r>
      <w:r w:rsidRPr="00107E4B">
        <w:rPr>
          <w:sz w:val="16"/>
        </w:rPr>
        <w:t xml:space="preserve">46 To question this approach requires asking what utopias are actually about—and why, for instance, Nazism should not be deemed a utopian enterprise. Even the vaguest description of utopia as a society inspired by notions of happiness, fraternity, and plenty would apparently exclude Nazism with its notion of Ayrans dominating inferiors in a Thousand Year Reich. What An Anarchic Breeze </w:t>
      </w:r>
    </w:p>
    <w:p w14:paraId="7539FDA7" w14:textId="77777777" w:rsidR="007E3D3F" w:rsidRPr="00107E4B" w:rsidRDefault="007E3D3F" w:rsidP="007E3D3F">
      <w:pPr>
        <w:pStyle w:val="Heading4"/>
      </w:pPr>
      <w:bookmarkStart w:id="0" w:name="_Hlk520810347"/>
      <w:r w:rsidRPr="00107E4B">
        <w:lastRenderedPageBreak/>
        <w:t xml:space="preserve">They can’t effect tangible change- they literally allow existing power structures to make the situation net worse </w:t>
      </w:r>
    </w:p>
    <w:p w14:paraId="4CC4F078" w14:textId="77777777" w:rsidR="007E3D3F" w:rsidRPr="00107E4B" w:rsidRDefault="007E3D3F" w:rsidP="007E3D3F">
      <w:pPr>
        <w:rPr>
          <w:rStyle w:val="StyleUnderline"/>
          <w:bCs/>
          <w:sz w:val="26"/>
          <w:u w:val="none"/>
        </w:rPr>
      </w:pPr>
      <w:r w:rsidRPr="00107E4B">
        <w:rPr>
          <w:rStyle w:val="Style13ptBold"/>
        </w:rPr>
        <w:t>Berger 1976</w:t>
      </w:r>
      <w:r w:rsidRPr="00107E4B">
        <w:rPr>
          <w:rStyle w:val="StyleUnderline"/>
          <w:sz w:val="26"/>
          <w:u w:val="none"/>
        </w:rPr>
        <w:t xml:space="preserve"> </w:t>
      </w:r>
      <w:r w:rsidRPr="00107E4B">
        <w:t>– award winning science fiction author (July, Albert I., “ The Triumph of Prophecy: Science Fiction and Nuclear Power in the Post-Hiroshima Period”  Science Fiction Studies, Vol. 3, No. 2, JSTOR)</w:t>
      </w:r>
    </w:p>
    <w:p w14:paraId="3A4A0EB9" w14:textId="77777777" w:rsidR="007E3D3F" w:rsidRPr="00107E4B" w:rsidRDefault="007E3D3F" w:rsidP="007E3D3F">
      <w:pPr>
        <w:rPr>
          <w:sz w:val="16"/>
          <w:szCs w:val="18"/>
        </w:rPr>
      </w:pPr>
      <w:r w:rsidRPr="00107E4B">
        <w:rPr>
          <w:rStyle w:val="StyleUnderline"/>
          <w:sz w:val="16"/>
          <w:szCs w:val="18"/>
          <w:u w:val="none"/>
        </w:rPr>
        <w:t xml:space="preserve">This </w:t>
      </w:r>
      <w:r w:rsidRPr="00107E4B">
        <w:rPr>
          <w:rStyle w:val="StyleUnderline"/>
          <w:szCs w:val="18"/>
        </w:rPr>
        <w:t>naivete about politics and preoccupation with technological solutions was the obverse of the prevailing SF distaste for politics</w:t>
      </w:r>
      <w:r w:rsidRPr="00107E4B">
        <w:rPr>
          <w:rStyle w:val="StyleUnderline"/>
          <w:sz w:val="16"/>
          <w:szCs w:val="18"/>
          <w:u w:val="none"/>
        </w:rPr>
        <w:t xml:space="preserve">. Politics had </w:t>
      </w:r>
      <w:r w:rsidRPr="00107E4B">
        <w:rPr>
          <w:rStyle w:val="StyleUnderline"/>
          <w:szCs w:val="18"/>
        </w:rPr>
        <w:t>always had a bad press in the science-fiction magazines, being portrayed as the captive of technologically, if not socially reactionary special interests</w:t>
      </w:r>
      <w:r w:rsidRPr="00107E4B">
        <w:rPr>
          <w:rStyle w:val="StyleUnderline"/>
          <w:sz w:val="16"/>
          <w:szCs w:val="18"/>
          <w:u w:val="none"/>
        </w:rPr>
        <w:t xml:space="preserve">. The appalling </w:t>
      </w:r>
      <w:r w:rsidRPr="00107E4B">
        <w:rPr>
          <w:rStyle w:val="StyleUnderline"/>
          <w:szCs w:val="18"/>
        </w:rPr>
        <w:t>scientific ignorance and prejudice displayed by Congress after Hiroshima, and its general unwillingness to be educated, merely compounded the problem in the eyes of science-fiction writers</w:t>
      </w:r>
      <w:r w:rsidRPr="00107E4B">
        <w:rPr>
          <w:rStyle w:val="StyleUnderline"/>
          <w:sz w:val="16"/>
          <w:szCs w:val="18"/>
          <w:u w:val="none"/>
        </w:rPr>
        <w:t xml:space="preserve"> and readers. This distaste for politics was testified to not only by letters-to-the-editor in Astounding and the fan magazines but also by an article by W.B. de Graeff, "Congress is too Busy" (Sept 1946), detailing with a gleeful contempt the most mundane and ridiculous chores of a member of Congress. By </w:t>
      </w:r>
      <w:r w:rsidRPr="00107E4B">
        <w:rPr>
          <w:rStyle w:val="StyleUnderline"/>
          <w:szCs w:val="18"/>
        </w:rPr>
        <w:t>1950 even an old stalwart like E.E. Smith could take up nearly a third of a novel-First Lensman</w:t>
      </w:r>
      <w:r w:rsidRPr="00107E4B">
        <w:rPr>
          <w:rStyle w:val="StyleUnderline"/>
          <w:sz w:val="16"/>
          <w:szCs w:val="18"/>
          <w:u w:val="none"/>
        </w:rPr>
        <w:t xml:space="preserve"> (not serialized; Fantasy Press 1950)-</w:t>
      </w:r>
      <w:r w:rsidRPr="00107E4B">
        <w:rPr>
          <w:rStyle w:val="StyleUnderline"/>
          <w:szCs w:val="18"/>
        </w:rPr>
        <w:t>with a detailed account of an election in which military heroes act both as police forces and as candidates arrayed against a corrupt political machi</w:t>
      </w:r>
      <w:r w:rsidRPr="00107E4B">
        <w:rPr>
          <w:rStyle w:val="StyleUnderline"/>
          <w:sz w:val="16"/>
          <w:szCs w:val="18"/>
          <w:u w:val="none"/>
        </w:rPr>
        <w:t xml:space="preserve">ne. The </w:t>
      </w:r>
      <w:r w:rsidRPr="00107E4B">
        <w:rPr>
          <w:rStyle w:val="StyleUnderline"/>
          <w:szCs w:val="18"/>
        </w:rPr>
        <w:t>use of conspicuously armed poll watchers and what amounts to a military coup are justified by the criminal tactics of the opposition. Smith's villains are supposed to be the pawns of a sinister conspiracy of aliens, but their methods are described as normal American practice.</w:t>
      </w:r>
    </w:p>
    <w:bookmarkEnd w:id="0"/>
    <w:p w14:paraId="4623B4F6" w14:textId="77777777" w:rsidR="007E3D3F" w:rsidRPr="00107E4B" w:rsidRDefault="007E3D3F" w:rsidP="007E3D3F">
      <w:pPr>
        <w:pStyle w:val="Heading4"/>
        <w:rPr>
          <w:rFonts w:cs="Times New Roman"/>
        </w:rPr>
      </w:pPr>
      <w:r w:rsidRPr="00107E4B">
        <w:rPr>
          <w:rFonts w:cs="Times New Roman"/>
        </w:rPr>
        <w:t xml:space="preserve">Attempting to reclaim origins of Afrofuturism distract us from contemporary attempts at liberation </w:t>
      </w:r>
    </w:p>
    <w:p w14:paraId="62E20E77" w14:textId="77777777" w:rsidR="007E3D3F" w:rsidRPr="00107E4B" w:rsidRDefault="007E3D3F" w:rsidP="007E3D3F">
      <w:pPr>
        <w:rPr>
          <w:sz w:val="26"/>
          <w:szCs w:val="26"/>
        </w:rPr>
      </w:pPr>
      <w:r w:rsidRPr="00107E4B">
        <w:rPr>
          <w:rStyle w:val="Style13ptBold"/>
        </w:rPr>
        <w:t>Hartman,</w:t>
      </w:r>
      <w:r w:rsidRPr="00107E4B">
        <w:rPr>
          <w:sz w:val="26"/>
          <w:szCs w:val="26"/>
        </w:rPr>
        <w:t xml:space="preserve"> </w:t>
      </w:r>
      <w:r w:rsidRPr="00107E4B">
        <w:rPr>
          <w:b/>
          <w:bCs/>
          <w:sz w:val="26"/>
          <w:szCs w:val="26"/>
        </w:rPr>
        <w:t>2002</w:t>
      </w:r>
      <w:r w:rsidRPr="00107E4B">
        <w:rPr>
          <w:sz w:val="26"/>
          <w:szCs w:val="26"/>
        </w:rPr>
        <w:t xml:space="preserve">, </w:t>
      </w:r>
      <w:r w:rsidRPr="00107E4B">
        <w:t>specialist in African American literature and history and a professor at Columbia University (Saidiya, “In Time of Slavery” The South Atlantic Quarterly 101.4 Project Muse)</w:t>
      </w:r>
    </w:p>
    <w:p w14:paraId="1551E7EA" w14:textId="77777777" w:rsidR="007E3D3F" w:rsidRPr="00107E4B" w:rsidRDefault="007E3D3F" w:rsidP="007E3D3F">
      <w:pPr>
        <w:rPr>
          <w:sz w:val="16"/>
        </w:rPr>
      </w:pPr>
      <w:r w:rsidRPr="00107E4B">
        <w:rPr>
          <w:sz w:val="16"/>
        </w:rPr>
        <w:t xml:space="preserve">What becomes apparent, despite the proclaimed unanimity of the ancestors [End Page 765] and their descendants in the commonplace pronouncement "You are back" is the ambivalence of the identification with Africa forged in these encounters. After all, the origin identified is the site of rupture and, ironically, the forts and castles built by Europeans come to approximate home. Loss predominates at this imagined site of origin, since the genesis of the diaspora is located in this commercial deportation. </w:t>
      </w:r>
      <w:r w:rsidRPr="00107E4B">
        <w:rPr>
          <w:rStyle w:val="StyleUnderline"/>
          <w:szCs w:val="20"/>
        </w:rPr>
        <w:t>This unhomely home hints that this state of exile and estrangement might well be inescapable</w:t>
      </w:r>
      <w:r w:rsidRPr="00107E4B">
        <w:rPr>
          <w:sz w:val="16"/>
        </w:rPr>
        <w:t xml:space="preserve">. 14 </w:t>
      </w:r>
      <w:r w:rsidRPr="00107E4B">
        <w:rPr>
          <w:rStyle w:val="StyleUnderline"/>
          <w:szCs w:val="20"/>
        </w:rPr>
        <w:t>Nor is an African identity easily reclaimed</w:t>
      </w:r>
      <w:r w:rsidRPr="00107E4B">
        <w:rPr>
          <w:sz w:val="16"/>
        </w:rPr>
        <w:t xml:space="preserve">, since one is as likely to be called obroni, which means "foreigner" or "white," as "sister" and these salutations actually achieve a strange equality as designations of exchange relations, markers of foreignness, and inducements to buy. </w:t>
      </w:r>
      <w:r w:rsidRPr="00107E4B">
        <w:rPr>
          <w:rStyle w:val="StyleUnderline"/>
          <w:szCs w:val="20"/>
        </w:rPr>
        <w:t xml:space="preserve">While remembering the "anguish of the ancestors" is a central aspect </w:t>
      </w:r>
      <w:r w:rsidRPr="00107E4B">
        <w:rPr>
          <w:sz w:val="16"/>
        </w:rPr>
        <w:t xml:space="preserve">of the pilgrimage to these monuments of the transatlantic trade, </w:t>
      </w:r>
      <w:r w:rsidRPr="00107E4B">
        <w:rPr>
          <w:rStyle w:val="StyleUnderline"/>
          <w:szCs w:val="20"/>
        </w:rPr>
        <w:t>recursion is also informed by the imperatives and longings of the present</w:t>
      </w:r>
      <w:r w:rsidRPr="00107E4B">
        <w:rPr>
          <w:sz w:val="16"/>
        </w:rPr>
        <w:t xml:space="preserve">. That is, </w:t>
      </w:r>
      <w:r w:rsidRPr="00107E4B">
        <w:rPr>
          <w:rStyle w:val="StyleUnderline"/>
          <w:szCs w:val="20"/>
        </w:rPr>
        <w:t>dispossession is itself an inheritance that tethers us to "that event.</w:t>
      </w:r>
      <w:r w:rsidRPr="00107E4B">
        <w:rPr>
          <w:sz w:val="16"/>
        </w:rPr>
        <w:t xml:space="preserve">" </w:t>
      </w:r>
      <w:r w:rsidRPr="00107E4B">
        <w:rPr>
          <w:rStyle w:val="Emphasis"/>
        </w:rPr>
        <w:t>Racial subjection</w:t>
      </w:r>
      <w:r w:rsidRPr="00107E4B">
        <w:rPr>
          <w:rStyle w:val="StyleUnderline"/>
          <w:szCs w:val="20"/>
        </w:rPr>
        <w:t xml:space="preserve">, </w:t>
      </w:r>
      <w:r w:rsidRPr="00107E4B">
        <w:rPr>
          <w:rStyle w:val="Emphasis"/>
        </w:rPr>
        <w:t>incarceration</w:t>
      </w:r>
      <w:r w:rsidRPr="00107E4B">
        <w:rPr>
          <w:rStyle w:val="StyleUnderline"/>
          <w:szCs w:val="20"/>
        </w:rPr>
        <w:t xml:space="preserve">, </w:t>
      </w:r>
      <w:r w:rsidRPr="00107E4B">
        <w:rPr>
          <w:rStyle w:val="Emphasis"/>
        </w:rPr>
        <w:t>impoverishment</w:t>
      </w:r>
      <w:r w:rsidRPr="00107E4B">
        <w:rPr>
          <w:rStyle w:val="StyleUnderline"/>
          <w:szCs w:val="20"/>
        </w:rPr>
        <w:t xml:space="preserve"> and </w:t>
      </w:r>
      <w:r w:rsidRPr="00107E4B">
        <w:rPr>
          <w:rStyle w:val="Emphasis"/>
        </w:rPr>
        <w:t>second-class citizenship</w:t>
      </w:r>
      <w:r w:rsidRPr="00107E4B">
        <w:rPr>
          <w:rStyle w:val="StyleUnderline"/>
          <w:szCs w:val="20"/>
        </w:rPr>
        <w:t xml:space="preserve">: this is the legacy of slavery </w:t>
      </w:r>
      <w:r w:rsidRPr="00107E4B">
        <w:rPr>
          <w:rStyle w:val="Emphasis"/>
        </w:rPr>
        <w:t>that still haunts us.</w:t>
      </w:r>
      <w:r w:rsidRPr="00107E4B">
        <w:rPr>
          <w:sz w:val="16"/>
        </w:rPr>
        <w:t xml:space="preserve"> 15 The duration of injury and the seemingly intractable character of our defeat account for the living presence of slavery, and as well for the redress proffered by tourism. A reverse middle passage? At the Door of No Return—the passage from the dungeon to the slave ship—the tour guide declares, "It is not really the Door of No Return because now you are back!" These words cast the tourist as the triumphant captive and returning descendant. This proclamation, regularly issued at the final exit, is the ultimate moment of convergence between the past and the present and one that reveals the dilemma of mourning as both a recognition of loss and replacement of the lost object by way of identification. </w:t>
      </w:r>
      <w:r w:rsidRPr="00107E4B">
        <w:rPr>
          <w:rStyle w:val="StyleUnderline"/>
          <w:szCs w:val="20"/>
        </w:rPr>
        <w:t>The return is a fantasy of origins</w:t>
      </w:r>
      <w:r w:rsidRPr="00107E4B">
        <w:rPr>
          <w:sz w:val="16"/>
        </w:rPr>
        <w:t xml:space="preserve">; it is in the class of fantasies that Jean Laplanche and J. B. Pontalis describe as primal. Akin to collective myths, </w:t>
      </w:r>
      <w:r w:rsidRPr="00107E4B">
        <w:rPr>
          <w:rStyle w:val="StyleUnderline"/>
          <w:szCs w:val="20"/>
        </w:rPr>
        <w:t xml:space="preserve">such fantasies "provide a representation of and solution to whatever constitutes a major </w:t>
      </w:r>
      <w:r w:rsidRPr="00107E4B">
        <w:rPr>
          <w:rStyle w:val="StyleUnderline"/>
          <w:szCs w:val="20"/>
        </w:rPr>
        <w:lastRenderedPageBreak/>
        <w:t>enigma for the child" and "dramatise the primal moment or original point of departure of a history. In the ‘primal scene,' it is the origin of the subject that is represented."</w:t>
      </w:r>
      <w:r w:rsidRPr="00107E4B">
        <w:rPr>
          <w:sz w:val="16"/>
        </w:rPr>
        <w:t xml:space="preserve"> 16</w:t>
      </w:r>
    </w:p>
    <w:p w14:paraId="023AB914" w14:textId="77777777" w:rsidR="007E3D3F" w:rsidRPr="00107E4B" w:rsidRDefault="007E3D3F" w:rsidP="007E3D3F"/>
    <w:p w14:paraId="21DAE92B" w14:textId="77777777" w:rsidR="007E3D3F" w:rsidRPr="00107E4B" w:rsidRDefault="007E3D3F" w:rsidP="007E3D3F">
      <w:pPr>
        <w:pStyle w:val="Heading4"/>
      </w:pPr>
      <w:r w:rsidRPr="00107E4B">
        <w:t xml:space="preserve">Afro-futurism centers the genre on Africa, which distorts the message many Afro-futurist artists are putting out. </w:t>
      </w:r>
    </w:p>
    <w:p w14:paraId="662FD33D" w14:textId="77777777" w:rsidR="007E3D3F" w:rsidRPr="00107E4B" w:rsidRDefault="007E3D3F" w:rsidP="007E3D3F">
      <w:r w:rsidRPr="00107E4B">
        <w:rPr>
          <w:rStyle w:val="Style13ptBold"/>
        </w:rPr>
        <w:t xml:space="preserve">Stotter 16 </w:t>
      </w:r>
      <w:r w:rsidRPr="00107E4B">
        <w:rPr>
          <w:sz w:val="16"/>
          <w:szCs w:val="16"/>
        </w:rPr>
        <w:t>(Stotter, Magdalena. "Did You Say Afrofuturism? On Labelling Art." Wikis Der Freien Universität Berlin. N.p., 3 Feb. 2016. Web. 01 July 2017. &lt;http://wikis.fu-berlin.de/pages/viewpage.action?pageId=646989083&gt;.)</w:t>
      </w:r>
    </w:p>
    <w:p w14:paraId="53C7B9FA" w14:textId="77777777" w:rsidR="007E3D3F" w:rsidRPr="00107E4B" w:rsidRDefault="007E3D3F" w:rsidP="007E3D3F">
      <w:pPr>
        <w:rPr>
          <w:sz w:val="16"/>
        </w:rPr>
      </w:pPr>
      <w:r w:rsidRPr="00107E4B">
        <w:rPr>
          <w:sz w:val="16"/>
          <w:szCs w:val="16"/>
        </w:rPr>
        <w:t xml:space="preserve">So, if Milumbe Haimbe is queering the genre of science fiction as well as the genre of graphic novels through establishing a counter narrative to given stereotypes parallels to the sub-genre of Afrofuturism can be drawn at least in two main points: 1. by adding “new dimensions about identity, considering intersectionality regarding race, gender, sexual orientation, otherness, humanness, across time and space”[36] and 2. by “decentering whiteness, Eurocentrism and Western cosmologies” and simultaneously offering “new visions of what could come to be”[37] </w:t>
      </w:r>
      <w:r w:rsidRPr="00107E4B">
        <w:rPr>
          <w:sz w:val="16"/>
        </w:rPr>
        <w:t>As queering can be a tool for every artist speaking from a subaltern position (or not) to challenge fixed categories like heteronormativity, address gender inequalities from a feminist position or speak up against racial biases in popular culture there is no need to establish parallels between Milumbe Haimbe and Afrofuturism.</w:t>
      </w:r>
      <w:r w:rsidRPr="00107E4B">
        <w:rPr>
          <w:u w:val="single"/>
        </w:rPr>
        <w:t xml:space="preserve"> Calling futuristic art by Black artists or futuristic art with Black protagonists</w:t>
      </w:r>
      <w:r w:rsidRPr="00107E4B">
        <w:rPr>
          <w:sz w:val="16"/>
          <w:szCs w:val="16"/>
        </w:rPr>
        <w:t xml:space="preserve">[38] - no matter where they come from, what intention they share or which art form they use - </w:t>
      </w:r>
      <w:r w:rsidRPr="00107E4B">
        <w:rPr>
          <w:u w:val="single"/>
        </w:rPr>
        <w:t xml:space="preserve">Afrofuturist is not concrete enough as African positions in the genre of science fiction haven’t reached the mainstream audience yet and are only recently displayed in group exhibitions concerning Afrofuturism. </w:t>
      </w:r>
      <w:r w:rsidRPr="00107E4B">
        <w:rPr>
          <w:sz w:val="16"/>
        </w:rPr>
        <w:t>Botswana-born artist Pamela Phatsimo Sunstrum argues that African futuristic approaches should be labeled as “African futurism”</w:t>
      </w:r>
      <w:r w:rsidRPr="00107E4B">
        <w:rPr>
          <w:u w:val="single"/>
        </w:rPr>
        <w:t>.[</w:t>
      </w:r>
      <w:r w:rsidRPr="00107E4B">
        <w:rPr>
          <w:sz w:val="16"/>
          <w:szCs w:val="16"/>
        </w:rPr>
        <w:t xml:space="preserve">39] Substituting the term Afrofuturism with African futurism is, according to my reading a move in the right direction of labeling but still not fully satisfying as </w:t>
      </w:r>
      <w:r w:rsidRPr="00107E4B">
        <w:rPr>
          <w:u w:val="single"/>
        </w:rPr>
        <w:t>the aim should be to see art and popular culture on a global scale without geographical restrictions. Besides everything Afrofuturism has to offer this concept would never include an African perspective</w:t>
      </w:r>
      <w:r w:rsidRPr="00107E4B">
        <w:rPr>
          <w:sz w:val="16"/>
          <w:szCs w:val="16"/>
        </w:rPr>
        <w:t xml:space="preserve">, which is, </w:t>
      </w:r>
      <w:r w:rsidRPr="00107E4B">
        <w:rPr>
          <w:u w:val="single"/>
        </w:rPr>
        <w:t xml:space="preserve">with regard to the continent’s history </w:t>
      </w:r>
      <w:r w:rsidRPr="00107E4B">
        <w:rPr>
          <w:sz w:val="16"/>
        </w:rPr>
        <w:t>(e.g. colonization or its victimization in Western media through images of famine, war, destruction and poverty</w:t>
      </w:r>
      <w:r w:rsidRPr="00107E4B">
        <w:rPr>
          <w:sz w:val="16"/>
          <w:szCs w:val="16"/>
        </w:rPr>
        <w:t xml:space="preserve">)[40] an important and not deniable fact. Furthermore, African science fiction can create links to African cosmologies such as Wanuri Kahiu does in her film “Pumzi” (2010).[41] Afrofuturist works, Black science fiction and African futurism may address similar issues, but still </w:t>
      </w:r>
      <w:r w:rsidRPr="00107E4B">
        <w:rPr>
          <w:sz w:val="16"/>
        </w:rPr>
        <w:t>African futurists have not merely achieved the same agency yet and therefore, as Kahiu affirms, “have to be very clear about the messages they are putting out.”</w:t>
      </w:r>
      <w:r w:rsidRPr="00107E4B">
        <w:rPr>
          <w:u w:val="single"/>
        </w:rPr>
        <w:t>[</w:t>
      </w:r>
      <w:r w:rsidRPr="00107E4B">
        <w:rPr>
          <w:sz w:val="16"/>
          <w:szCs w:val="16"/>
        </w:rPr>
        <w:t>42] Milumbe Haimbe is probably doing a very conscious move toward the future unlabeling of artworks by saying the she will “own that label” [43] Afrofuturism for the moment. It makes her art accessible and visible to a broader audience by letting it be labeled although she thinks that this causes a sort of othering.[44] She is right when saying that there “has to be more representing”[45] and when there will be more artists from the continent who create science fiction speculative fiction or other futuristic oriented genres that are known around the globe, the need to target artists from the Global South by the country they come from or the suffix 'afro-' will hopefully vanish on its own. Unless this definition is used in a beneficial way to oppose White Western or Black Western futurist approaches and art practices to identify the position and perspective the artists are speaking from to underline their artistic expressions it could be abandoned in the future. Subsuming can be said, that speculative fiction, science fiction, Afrofuturism and other forms of storytelling can be described as ways of imagining a past, future or present that can be strikingly different from our current realities and can catalyze fruitful discussions about contemporary issues.</w:t>
      </w:r>
      <w:r w:rsidRPr="00107E4B">
        <w:rPr>
          <w:u w:val="single"/>
        </w:rPr>
        <w:t xml:space="preserve"> Science fiction has been used as a form of social critique from its beginnings, but there have been imagined futures and cosmologies long before the creation of this genre, </w:t>
      </w:r>
      <w:r w:rsidRPr="00107E4B">
        <w:rPr>
          <w:sz w:val="16"/>
        </w:rPr>
        <w:t>all over the world.</w:t>
      </w:r>
    </w:p>
    <w:p w14:paraId="30369E76" w14:textId="77777777" w:rsidR="007E3D3F" w:rsidRPr="00107E4B" w:rsidRDefault="007E3D3F" w:rsidP="007E3D3F">
      <w:pPr>
        <w:pStyle w:val="Heading3"/>
      </w:pPr>
      <w:r w:rsidRPr="00107E4B">
        <w:lastRenderedPageBreak/>
        <w:t>Co-option (Colonialism)</w:t>
      </w:r>
    </w:p>
    <w:p w14:paraId="3A69EB43" w14:textId="77777777" w:rsidR="007E3D3F" w:rsidRPr="00107E4B" w:rsidRDefault="007E3D3F" w:rsidP="007E3D3F">
      <w:pPr>
        <w:pStyle w:val="Heading4"/>
      </w:pPr>
      <w:r w:rsidRPr="00107E4B">
        <w:t>Afrofuturism traces its roots to an article written by a white guy trying to extend his colonial exploration into Black scholarship while homogenizing anything that doesn’t take a futurist standpoint – the impact is they re-entrench a Western exclusive mentality</w:t>
      </w:r>
    </w:p>
    <w:p w14:paraId="0C732D61" w14:textId="77777777" w:rsidR="007E3D3F" w:rsidRPr="00107E4B" w:rsidRDefault="007E3D3F" w:rsidP="007E3D3F">
      <w:r w:rsidRPr="00107E4B">
        <w:rPr>
          <w:rStyle w:val="Style13ptBold"/>
        </w:rPr>
        <w:t xml:space="preserve">Rose 14 </w:t>
      </w:r>
      <w:r w:rsidRPr="00107E4B">
        <w:rPr>
          <w:sz w:val="16"/>
        </w:rPr>
        <w:t xml:space="preserve">(Marika Rose, Winchester University, Department of Theology, Religion, and Philosophy. “The uncomfortable origins of ‘Afrofuturism’” 18 November 2014, accessed 12 February 2017, </w:t>
      </w:r>
      <w:hyperlink r:id="rId16" w:history="1">
        <w:r w:rsidRPr="00107E4B">
          <w:rPr>
            <w:rStyle w:val="Hyperlink"/>
            <w:sz w:val="16"/>
          </w:rPr>
          <w:t>https://itself.blog/2014/11/18/the-uncomfortable-origins-of-afrofuturism/</w:t>
        </w:r>
      </w:hyperlink>
      <w:r w:rsidRPr="00107E4B">
        <w:rPr>
          <w:sz w:val="16"/>
        </w:rPr>
        <w:t xml:space="preserve"> cVs)</w:t>
      </w:r>
    </w:p>
    <w:p w14:paraId="39A09304" w14:textId="77777777" w:rsidR="007E3D3F" w:rsidRPr="00107E4B" w:rsidRDefault="007E3D3F" w:rsidP="007E3D3F">
      <w:pPr>
        <w:rPr>
          <w:u w:val="single"/>
        </w:rPr>
      </w:pPr>
      <w:r w:rsidRPr="00107E4B">
        <w:rPr>
          <w:rStyle w:val="StyleUnderline"/>
          <w:u w:val="none"/>
        </w:rPr>
        <w:t>The term</w:t>
      </w:r>
      <w:r w:rsidRPr="00107E4B">
        <w:rPr>
          <w:rStyle w:val="StyleUnderline"/>
        </w:rPr>
        <w:t xml:space="preserve"> ‘Afrofuturism’ was coined by Mark Dery in </w:t>
      </w:r>
      <w:r w:rsidRPr="00107E4B">
        <w:rPr>
          <w:rStyle w:val="StyleUnderline"/>
          <w:u w:val="none"/>
        </w:rPr>
        <w:t xml:space="preserve">his article </w:t>
      </w:r>
      <w:r w:rsidRPr="00107E4B">
        <w:rPr>
          <w:rStyle w:val="StyleUnderline"/>
        </w:rPr>
        <w:t>‘Black to the Future: Interviews with Samuel R. Delany, Greg Tate, and Tricia Rose’.</w:t>
      </w:r>
      <w:r w:rsidRPr="00107E4B">
        <w:rPr>
          <w:sz w:val="16"/>
        </w:rPr>
        <w:t xml:space="preserve"> I finally got round to reading the piece recently; as you might infer, it’s not my area of expertise, so it’s more than possible that someone has made these observations better than me, before me. But </w:t>
      </w:r>
      <w:r w:rsidRPr="00107E4B">
        <w:rPr>
          <w:rStyle w:val="StyleUnderline"/>
          <w:u w:val="none"/>
        </w:rPr>
        <w:t>I thought it was</w:t>
      </w:r>
      <w:r w:rsidRPr="00107E4B">
        <w:rPr>
          <w:rStyle w:val="StyleUnderline"/>
        </w:rPr>
        <w:t xml:space="preserve"> </w:t>
      </w:r>
      <w:r w:rsidRPr="00107E4B">
        <w:rPr>
          <w:rStyle w:val="StyleUnderline"/>
          <w:u w:val="none"/>
        </w:rPr>
        <w:t>worth writing about: firstly because</w:t>
      </w:r>
      <w:r w:rsidRPr="00107E4B">
        <w:rPr>
          <w:rStyle w:val="StyleUnderline"/>
        </w:rPr>
        <w:t xml:space="preserve"> I was so taken aback by how uncomfortable it was to read</w:t>
      </w:r>
      <w:r w:rsidRPr="00107E4B">
        <w:rPr>
          <w:sz w:val="16"/>
        </w:rPr>
        <w:t xml:space="preserve">, as a white person who’s minimally aware of the many perils that beset the work of white people like me writing about black culture; and secondly because after a throwaway comment I made on Twitter, Mark Dery took it upon himself to sealion me, and demand that I explain in detail my critique of his work: I’m doubtful as to the sincerity of this demand – the Panopticon is, after all, a tool of discipline rather than reflection. But as a scholar of Žižek, one thing I’ve learned is that sometimes the most ethical thing to do is simply to take a person at their word. </w:t>
      </w:r>
      <w:r w:rsidRPr="00107E4B">
        <w:rPr>
          <w:rStyle w:val="StyleUnderline"/>
        </w:rPr>
        <w:t xml:space="preserve">‘Black to the Future’ opens with a conundrum: ‘Why do so few African Americans write science fiction, a genre whose close encounter with the Other – the stranger in a strange land – would seem uniquely suited to the concerns of African-American novelists?’ </w:t>
      </w:r>
      <w:r w:rsidRPr="00107E4B">
        <w:rPr>
          <w:rStyle w:val="Emphasis"/>
        </w:rPr>
        <w:t>Why is it that African Americans are not producing the sort of culture that Mark Dery, a white guy, thinks they should be producing?</w:t>
      </w:r>
      <w:r w:rsidRPr="00107E4B">
        <w:rPr>
          <w:sz w:val="16"/>
        </w:rPr>
        <w:t xml:space="preserve"> Dery does at least realise that if there’s an answer to this question he can’t figure it out on his own, and so the bulk of the article consists of interviews with Samuel Delany, Greg Tate and Tricia Rose. Most of the words are not Dery’s own. It’s not clear how closely the text itself hews to the original interviews, but on the account that Dery himself gives, the bulk of the analysis the article contains is Delany’s, Tate’s and Rose’s. They’re fascinating, smart, insightful interviewees, with a lot to say about the relationship between black culture and science fiction. Dery? Not so much. </w:t>
      </w:r>
      <w:r w:rsidRPr="00107E4B">
        <w:rPr>
          <w:rStyle w:val="StyleUnderline"/>
        </w:rPr>
        <w:t>For someone who is so sure about his competence to assess the contributions of African American science fiction, Dery is remarkably unreflective about his own position in relation to the people he is interviewing. African American culture which engages with technological, sci-fi and futuristic imagery and concepts is a ‘largely unexplored psychogeography’ towards whose exploration Dery himself is taking ‘a first, faltering step’. That’s right: Dery, a white guy, is positioning himself as bold explorer into a largely unknown region populated by people of colour. A voyage into the heart of darkness, if you will. This ‘largely unexplored’ region is so unknown, so previously unthought, that Dery must appoint as his native guides an author and literary critic (Delany), a musician, producer and cultural critic (Tate) and a Professor of Africana Studies who is ‘currently at work on a book on rap music and the politics of black cultural practice’ (Rose).</w:t>
      </w:r>
      <w:r w:rsidRPr="00107E4B">
        <w:rPr>
          <w:sz w:val="16"/>
        </w:rPr>
        <w:t xml:space="preserve"> Dery is right, however, that </w:t>
      </w:r>
      <w:r w:rsidRPr="00107E4B">
        <w:rPr>
          <w:rStyle w:val="StyleUnderline"/>
        </w:rPr>
        <w:t xml:space="preserve">his first steps into this region are faltering. His unfailingly gracious interviewees spent a truly remarkable amount of time gently correcting the assumptions which underlie the questions he asks them. </w:t>
      </w:r>
      <w:r w:rsidRPr="00107E4B">
        <w:rPr>
          <w:sz w:val="16"/>
        </w:rPr>
        <w:t xml:space="preserve">It’s excruciating: Dery: One thing that intrigued me about your brief essay [on cyberpunk] is that you made no mention of the orbital Rastafarians in Gibson’s Neuromancer. I find that curious. Delany: Why should I have mentioned them? Dery: For me, a white reader, the Rastas … are intriguing in that they hold forth the promise of a holistic relationship with technology. Delany: You’ll forgive me if, as a black reader, I didn’t leap up to proclaim this passing presentation of a powerless and wholly nonoppositional set of black dropouts, by a Virginia-born white writer, as the coming of the black millennium in science fiction; but maybe that’s just a black thang…Your question is indicative of precisely what I was speaking about in the essay you cited: the interpretive idiocies that arise as soon as a book is lifted out of its genre and cut loose from the tradition that precedes and produces it. Dery: Why, then, would black youth be alienated by SF signifiers for high technology? Delany: The immediate answer is simply that the sign language is more complicated than you’re giving it credit for. Dery: Wasn’t there an elitist, if not crypto-right, slant to [science fiction] literature from the very beginning? Delany: Once again, that sounds to me like a simple historical misunderstanding about the history and tradition of </w:t>
      </w:r>
      <w:r w:rsidRPr="00107E4B">
        <w:rPr>
          <w:sz w:val="16"/>
        </w:rPr>
        <w:lastRenderedPageBreak/>
        <w:t xml:space="preserve">science fiction … I’m not even sure what you could be referring to. Dery: Why has there been so little overtly gay SF? Delany: There is, of course, a whole bibliography full of gay science fiction … And there is a considerable gay fandom …. There is at least on annual gay science fiction convention … And the gay programming that regularly, today, turns up in other science fiction conventions is almost always among the most crowded, standing-room only event. Dery: Why hasn’t the African-American community made more use, either as writers or readers, of science fiction? Tate: I don’t know that that’s necessarily true. Dery: I sometimes wonder if there isn’t an inherent dichotomy in hip-hop between a displaced people’s need to reaffirm a common history and the quintessentially American emphasis on forward motion, effected through technological progress. Don’t these contradictory impulses threaten to tear hip-hop apart? Tate: No, because you can be backward-looking and forward thinking at the same time. It’s clear that </w:t>
      </w:r>
      <w:r w:rsidRPr="00107E4B">
        <w:rPr>
          <w:rStyle w:val="StyleUnderline"/>
        </w:rPr>
        <w:t>Dery simply hasn’t done the work required to be a good interviewer. He asks his interviewees about areas of culture in which, as they make clear to him, they have no interest or expertise. Many of his questions draw not on Dery’s own observations but on work that has been done by other people.</w:t>
      </w:r>
      <w:r w:rsidRPr="00107E4B">
        <w:rPr>
          <w:sz w:val="16"/>
        </w:rPr>
        <w:t xml:space="preserve"> The article ends with the final interview: Dery writes no summary, and makes no attempt to sketch out a map of the terrain in whose exploration he describes himself as a pioneer. What’s interesting about the article, </w:t>
      </w:r>
      <w:r w:rsidRPr="00107E4B">
        <w:rPr>
          <w:rStyle w:val="StyleUnderline"/>
        </w:rPr>
        <w:t>one of Dery’s best known works and the reason why his name is so omnipresent in discussions of Afrofuturism – a phenomenon which he both names and claims to have discovered – is precisely how little work he does. A great deal of intellectual labour is visible in the essay, but almost all of it is undertaken by Delany, Tate and Rose, who not only tolerate Dery’s ill-informed and – let’s be honest – occasionally racist questions, but offer smart and insightful accounts of the areas in which they are, after all, experts.</w:t>
      </w:r>
      <w:r w:rsidRPr="00107E4B">
        <w:rPr>
          <w:sz w:val="16"/>
        </w:rPr>
        <w:t xml:space="preserve"> There’s so much in here that I want to reflect on, to digest, and to be formed by intellectually. But I can’t cite this work on the part of Delany, Tate and Rose without citing Dery himself. </w:t>
      </w:r>
      <w:r w:rsidRPr="00107E4B">
        <w:rPr>
          <w:rStyle w:val="StyleUnderline"/>
        </w:rPr>
        <w:t>What’s worst about ‘Black to the Future’ is that Dery has found a way to identify an area of black culture, declare it unknown territory, and, by appropriating the labour of black creators of both culture and critical reflection on that culture, has ensured that this terrain has come to bear the name that he chose for it.</w:t>
      </w:r>
    </w:p>
    <w:p w14:paraId="6034E3CE" w14:textId="77777777" w:rsidR="007E3D3F" w:rsidRPr="00107E4B" w:rsidRDefault="007E3D3F" w:rsidP="007E3D3F">
      <w:pPr>
        <w:pStyle w:val="Heading3"/>
      </w:pPr>
      <w:r w:rsidRPr="00107E4B">
        <w:lastRenderedPageBreak/>
        <w:t>Co-option (capitalism)</w:t>
      </w:r>
    </w:p>
    <w:p w14:paraId="6814507E" w14:textId="77777777" w:rsidR="007E3D3F" w:rsidRPr="00107E4B" w:rsidRDefault="007E3D3F" w:rsidP="007E3D3F">
      <w:pPr>
        <w:pStyle w:val="Heading4"/>
      </w:pPr>
      <w:r w:rsidRPr="00107E4B">
        <w:t>Their obsession with a fictional, technological reality posits social interaction as irrelevant, locking in a consumerist individualism as the dominant mode of expressing humanity – this locks in the brutal efficiency of capitalism</w:t>
      </w:r>
    </w:p>
    <w:p w14:paraId="6E60D8DF" w14:textId="77777777" w:rsidR="007E3D3F" w:rsidRPr="00107E4B" w:rsidRDefault="007E3D3F" w:rsidP="007E3D3F">
      <w:pPr>
        <w:rPr>
          <w:sz w:val="18"/>
          <w:szCs w:val="18"/>
        </w:rPr>
      </w:pPr>
      <w:r w:rsidRPr="00107E4B">
        <w:rPr>
          <w:rStyle w:val="Style13ptBold"/>
        </w:rPr>
        <w:t>Dinerstein 6</w:t>
      </w:r>
      <w:r w:rsidRPr="00107E4B">
        <w:br/>
      </w:r>
      <w:r w:rsidRPr="00107E4B">
        <w:rPr>
          <w:sz w:val="18"/>
          <w:szCs w:val="18"/>
        </w:rPr>
        <w:t>(Joel is an assistant professor of English at Tulane University, where he also teaches in the American studies program. He is the author of Swinging the Machine: Modernity, Technology, and African American Culture between the World Wars (2003), which was awarded the 2004 Eugene M. Kayden Book Prize, given annually to the best book in the humanities published by an American university press. He is presently at work on The Cool Mask: Jazz, Noir, and Existentialism, 1940–1960, a book that will analyze the emergence of the concept of cool in American society. “Technology and its Discontents: On the Verge of the Posthuman” American Quarterly 58.3 (2006), pp. 583-585, accessed 31 October 2015, happy Halloween cVs)</w:t>
      </w:r>
    </w:p>
    <w:p w14:paraId="146CE0D2" w14:textId="77777777" w:rsidR="007E3D3F" w:rsidRPr="00107E4B" w:rsidRDefault="007E3D3F" w:rsidP="007E3D3F">
      <w:pPr>
        <w:rPr>
          <w:sz w:val="16"/>
          <w:szCs w:val="16"/>
        </w:rPr>
      </w:pPr>
      <w:r w:rsidRPr="00107E4B">
        <w:rPr>
          <w:sz w:val="16"/>
          <w:szCs w:val="16"/>
        </w:rPr>
        <w:t>And</w:t>
      </w:r>
      <w:r w:rsidRPr="00107E4B">
        <w:rPr>
          <w:rStyle w:val="StyleUnderline"/>
        </w:rPr>
        <w:t xml:space="preserve"> isn't moving the machines inside the body the logical next step in technological evolution? Since the early 1980s, the consumer fruits of the electronic and computer revolutions have stirred every younger generation to a faith in a peaceful, plentiful, groovy future made possible by technological fables of abundance.</w:t>
      </w:r>
      <w:r w:rsidRPr="00107E4B">
        <w:rPr>
          <w:sz w:val="16"/>
          <w:szCs w:val="16"/>
        </w:rPr>
        <w:t xml:space="preserve"> In addition</w:t>
      </w:r>
      <w:r w:rsidRPr="00107E4B">
        <w:rPr>
          <w:rStyle w:val="StyleUnderline"/>
        </w:rPr>
        <w:t>, ads now help young consumers visualize every individual as a mobile network, with iPods and Blackberrys enabling 24/7 mobile connectivity. GNR enthusiasts have simply reenvisioned the human body as a computer array.</w:t>
      </w:r>
      <w:r w:rsidRPr="00107E4B">
        <w:rPr>
          <w:sz w:val="16"/>
          <w:szCs w:val="16"/>
        </w:rPr>
        <w:t xml:space="preserve"> Brooks imagines implanting a screen in the part of the brain responsible for visual processing with an internal on/off system that jacks the mind into the Internet. Like many others, he is exalted by these ideas: "What if we could make all these external devices internal, what if they were all just part of our minds, just as our ability to see and hear is just a part of our mind?" As Garreau reflects, "for all previous millennia, our technologies have been aimed outward, to control our environment. . . . [Now] we have started a wholesale process of aiming our technologies inward." 39 This is perhaps most true for nanotechnology (N), the science of manipulating subatomic particles to take advantages of properties (such as conductivity) present only at that level. Medicine is its primary locus of application, and its researchers foresee robot surgeons dispatching tiny programmed "nanobots" into infected areas to cure the body without surgery or chemotherapy. Ray Kurzweil predicts that smart nanobots will easily "reverse the environmental destruction left by the first industrial revolution," provide safe, cheap, clean energy, and "destroy . . . cancer cells, repair DNA, and reverse the ravages of aging." Nanotech pioneer Robert A. Freitas, whose research concerns the potential for nanobots to perform brain scans, goes even further. Here's an FAQ from his website: "What would be the biggest benefit to be gained for human society from nanomedicine?" His response: "Nanomedicine will eliminate virtually all common diseases of the twentieth century, virtually all medical pain and suffering, and allow the extension of human capabilities, most especially our mental abilities." Humans will soon have the storage capacities of computers, according to Freitas, since a "nanostructured data storage device" is no bigger than a neuron and can hold "an amount of information equivalent to the entire Library of Congress." Once all human beings have "extremely rapid access to this [volume of] information"—and, I suppose, regular upgrades—</w:t>
      </w:r>
      <w:r w:rsidRPr="00107E4B">
        <w:rPr>
          <w:rStyle w:val="StyleUnderline"/>
        </w:rPr>
        <w:t>Freitas</w:t>
      </w:r>
      <w:r w:rsidRPr="00107E4B">
        <w:rPr>
          <w:sz w:val="16"/>
          <w:szCs w:val="16"/>
        </w:rPr>
        <w:t xml:space="preserve"> [End Page 583] </w:t>
      </w:r>
      <w:r w:rsidRPr="00107E4B">
        <w:rPr>
          <w:rStyle w:val="StyleUnderline"/>
        </w:rPr>
        <w:t>foresees immense social changes. What will be nanomedicine's biggest success? "The most important long-term benefit to human society" will be "the dawning of a new era of peace." Why will that occur? "People who are independently well-fed, well-clothed, well-housed, smart, well-educated, healthy, and happy will have little motivation to make war." Apparently, in the nanotech-powered utopia, immortality supplants the will to power and the seven deadly sins, since "human beings who have a reasonable prospect of living many 'normal' lifetimes will learn patience from experience."</w:t>
      </w:r>
      <w:r w:rsidRPr="00107E4B">
        <w:rPr>
          <w:sz w:val="16"/>
          <w:szCs w:val="16"/>
        </w:rPr>
        <w:t xml:space="preserve"> 40 As noted above, </w:t>
      </w:r>
      <w:r w:rsidRPr="00107E4B">
        <w:rPr>
          <w:rStyle w:val="StyleUnderline"/>
        </w:rPr>
        <w:t>posthuman utopianism differs from all past visions</w:t>
      </w:r>
      <w:r w:rsidRPr="00107E4B">
        <w:rPr>
          <w:sz w:val="16"/>
          <w:szCs w:val="16"/>
        </w:rPr>
        <w:t>—from Plato's to Thomas More's to Charlotte Perkins Gilman's—</w:t>
      </w:r>
      <w:r w:rsidRPr="00107E4B">
        <w:rPr>
          <w:rStyle w:val="StyleUnderline"/>
        </w:rPr>
        <w:t>in being based not on social planning but on self-actualization. As one futurist rhapsodizes over the advantages of cyborg life: Just a small piece of silicon under the skin is all it would take for us to enjoy the freedom of no cars, passports, or keys. Put your hand out to the car door, computer terminal, the food you wish to purchase, and you would be dealt with efficiently. Think about it: total freedom; no more plastic.</w:t>
      </w:r>
      <w:r w:rsidRPr="00107E4B">
        <w:rPr>
          <w:sz w:val="16"/>
          <w:szCs w:val="16"/>
        </w:rPr>
        <w:t xml:space="preserve"> 41 </w:t>
      </w:r>
      <w:r w:rsidRPr="00107E4B">
        <w:rPr>
          <w:rStyle w:val="StyleUnderline"/>
        </w:rPr>
        <w:t xml:space="preserve">This superficial notion of "total freedom" aside, the obvious context is our radically individualistic consumer society. Posthuman utopians ignore what Albert Borgmann simply calls—in response </w:t>
      </w:r>
      <w:r w:rsidRPr="00107E4B">
        <w:rPr>
          <w:rStyle w:val="StyleUnderline"/>
        </w:rPr>
        <w:lastRenderedPageBreak/>
        <w:t xml:space="preserve">to their claims—"the social dimensions of human being." Humans are socialized by parents, siblings, teachers, and environments, and acquire consciousness (and self) in dialogue with friends, co-workers, and nature itself. As Borgmann claims about the relationship of individuality and socialization: "Each of us is a unique and inexhaustible locus of convergence and transmission through our ancestry, both evolutionary and historical, through our descendants, through the sensibility of each of our organs, through our pleasures and pains, through our wounds and our scars, through our attacks and our embraces." To assume that upgrading the "wetware" will lead to utopia misunderstands the mundane aspects of being human. </w:t>
      </w:r>
      <w:r w:rsidRPr="00107E4B">
        <w:rPr>
          <w:sz w:val="16"/>
          <w:szCs w:val="16"/>
        </w:rPr>
        <w:t xml:space="preserve">As Borgmann claims for himself: "I shape my conduct in emulation, competition, or companionship with others." 42 To be reductive, </w:t>
      </w:r>
      <w:r w:rsidRPr="00107E4B">
        <w:rPr>
          <w:rStyle w:val="StyleUnderline"/>
        </w:rPr>
        <w:t>GNR enthusiasts are able to evade the "social dimensions" of human being because they work from the "computational model" of the brain</w:t>
      </w:r>
      <w:r w:rsidRPr="00107E4B">
        <w:rPr>
          <w:sz w:val="16"/>
          <w:szCs w:val="16"/>
        </w:rPr>
        <w:t xml:space="preserve"> (the dominant paradigm of cognitive science). To GNR enthusiasts—as to cognitive scientists and philosophers—the human organism is simply a special kind of machine composed of electro-chemical networks. As Hayles has shown, in the decade after World War II, cybernetic theorists shifted the idea of mental processes from "thought" and "consciousness" to "information." As [End Page 584] they ratcheted up "analogs between machines and humans," early cybernetic theorists began to "construct the human in terms of the machine." 43 In other words, </w:t>
      </w:r>
      <w:r w:rsidRPr="00107E4B">
        <w:rPr>
          <w:rStyle w:val="StyleUnderline"/>
        </w:rPr>
        <w:t>they externalized the model of the mind and bracketed off subjective experience as irrelevant. Over three generations, "information" supplanted "thought" and the speed of computation became the measure of mental power.</w:t>
      </w:r>
      <w:r w:rsidRPr="00107E4B">
        <w:rPr>
          <w:sz w:val="16"/>
          <w:szCs w:val="16"/>
        </w:rPr>
        <w:t xml:space="preserve"> According to John Searle, most cognitive scientists do not "regard consciousness as a genuine scientific question," and most textbooks on the brain "have no chapters on consciousness." There are alternative models ("the embodied mind," "the phenomenological mind"), but </w:t>
      </w:r>
      <w:r w:rsidRPr="00107E4B">
        <w:rPr>
          <w:rStyle w:val="StyleUnderline"/>
        </w:rPr>
        <w:t>cognitive science remains devoted to the computational model, which has "virtually nothing to say about what it means to be human in everyday, lived situations."</w:t>
      </w:r>
      <w:r w:rsidRPr="00107E4B">
        <w:rPr>
          <w:sz w:val="16"/>
          <w:szCs w:val="16"/>
        </w:rPr>
        <w:t xml:space="preserve"> 44 </w:t>
      </w:r>
      <w:r w:rsidRPr="00107E4B">
        <w:rPr>
          <w:rStyle w:val="StyleUnderline"/>
        </w:rPr>
        <w:t>GNR enthusiasts thus conceive of human organisms as nodes in technological networks rather than in social ones.</w:t>
      </w:r>
      <w:r w:rsidRPr="00107E4B">
        <w:rPr>
          <w:sz w:val="16"/>
          <w:szCs w:val="16"/>
        </w:rPr>
        <w:t xml:space="preserve"> To cognitive scientist Andy Clark, for example, human beings have always been "natural-born cyborgs," and the human organism is simply "tools all the way down." ("Tools-R-Us," he quips.) In reading back into history the model of the "man-machine," computationalists like Clark shift the idea of technologies (or tools) from prosthesis—tools used externally, by the body and as an extension of it—to something like techno-symbiosis (i.e., tools wired into the mind and body, neural subsystems as computer programs). As Hayles has shown, cyberneticists consider human beings as simply "body surfaces . . . through which information flows"; if so, she wonders, "who are we?" In Posthumanity (2004), philosopher Gerald Cooney spins it slightly differently: will a body outfitted with a dozen prosthetics—thin body armor, internalized electronics—feel "just as much my body and part of myself?" Is that kind of cyborg "as much a human being?" Either perspective "implies the deconstruction of the autonomous self," and both cognitive scientists and cultural theorists now meditate on how the cyborg "self" would work at the level of mind. 45</w:t>
      </w:r>
    </w:p>
    <w:p w14:paraId="2FF98ADE" w14:textId="77777777" w:rsidR="007E3D3F" w:rsidRPr="00107E4B" w:rsidRDefault="007E3D3F" w:rsidP="007E3D3F">
      <w:pPr>
        <w:pStyle w:val="Heading4"/>
      </w:pPr>
      <w:r w:rsidRPr="00107E4B">
        <w:t xml:space="preserve">Sci-Fi has been co-opted into a system of capital that functions through the futures industry, which aids in the distortion of the present to control the future. Power now commodifies information about the future and shapes predictions of the future. Their exclusion of marginalized groups condemns marginalized groups to live in the past. </w:t>
      </w:r>
    </w:p>
    <w:p w14:paraId="1351316E" w14:textId="77777777" w:rsidR="007E3D3F" w:rsidRPr="00107E4B" w:rsidRDefault="007E3D3F" w:rsidP="007E3D3F">
      <w:r w:rsidRPr="00107E4B">
        <w:rPr>
          <w:rStyle w:val="Style13ptBold"/>
        </w:rPr>
        <w:t xml:space="preserve">Eshun 03 </w:t>
      </w:r>
      <w:r w:rsidRPr="00107E4B">
        <w:rPr>
          <w:sz w:val="16"/>
          <w:szCs w:val="16"/>
        </w:rPr>
        <w:t>(Eshun, Kodwo, author of numerous pieces on music, culture, and the arts, associateeditor of the 21C, author of More Brilliant Than the Sun: Adventures in Sonic Fiction (Quartet Books, 1998), editor of Afrofuturist Reader from Duke University Press. "Further Considerations on Afrofuturism." The New Centennial Review 3.2 (2003): 287-302. Project Muse. Web. 30 June 2017. &lt;https://muse.jhu.edu/article/48294&gt;.)</w:t>
      </w:r>
    </w:p>
    <w:p w14:paraId="2CE20714" w14:textId="77777777" w:rsidR="007E3D3F" w:rsidRPr="00107E4B" w:rsidRDefault="007E3D3F" w:rsidP="007E3D3F">
      <w:pPr>
        <w:rPr>
          <w:sz w:val="14"/>
          <w:szCs w:val="16"/>
        </w:rPr>
      </w:pPr>
      <w:r w:rsidRPr="00107E4B">
        <w:rPr>
          <w:sz w:val="14"/>
          <w:szCs w:val="16"/>
        </w:rPr>
        <w:t xml:space="preserve">It is clear that </w:t>
      </w:r>
      <w:r w:rsidRPr="00107E4B">
        <w:rPr>
          <w:u w:val="single"/>
        </w:rPr>
        <w:t>power</w:t>
      </w:r>
      <w:r w:rsidRPr="00107E4B">
        <w:rPr>
          <w:sz w:val="14"/>
          <w:szCs w:val="16"/>
        </w:rPr>
        <w:t xml:space="preserve"> now </w:t>
      </w:r>
      <w:r w:rsidRPr="00107E4B">
        <w:rPr>
          <w:u w:val="single"/>
        </w:rPr>
        <w:t>operates predictively as much as retrospectively. Capital continues to function through the dissimulation of the imperial archive,</w:t>
      </w:r>
      <w:r w:rsidRPr="00107E4B">
        <w:rPr>
          <w:sz w:val="14"/>
          <w:szCs w:val="16"/>
        </w:rPr>
        <w:t xml:space="preserve"> as it has done throughout the last century. </w:t>
      </w:r>
      <w:r w:rsidRPr="00107E4B">
        <w:rPr>
          <w:u w:val="single"/>
        </w:rPr>
        <w:t xml:space="preserve">Today, however, power also functions through the envisioning, management, and delivery of reliable futures. In the colonial era of the early to middle twentieth century, avantgardists </w:t>
      </w:r>
      <w:r w:rsidRPr="00107E4B">
        <w:rPr>
          <w:sz w:val="14"/>
          <w:szCs w:val="16"/>
        </w:rPr>
        <w:t xml:space="preserve">from Walter Benjamin to Frantz Fanon </w:t>
      </w:r>
      <w:r w:rsidRPr="00107E4B">
        <w:rPr>
          <w:u w:val="single"/>
        </w:rPr>
        <w:t xml:space="preserve">revolted in the name of the future against a power structure that relied on control </w:t>
      </w:r>
      <w:r w:rsidRPr="00107E4B">
        <w:rPr>
          <w:u w:val="single"/>
        </w:rPr>
        <w:lastRenderedPageBreak/>
        <w:t>and representation of the historical archive. Today, the situation is reversed. The powerful employ futurists and draw power from the futures they endorse, thereby condemning the disempowered to live in the past.</w:t>
      </w:r>
      <w:r w:rsidRPr="00107E4B">
        <w:rPr>
          <w:sz w:val="14"/>
          <w:szCs w:val="16"/>
        </w:rPr>
        <w:t xml:space="preserve"> The present moment is stretching, slipping for some into yesterday, reaching for others into tomorrow. Kodwo Eshun ● 289 SF C APITAL </w:t>
      </w:r>
      <w:r w:rsidRPr="00107E4B">
        <w:rPr>
          <w:u w:val="single"/>
        </w:rPr>
        <w:t>Power now deploys a mode</w:t>
      </w:r>
      <w:r w:rsidRPr="00107E4B">
        <w:rPr>
          <w:sz w:val="14"/>
          <w:szCs w:val="16"/>
        </w:rPr>
        <w:t xml:space="preserve"> the critic Mark Fisher (</w:t>
      </w:r>
      <w:r w:rsidRPr="00107E4B">
        <w:rPr>
          <w:rFonts w:ascii="SimSun" w:eastAsia="SimSun" w:hAnsi="SimSun" w:cs="SimSun"/>
          <w:sz w:val="14"/>
          <w:szCs w:val="16"/>
        </w:rPr>
        <w:t></w:t>
      </w:r>
      <w:r w:rsidRPr="00107E4B">
        <w:rPr>
          <w:sz w:val="14"/>
          <w:szCs w:val="16"/>
        </w:rPr>
        <w:t xml:space="preserve">) </w:t>
      </w:r>
      <w:r w:rsidRPr="00107E4B">
        <w:rPr>
          <w:u w:val="single"/>
        </w:rPr>
        <w:t>call</w:t>
      </w:r>
      <w:r w:rsidRPr="00107E4B">
        <w:rPr>
          <w:sz w:val="14"/>
          <w:szCs w:val="16"/>
        </w:rPr>
        <w:t xml:space="preserve">s </w:t>
      </w:r>
      <w:r w:rsidRPr="00107E4B">
        <w:rPr>
          <w:u w:val="single"/>
        </w:rPr>
        <w:t>SF (science fiction) capital. SF capital is the synergy, the positive feedback between future-oriented media and capital. The alliance between cybernetic futurism and “New Economy” theories argues that information is a direct generator of economic value. Information about the future therefore circulates as an increasingly important commodity.</w:t>
      </w:r>
      <w:r w:rsidRPr="00107E4B">
        <w:rPr>
          <w:sz w:val="14"/>
          <w:szCs w:val="16"/>
        </w:rPr>
        <w:t xml:space="preserve"> It exists in mathematical formalizations such as computer simulations, economic projections, weather reports, futures trading, think-tank reports, consultancy papers—and through informal descriptions such as science- fiction cinema, science-fiction novels, sonic fictions, religious prophecy, and venture capital. Bridging the two are formal-informal hybrids, such as the global scenarios of the professional market futurist. Looking back at the media generated by the computer boom of the </w:t>
      </w:r>
      <w:r w:rsidRPr="00107E4B">
        <w:rPr>
          <w:rFonts w:ascii="SimSun" w:eastAsia="SimSun" w:hAnsi="SimSun" w:cs="SimSun"/>
          <w:sz w:val="14"/>
          <w:szCs w:val="16"/>
        </w:rPr>
        <w:t></w:t>
      </w:r>
      <w:r w:rsidRPr="00107E4B">
        <w:rPr>
          <w:sz w:val="14"/>
          <w:szCs w:val="16"/>
        </w:rPr>
        <w:t xml:space="preserve">s, it is clear that </w:t>
      </w:r>
      <w:r w:rsidRPr="00107E4B">
        <w:rPr>
          <w:u w:val="single"/>
        </w:rPr>
        <w:t xml:space="preserve">the effect of the futures industry—defined here as the intersecting industries of technoscience, fictional media, technological projection, and market prediction—has been to fuel the desire for a technology boom. </w:t>
      </w:r>
      <w:r w:rsidRPr="00107E4B">
        <w:rPr>
          <w:sz w:val="14"/>
          <w:szCs w:val="16"/>
        </w:rPr>
        <w:t>Given this context</w:t>
      </w:r>
      <w:r w:rsidRPr="00107E4B">
        <w:rPr>
          <w:u w:val="single"/>
        </w:rPr>
        <w:t>, it would be naïve to understand science fiction, located within the expanded field of the futures industry, as merely prediction into the far future, or as a utopian project for imagining alternative social realities. Science fiction might better be understood,</w:t>
      </w:r>
      <w:r w:rsidRPr="00107E4B">
        <w:rPr>
          <w:sz w:val="14"/>
          <w:szCs w:val="16"/>
        </w:rPr>
        <w:t xml:space="preserve"> in Samuel R. Delany’s statement, </w:t>
      </w:r>
      <w:r w:rsidRPr="00107E4B">
        <w:rPr>
          <w:u w:val="single"/>
        </w:rPr>
        <w:t>as offering “a significant distortion of the present</w:t>
      </w:r>
      <w:r w:rsidRPr="00107E4B">
        <w:rPr>
          <w:sz w:val="14"/>
          <w:szCs w:val="16"/>
        </w:rPr>
        <w:t xml:space="preserve">” (Last Angel of History </w:t>
      </w:r>
      <w:r w:rsidRPr="00107E4B">
        <w:rPr>
          <w:rFonts w:ascii="SimSun" w:eastAsia="SimSun" w:hAnsi="SimSun" w:cs="SimSun"/>
          <w:sz w:val="14"/>
          <w:szCs w:val="16"/>
        </w:rPr>
        <w:t></w:t>
      </w:r>
      <w:r w:rsidRPr="00107E4B">
        <w:rPr>
          <w:sz w:val="14"/>
          <w:szCs w:val="16"/>
        </w:rPr>
        <w:t xml:space="preserve">). To be more precise, science fiction is neither forward-looking nor utopian. Rather, in William Gibson’s phrase, science fiction is a means through which to preprogram the present (cited in Eshun </w:t>
      </w:r>
      <w:r w:rsidRPr="00107E4B">
        <w:rPr>
          <w:rFonts w:ascii="SimSun" w:eastAsia="SimSun" w:hAnsi="SimSun" w:cs="SimSun"/>
          <w:sz w:val="14"/>
          <w:szCs w:val="16"/>
        </w:rPr>
        <w:t></w:t>
      </w:r>
      <w:r w:rsidRPr="00107E4B">
        <w:rPr>
          <w:sz w:val="14"/>
          <w:szCs w:val="16"/>
        </w:rPr>
        <w:t xml:space="preserve">). Looking back at the genre, it becomes apparent that </w:t>
      </w:r>
      <w:r w:rsidRPr="00107E4B">
        <w:rPr>
          <w:u w:val="single"/>
        </w:rPr>
        <w:t xml:space="preserve">science fiction was never concerned with the future, but rather with engineering feedback between its preferred future and its becoming present. </w:t>
      </w:r>
      <w:r w:rsidRPr="00107E4B">
        <w:rPr>
          <w:sz w:val="14"/>
          <w:szCs w:val="16"/>
        </w:rPr>
        <w:t xml:space="preserve">Hollywood’s </w:t>
      </w:r>
      <w:r w:rsidRPr="00107E4B">
        <w:rPr>
          <w:rFonts w:ascii="SimSun" w:eastAsia="SimSun" w:hAnsi="SimSun" w:cs="SimSun"/>
          <w:sz w:val="14"/>
          <w:szCs w:val="16"/>
        </w:rPr>
        <w:t></w:t>
      </w:r>
      <w:r w:rsidRPr="00107E4B">
        <w:rPr>
          <w:sz w:val="14"/>
          <w:szCs w:val="16"/>
        </w:rPr>
        <w:t>s love for sci-tech fictions, from The Truman Show to The Matrix, from Men in Black to Minority Report, can therefore be seen as product-placed visions of the reality-producing power of computer networks, which in turn contribute to an explosion in the technologies they hymn</w:t>
      </w:r>
      <w:r w:rsidRPr="00107E4B">
        <w:rPr>
          <w:u w:val="single"/>
        </w:rPr>
        <w:t xml:space="preserve">. As New Economy ideas take hold, virtual futures generate capital. A subtle oscillation between prediction and control is being engineered in which successful or powerful descriptions of the future have an increasing ability to draw us towards them, to command us to make them flesh. </w:t>
      </w:r>
      <w:r w:rsidRPr="00107E4B">
        <w:rPr>
          <w:sz w:val="14"/>
          <w:szCs w:val="16"/>
        </w:rPr>
        <w:t xml:space="preserve">T H E F UTURES I N D USTRY </w:t>
      </w:r>
      <w:r w:rsidRPr="00107E4B">
        <w:rPr>
          <w:u w:val="single"/>
        </w:rPr>
        <w:t xml:space="preserve">Science fiction is now a research and development department within a futures industry that dreams of the prediction and control of tomorrow. </w:t>
      </w:r>
      <w:r w:rsidRPr="00107E4B">
        <w:rPr>
          <w:sz w:val="14"/>
          <w:szCs w:val="16"/>
        </w:rPr>
        <w:t xml:space="preserve">Corporate business seeks to manage the unknown through decisions based on scenarios, while </w:t>
      </w:r>
      <w:r w:rsidRPr="00107E4B">
        <w:rPr>
          <w:u w:val="single"/>
        </w:rPr>
        <w:t>civil society responds to future shock through habits formatted by science fiction. Science fiction operates through the</w:t>
      </w:r>
      <w:r w:rsidRPr="00107E4B">
        <w:rPr>
          <w:sz w:val="14"/>
          <w:szCs w:val="16"/>
        </w:rPr>
        <w:t xml:space="preserve"> power of falsification, the </w:t>
      </w:r>
      <w:r w:rsidRPr="00107E4B">
        <w:rPr>
          <w:u w:val="single"/>
        </w:rPr>
        <w:t>drive to rewrite reality</w:t>
      </w:r>
      <w:r w:rsidRPr="00107E4B">
        <w:rPr>
          <w:sz w:val="14"/>
          <w:szCs w:val="16"/>
        </w:rPr>
        <w:t xml:space="preserve">, and the will to deny plausibility, while the scenario operates through the control and prediction of plausible alternative tomorrows. </w:t>
      </w:r>
      <w:r w:rsidRPr="00107E4B">
        <w:rPr>
          <w:u w:val="single"/>
        </w:rPr>
        <w:t>Both the science-fiction movie and the scenario are examples of cybernetic futurism that talks of things that haven’t happened yet in the past tense</w:t>
      </w:r>
      <w:r w:rsidRPr="00107E4B">
        <w:rPr>
          <w:sz w:val="14"/>
          <w:szCs w:val="16"/>
        </w:rPr>
        <w:t xml:space="preserve">. In this case, futurism has little to do with the Italian and Russian avant-gardes; rather, these approaches seek to model variation over time by oscillating between anticipation and determinism. Imagine the All-African Archaeological Program sweeping the site with their chronometers. Again and again, they sift the ashes. Imagine the readouts on their portables, indicators pointing to the dangerously high levels of hostile projections. This area shows extreme density of dystopic forecasting, levels that, if accurate, would have rendered the archaeologists’ own existence impossible. The AAAP knows better: such statistical delirium reveals the fervid wish dreams of the host market. </w:t>
      </w:r>
    </w:p>
    <w:p w14:paraId="763653FE" w14:textId="77777777" w:rsidR="007E3D3F" w:rsidRPr="00107E4B" w:rsidRDefault="007E3D3F" w:rsidP="007E3D3F">
      <w:pPr>
        <w:pStyle w:val="Heading2"/>
      </w:pPr>
      <w:r w:rsidRPr="00107E4B">
        <w:lastRenderedPageBreak/>
        <w:t xml:space="preserve">Law Fails </w:t>
      </w:r>
    </w:p>
    <w:p w14:paraId="1D412D4A" w14:textId="77777777" w:rsidR="007E3D3F" w:rsidRPr="00107E4B" w:rsidRDefault="007E3D3F" w:rsidP="007E3D3F">
      <w:pPr>
        <w:pStyle w:val="Heading4"/>
        <w:spacing w:before="240" w:after="40"/>
        <w:rPr>
          <w:rFonts w:asciiTheme="minorHAnsi" w:hAnsiTheme="minorHAnsi" w:cstheme="minorHAnsi"/>
        </w:rPr>
      </w:pPr>
      <w:r w:rsidRPr="00107E4B">
        <w:rPr>
          <w:rFonts w:asciiTheme="minorHAnsi" w:hAnsiTheme="minorHAnsi" w:cstheme="minorHAnsi"/>
          <w:color w:val="2A2A2A"/>
        </w:rPr>
        <w:t>Celia v. Missouri proves the law doesn’t apply when it comes to people of color</w:t>
      </w:r>
    </w:p>
    <w:p w14:paraId="687326A7" w14:textId="77777777" w:rsidR="007E3D3F" w:rsidRPr="00107E4B" w:rsidRDefault="007E3D3F" w:rsidP="007E3D3F">
      <w:pPr>
        <w:pStyle w:val="NormalWeb"/>
        <w:spacing w:before="0" w:beforeAutospacing="0" w:after="0" w:afterAutospacing="0"/>
        <w:rPr>
          <w:rFonts w:asciiTheme="minorHAnsi" w:hAnsiTheme="minorHAnsi" w:cstheme="minorHAnsi"/>
          <w:sz w:val="22"/>
        </w:rPr>
      </w:pPr>
      <w:r w:rsidRPr="00107E4B">
        <w:rPr>
          <w:rFonts w:asciiTheme="minorHAnsi" w:hAnsiTheme="minorHAnsi" w:cstheme="minorHAnsi"/>
          <w:b/>
          <w:bCs/>
          <w:color w:val="2A2A2A"/>
          <w:sz w:val="26"/>
          <w:szCs w:val="26"/>
        </w:rPr>
        <w:t xml:space="preserve">Brown 17 - </w:t>
      </w:r>
      <w:r w:rsidRPr="00107E4B">
        <w:rPr>
          <w:rFonts w:asciiTheme="minorHAnsi" w:hAnsiTheme="minorHAnsi" w:cstheme="minorHAnsi"/>
          <w:color w:val="2A2A2A"/>
          <w:sz w:val="22"/>
        </w:rPr>
        <w:t>(DeNeen L. Brown, local enterprise reporter, “Missouri v. Celia, a Slave: She killed the white master raping her, then claimed self-defense”, 10-19-17)</w:t>
      </w:r>
    </w:p>
    <w:p w14:paraId="249ECC68" w14:textId="77777777" w:rsidR="007E3D3F" w:rsidRPr="00107E4B" w:rsidRDefault="007E3D3F" w:rsidP="007E3D3F">
      <w:pPr>
        <w:pStyle w:val="NormalWeb"/>
        <w:spacing w:before="60" w:beforeAutospacing="0" w:after="240" w:afterAutospacing="0"/>
        <w:rPr>
          <w:rFonts w:asciiTheme="minorHAnsi" w:hAnsiTheme="minorHAnsi" w:cstheme="minorHAnsi"/>
          <w:sz w:val="22"/>
          <w:u w:val="single"/>
        </w:rPr>
      </w:pPr>
      <w:r w:rsidRPr="00107E4B">
        <w:rPr>
          <w:rFonts w:asciiTheme="minorHAnsi" w:hAnsiTheme="minorHAnsi" w:cstheme="minorHAnsi"/>
          <w:sz w:val="22"/>
        </w:rPr>
        <w:t>She warned the white slave owner that the rapes had to stop.</w:t>
      </w:r>
      <w:r w:rsidRPr="00107E4B">
        <w:rPr>
          <w:rFonts w:asciiTheme="minorHAnsi" w:hAnsiTheme="minorHAnsi" w:cstheme="minorHAnsi"/>
          <w:sz w:val="22"/>
          <w:u w:val="single"/>
        </w:rPr>
        <w:t xml:space="preserve"> </w:t>
      </w:r>
      <w:r w:rsidRPr="00107E4B">
        <w:rPr>
          <w:rFonts w:asciiTheme="minorHAnsi" w:hAnsiTheme="minorHAnsi" w:cstheme="minorHAnsi"/>
          <w:sz w:val="22"/>
        </w:rPr>
        <w:t>Celia, 19, had endured five years of assaults by Robert Newsom, the Missouri</w:t>
      </w:r>
      <w:hyperlink r:id="rId17" w:history="1">
        <w:r w:rsidRPr="00107E4B">
          <w:rPr>
            <w:rStyle w:val="Hyperlink"/>
            <w:rFonts w:asciiTheme="minorHAnsi" w:eastAsiaTheme="majorEastAsia" w:hAnsiTheme="minorHAnsi" w:cstheme="minorHAnsi"/>
            <w:sz w:val="22"/>
          </w:rPr>
          <w:t xml:space="preserve"> widower</w:t>
        </w:r>
      </w:hyperlink>
      <w:r w:rsidRPr="00107E4B">
        <w:rPr>
          <w:rFonts w:asciiTheme="minorHAnsi" w:hAnsiTheme="minorHAnsi" w:cstheme="minorHAnsi"/>
          <w:sz w:val="22"/>
        </w:rPr>
        <w:t xml:space="preserve"> in his 70s who’d purchased her when she was 14. She’d borne two of her predator’s children.</w:t>
      </w:r>
      <w:r w:rsidRPr="00107E4B">
        <w:rPr>
          <w:rFonts w:asciiTheme="minorHAnsi" w:hAnsiTheme="minorHAnsi" w:cstheme="minorHAnsi"/>
          <w:sz w:val="22"/>
          <w:u w:val="single"/>
        </w:rPr>
        <w:t xml:space="preserve"> </w:t>
      </w:r>
      <w:r w:rsidRPr="00107E4B">
        <w:rPr>
          <w:rFonts w:asciiTheme="minorHAnsi" w:hAnsiTheme="minorHAnsi" w:cstheme="minorHAnsi"/>
          <w:sz w:val="22"/>
        </w:rPr>
        <w:t xml:space="preserve">Now </w:t>
      </w:r>
      <w:r w:rsidRPr="00107E4B">
        <w:rPr>
          <w:rFonts w:asciiTheme="minorHAnsi" w:hAnsiTheme="minorHAnsi" w:cstheme="minorHAnsi"/>
          <w:sz w:val="22"/>
          <w:u w:val="single"/>
        </w:rPr>
        <w:t>she was being courted by an enslaved black man named George. When she became pregnant a third time, George told her the farmer’s abuse could not continue. Celia warned Newsom that she would hurt him if he came to her cabin again. She also asked his two adult daughters for help keeping their father away. But on the night of June 23, 1855, Newsom crept into her cabin and tried to force her to have sex with him. Celia took a stick and bashed his head with it, killing him, according to court documents. Then she pushed his body into a roaring fire in her cabin’s fireplace. The next day, his bones were carried out in the embers. What followed was her arrest and a groundbreaking legal case known as the State of Missouri vs. Celia, a Slave — a dispute that played out long before #MeToo hashtags on Twitter and the explosive sexual assault and harassment allegations against</w:t>
      </w:r>
      <w:hyperlink r:id="rId18" w:history="1">
        <w:r w:rsidRPr="00107E4B">
          <w:rPr>
            <w:rStyle w:val="Hyperlink"/>
            <w:rFonts w:asciiTheme="minorHAnsi" w:eastAsiaTheme="majorEastAsia" w:hAnsiTheme="minorHAnsi" w:cstheme="minorHAnsi"/>
            <w:sz w:val="22"/>
          </w:rPr>
          <w:t xml:space="preserve"> Harvey Weinstein</w:t>
        </w:r>
      </w:hyperlink>
      <w:r w:rsidRPr="00107E4B">
        <w:rPr>
          <w:rFonts w:asciiTheme="minorHAnsi" w:hAnsiTheme="minorHAnsi" w:cstheme="minorHAnsi"/>
          <w:sz w:val="22"/>
        </w:rPr>
        <w:t xml:space="preserve">, Roger Ailes, Bill O’Reilly, Bill Cosby and other powerful men. </w:t>
      </w:r>
      <w:r w:rsidRPr="00107E4B">
        <w:rPr>
          <w:rFonts w:asciiTheme="minorHAnsi" w:hAnsiTheme="minorHAnsi" w:cstheme="minorHAnsi"/>
          <w:i/>
          <w:iCs/>
          <w:sz w:val="22"/>
        </w:rPr>
        <w:t>[</w:t>
      </w:r>
      <w:hyperlink r:id="rId19" w:history="1">
        <w:r w:rsidRPr="00107E4B">
          <w:rPr>
            <w:rStyle w:val="Hyperlink"/>
            <w:rFonts w:asciiTheme="minorHAnsi" w:eastAsiaTheme="majorEastAsia" w:hAnsiTheme="minorHAnsi" w:cstheme="minorHAnsi"/>
            <w:i/>
            <w:iCs/>
            <w:sz w:val="22"/>
          </w:rPr>
          <w:t>She said her boss raped her in a bank vault. Her sexual harassment case would make legal history.</w:t>
        </w:r>
      </w:hyperlink>
      <w:r w:rsidRPr="00107E4B">
        <w:rPr>
          <w:rFonts w:asciiTheme="minorHAnsi" w:hAnsiTheme="minorHAnsi" w:cstheme="minorHAnsi"/>
          <w:i/>
          <w:iCs/>
          <w:sz w:val="22"/>
        </w:rPr>
        <w:t>]</w:t>
      </w:r>
      <w:r w:rsidRPr="00107E4B">
        <w:rPr>
          <w:rFonts w:asciiTheme="minorHAnsi" w:hAnsiTheme="minorHAnsi" w:cstheme="minorHAnsi"/>
          <w:sz w:val="22"/>
        </w:rPr>
        <w:t xml:space="preserve"> </w:t>
      </w:r>
      <w:r w:rsidRPr="00107E4B">
        <w:rPr>
          <w:rFonts w:asciiTheme="minorHAnsi" w:hAnsiTheme="minorHAnsi" w:cstheme="minorHAnsi"/>
          <w:sz w:val="22"/>
          <w:u w:val="single"/>
        </w:rPr>
        <w:t>In Missouri in 1855, it was a crime “to take any woman unlawfully against her will and by force, menace or duress, compel her to be defiled,” allowing women to argue self-defense in resisting such assaults. Did that law apply to enslaved women? Celia’s court-appointed defense lawyer argued that it did. He asked Circuit Court Judge William Hall to instruct the jury that a slave master had no right to rape a slave and that the slaying could be considered justifiable. But the judge refused to give the jury those instructions. Instead, Hall told the 12 white men weighing the evidence: “If Newsom was in the habit of having intercourse with the defendant who was his slave and went to her cabin on the night he was killed to have intercourse with her or for any other purpose and while he was standing in the floor talking to her she struck him with a stick which was a dangerous weapon and knocked him down, and struck him again after he fell, and killed him by either blow, it is murder in the first degree.” Though Celia had pleaded not guilty, she’d confessed to the crime, according to Jefferson Jones, who investigated the killing.</w:t>
      </w:r>
      <w:r w:rsidRPr="00107E4B">
        <w:rPr>
          <w:rFonts w:asciiTheme="minorHAnsi" w:hAnsiTheme="minorHAnsi" w:cstheme="minorHAnsi"/>
          <w:sz w:val="22"/>
        </w:rPr>
        <w:t xml:space="preserve"> Jones had interrogated Celia in jail about a week after she was arrested to learn if there were any accomplices in Newsom’s slaying. “I asked her whether she thought she would hang for what she had done,” Jones testified, according to court documents. “She said she thought she would hang. I then told her to tell the whole truth.” Celia told Jones the farmer had been abusing her for years and “he had told her he was coming down to her cabin that night. She told him not to come, that if he came she would hurt him.” “I asked her if George had asked her to kill the old man; said he never had. Said that George had told her that he would have nothing to do with her if she did not quit the old man.” She told Jones that after she killed Newsom, his body lay about an hour on the floor, before she decided to burn it, he testified. </w:t>
      </w:r>
      <w:r w:rsidRPr="00107E4B">
        <w:rPr>
          <w:rFonts w:asciiTheme="minorHAnsi" w:hAnsiTheme="minorHAnsi" w:cstheme="minorHAnsi"/>
          <w:sz w:val="22"/>
          <w:u w:val="single"/>
        </w:rPr>
        <w:t>Christopher Gordon</w:t>
      </w:r>
      <w:r w:rsidRPr="00107E4B">
        <w:rPr>
          <w:rFonts w:asciiTheme="minorHAnsi" w:hAnsiTheme="minorHAnsi" w:cstheme="minorHAnsi"/>
          <w:sz w:val="22"/>
        </w:rPr>
        <w:t xml:space="preserve">, director of library and collections at the Missouri Historical Society in St. Louis, </w:t>
      </w:r>
      <w:r w:rsidRPr="00107E4B">
        <w:rPr>
          <w:rFonts w:asciiTheme="minorHAnsi" w:hAnsiTheme="minorHAnsi" w:cstheme="minorHAnsi"/>
          <w:sz w:val="22"/>
          <w:u w:val="single"/>
        </w:rPr>
        <w:t>called the trial “a sham. Most everyone on the jury was either pro-slavery or they owned</w:t>
      </w:r>
      <w:hyperlink r:id="rId20" w:history="1">
        <w:r w:rsidRPr="00107E4B">
          <w:rPr>
            <w:rStyle w:val="Hyperlink"/>
            <w:rFonts w:asciiTheme="minorHAnsi" w:eastAsiaTheme="majorEastAsia" w:hAnsiTheme="minorHAnsi" w:cstheme="minorHAnsi"/>
            <w:sz w:val="22"/>
          </w:rPr>
          <w:t xml:space="preserve"> slaves</w:t>
        </w:r>
      </w:hyperlink>
      <w:r w:rsidRPr="00107E4B">
        <w:rPr>
          <w:rFonts w:asciiTheme="minorHAnsi" w:hAnsiTheme="minorHAnsi" w:cstheme="minorHAnsi"/>
          <w:sz w:val="22"/>
          <w:u w:val="single"/>
        </w:rPr>
        <w:t xml:space="preserve">themselves. The thought of a slave — and let alone a female slave — getting away with something like this was not anything they would permit. </w:t>
      </w:r>
      <w:r w:rsidRPr="00107E4B">
        <w:rPr>
          <w:rFonts w:asciiTheme="minorHAnsi" w:hAnsiTheme="minorHAnsi" w:cstheme="minorHAnsi"/>
          <w:sz w:val="22"/>
        </w:rPr>
        <w:t>The defense tried very hard to play on sympathy and cast Robert Newsom as a predator. … But the racial politics of the day won out.”</w:t>
      </w:r>
      <w:r w:rsidRPr="00107E4B">
        <w:rPr>
          <w:rFonts w:asciiTheme="minorHAnsi" w:hAnsiTheme="minorHAnsi" w:cstheme="minorHAnsi"/>
          <w:i/>
          <w:iCs/>
          <w:sz w:val="22"/>
        </w:rPr>
        <w:t xml:space="preserve"> [</w:t>
      </w:r>
      <w:hyperlink r:id="rId21" w:history="1">
        <w:r w:rsidRPr="00107E4B">
          <w:rPr>
            <w:rStyle w:val="Hyperlink"/>
            <w:rFonts w:asciiTheme="minorHAnsi" w:eastAsiaTheme="majorEastAsia" w:hAnsiTheme="minorHAnsi" w:cstheme="minorHAnsi"/>
            <w:i/>
            <w:iCs/>
            <w:sz w:val="22"/>
          </w:rPr>
          <w:t>Hunting down runaway slaves: The cruel ads of Andrew Jackson and ‘the master class’</w:t>
        </w:r>
      </w:hyperlink>
      <w:r w:rsidRPr="00107E4B">
        <w:rPr>
          <w:rFonts w:asciiTheme="minorHAnsi" w:hAnsiTheme="minorHAnsi" w:cstheme="minorHAnsi"/>
          <w:i/>
          <w:iCs/>
          <w:sz w:val="22"/>
        </w:rPr>
        <w:t>]</w:t>
      </w:r>
      <w:r w:rsidRPr="00107E4B">
        <w:rPr>
          <w:rFonts w:asciiTheme="minorHAnsi" w:hAnsiTheme="minorHAnsi" w:cstheme="minorHAnsi"/>
          <w:sz w:val="22"/>
        </w:rPr>
        <w:t xml:space="preserve"> At the time, the country </w:t>
      </w:r>
      <w:r w:rsidRPr="00107E4B">
        <w:rPr>
          <w:rFonts w:asciiTheme="minorHAnsi" w:hAnsiTheme="minorHAnsi" w:cstheme="minorHAnsi"/>
          <w:sz w:val="22"/>
        </w:rPr>
        <w:lastRenderedPageBreak/>
        <w:t xml:space="preserve">was edging toward civil war over slavery, and Missouri was a microcosm of those tensions. </w:t>
      </w:r>
      <w:r w:rsidRPr="00107E4B">
        <w:rPr>
          <w:rFonts w:asciiTheme="minorHAnsi" w:hAnsiTheme="minorHAnsi" w:cstheme="minorHAnsi"/>
          <w:sz w:val="22"/>
          <w:u w:val="single"/>
        </w:rPr>
        <w:t xml:space="preserve">White people who supported slavery wanted Celia executed for the murder of her master. But others expressed sympathy for her, </w:t>
      </w:r>
      <w:r w:rsidRPr="00107E4B">
        <w:rPr>
          <w:rFonts w:asciiTheme="minorHAnsi" w:hAnsiTheme="minorHAnsi" w:cstheme="minorHAnsi"/>
          <w:sz w:val="22"/>
        </w:rPr>
        <w:t>wrote Melton A. McLaurin, author of the book, “Celia: A Slave.” “Although slave law had come in the course of the 19th century to recognize a slave’s right to use force to protect her life, it had not extended this right to include protection against sexual assault,” McLaurin wrote. On Nov. 1, 1855, the Glasgow Weekly Times reported that Celia had been found guilty in Callaway County</w:t>
      </w:r>
      <w:hyperlink r:id="rId22" w:history="1">
        <w:r w:rsidRPr="00107E4B">
          <w:rPr>
            <w:rStyle w:val="Hyperlink"/>
            <w:rFonts w:asciiTheme="minorHAnsi" w:eastAsiaTheme="majorEastAsia" w:hAnsiTheme="minorHAnsi" w:cstheme="minorHAnsi"/>
            <w:sz w:val="22"/>
          </w:rPr>
          <w:t xml:space="preserve"> Circuit Court</w:t>
        </w:r>
      </w:hyperlink>
      <w:r w:rsidRPr="00107E4B">
        <w:rPr>
          <w:rFonts w:asciiTheme="minorHAnsi" w:hAnsiTheme="minorHAnsi" w:cstheme="minorHAnsi"/>
          <w:sz w:val="22"/>
        </w:rPr>
        <w:t xml:space="preserve"> “of murder in the first degree … for the murder of her master.” The jury sentenced her to death, though her case was appealed to the Missouri Supreme Court. While awaiting her execution, Celia escaped. “The negro woman ‘Celia’ confined in the Calloway jail, and under sentence of death, made her escape a few days before she was to have been executed, and was at large last accounts,” the Glasgow, Mo., newspaper reported on Nov. 22, 1855. “She was to have been hung last Friday.” </w:t>
      </w:r>
      <w:r w:rsidRPr="00107E4B">
        <w:rPr>
          <w:rFonts w:asciiTheme="minorHAnsi" w:hAnsiTheme="minorHAnsi" w:cstheme="minorHAnsi"/>
          <w:sz w:val="22"/>
          <w:u w:val="single"/>
        </w:rPr>
        <w:t>Celia was captured a few days later. The state Supreme Court refused to overturn Celia’s conviction. But her execution was delayed long enough to allow her to give birth to her third child. The baby was stillborn. On Dec. 21, 1855, Celia was taken to the Calloway Courthouse in Fulton, Mo., and “hanged until she died.”</w:t>
      </w:r>
    </w:p>
    <w:p w14:paraId="7B146F4B" w14:textId="77777777" w:rsidR="007E3D3F" w:rsidRPr="00107E4B" w:rsidRDefault="007E3D3F" w:rsidP="007E3D3F">
      <w:pPr>
        <w:pStyle w:val="NormalWeb"/>
        <w:spacing w:before="60" w:beforeAutospacing="0" w:after="240" w:afterAutospacing="0"/>
        <w:rPr>
          <w:rFonts w:asciiTheme="minorHAnsi" w:hAnsiTheme="minorHAnsi" w:cstheme="minorHAnsi"/>
          <w:sz w:val="22"/>
          <w:u w:val="single"/>
        </w:rPr>
      </w:pPr>
    </w:p>
    <w:p w14:paraId="59FE9551" w14:textId="77777777" w:rsidR="007E3D3F" w:rsidRPr="00107E4B" w:rsidRDefault="007E3D3F" w:rsidP="007E3D3F">
      <w:pPr>
        <w:pStyle w:val="Heading4"/>
      </w:pPr>
      <w:r w:rsidRPr="00107E4B">
        <w:t>Both the state and fed level of the government actively criminalizes immigrants</w:t>
      </w:r>
    </w:p>
    <w:p w14:paraId="16B3350C" w14:textId="77777777" w:rsidR="007E3D3F" w:rsidRPr="00107E4B" w:rsidRDefault="007E3D3F" w:rsidP="007E3D3F">
      <w:pPr>
        <w:rPr>
          <w:rFonts w:eastAsia="Calibri" w:cs="Calibri"/>
        </w:rPr>
      </w:pPr>
      <w:r w:rsidRPr="00107E4B">
        <w:rPr>
          <w:rStyle w:val="Heading4Char"/>
        </w:rPr>
        <w:t>Sharpless 16</w:t>
      </w:r>
      <w:r w:rsidRPr="00107E4B">
        <w:rPr>
          <w:rFonts w:eastAsia="Calibri" w:cs="Calibri"/>
        </w:rPr>
        <w:t xml:space="preserve"> – (Sharpless, Rebecca, 'Immigrants Are Not Criminals': Respectability, Immigration Reform, and Hyperincarceration. 53 Houston Law Review 691 (2016). Available at SSRN: https://ssrn.com/abstract=2589664)</w:t>
      </w:r>
      <w:r w:rsidRPr="00107E4B">
        <w:t xml:space="preserve"> //AA</w:t>
      </w:r>
    </w:p>
    <w:p w14:paraId="7406C10F" w14:textId="77777777" w:rsidR="007E3D3F" w:rsidRPr="00107E4B" w:rsidRDefault="007E3D3F" w:rsidP="007E3D3F">
      <w:pPr>
        <w:rPr>
          <w:sz w:val="16"/>
        </w:rPr>
      </w:pPr>
      <w:r w:rsidRPr="00107E4B">
        <w:rPr>
          <w:rStyle w:val="StyleUnderline"/>
        </w:rPr>
        <w:t>At the state level, undocumented immigrants are precluded from obtaining</w:t>
      </w:r>
      <w:r w:rsidRPr="00107E4B">
        <w:rPr>
          <w:sz w:val="16"/>
        </w:rPr>
        <w:t xml:space="preserve"> </w:t>
      </w:r>
      <w:r w:rsidRPr="00107E4B">
        <w:rPr>
          <w:rStyle w:val="StyleUnderline"/>
        </w:rPr>
        <w:t>drivers licenses and are then prosecuted criminally for driving without a license and related offenses, like possession of false documents and identity theft.</w:t>
      </w:r>
      <w:r w:rsidRPr="00107E4B">
        <w:rPr>
          <w:sz w:val="16"/>
        </w:rPr>
        <w:t xml:space="preserve"> 159 Criminal </w:t>
      </w:r>
      <w:r w:rsidRPr="00107E4B">
        <w:rPr>
          <w:rStyle w:val="StyleUnderline"/>
        </w:rPr>
        <w:t xml:space="preserve">traffic violations account for 14% of offenses committed by people dubbed "criminal </w:t>
      </w:r>
      <w:r w:rsidRPr="00107E4B">
        <w:rPr>
          <w:sz w:val="16"/>
        </w:rPr>
        <w:t xml:space="preserve">immigrants); Yolanda VAzquez, Constructing Crimmigration, supra note 36, at 606 (arguing that racism explains why Latinos are "detained and removed from the United States at exponentially higher rates than other racial groups" despite the fact that they "do not commit 'dangerous' crimes nor pose a serious threat to national security"). 156. See, e.g., McLeod, supra note 154, at 130-45; Stumpf, The Crimmigration Crisis, supra note 76, at 377. 157. Chac6n, Unsecured Borders, supra note 33, at 1855; Demleitner, supra note 154, at 1059, 1062-63; Kanstroom Criminalizing the Undocumented, supra note 154; Miller, Blurring the Boundaries, supra note 154, at 87-90; Leti Volpp, The Citizen and the Terrorist, 49 UCLA L. REV. 1575, 1577-79 (2002). 158. For a discussion of the literature in this area, see Chac6n, Managing Migration, supra note 154, at 627-29, 635, 638-39 (describing increased immigration enforcement efforts by both the federal and state governments). A related claim is that deportation now constitutes punishment. See HernAndez, supra note 5, at 1356; Kanstroom, Deportation, supra note 154, at 1892-94; Peter L. Markowitz, Deportation Is Different, 13 U. PA. J. CONST. L. 1299, 1339, 1349-50 (2011); Robert Pauw, A New Look at Deportation as Punishment: Why at Least Some of the Constitution's Criminal Procedure Protections Must Apply, 52 ADMIN. L. REV. 305, 332-36 (2000). Relatedly, Anil Kalhan has argued that "excessive immigration detention practices have evolved into a quasi-punitive system of immcarceration." Anil Kalhan, Rethinking Immigration Detention, 110 COLUM. L. REV. SIDEBAR 42, 43 (2010). 159. See Chac6n, Unsecured Borders, supra note 33, at 1885-86. 727 HOUSTON LAWREVIEW </w:t>
      </w:r>
      <w:r w:rsidRPr="00107E4B">
        <w:rPr>
          <w:rStyle w:val="StyleUnderline"/>
        </w:rPr>
        <w:t>aliens</w:t>
      </w:r>
      <w:r w:rsidRPr="00107E4B">
        <w:rPr>
          <w:sz w:val="16"/>
        </w:rPr>
        <w:t xml:space="preserve">."160 At </w:t>
      </w:r>
      <w:r w:rsidRPr="00107E4B">
        <w:rPr>
          <w:rStyle w:val="StyleUnderline"/>
        </w:rPr>
        <w:t>the federal level</w:t>
      </w:r>
      <w:r w:rsidRPr="00107E4B">
        <w:rPr>
          <w:sz w:val="16"/>
        </w:rPr>
        <w:t xml:space="preserve">, U.S. Attorney Offices </w:t>
      </w:r>
      <w:r w:rsidRPr="00107E4B">
        <w:rPr>
          <w:rStyle w:val="StyleUnderline"/>
        </w:rPr>
        <w:t>have shifted their</w:t>
      </w:r>
      <w:r w:rsidRPr="00107E4B">
        <w:rPr>
          <w:sz w:val="16"/>
        </w:rPr>
        <w:t xml:space="preserve"> prosecutorial </w:t>
      </w:r>
      <w:r w:rsidRPr="00107E4B">
        <w:rPr>
          <w:rStyle w:val="StyleUnderline"/>
        </w:rPr>
        <w:t>priorities away from drug enforcement and toward the prosecution of criminal immigration violations, like illegal entry and reentry.</w:t>
      </w:r>
      <w:r w:rsidRPr="00107E4B">
        <w:rPr>
          <w:sz w:val="16"/>
        </w:rPr>
        <w:t xml:space="preserve"> 161 Expedited removal-the deportation of arriving or recently arrived noncitizens by low-level immigration officials rather than immigration judges-increased the number of people subject to criminal prosecution upon reentry. </w:t>
      </w:r>
      <w:r w:rsidRPr="00107E4B">
        <w:rPr>
          <w:rStyle w:val="StyleUnderline"/>
        </w:rPr>
        <w:t>The expedited removal statute was enacted in 1996 and expanded twice in 2004 and 2006, such that it now covers individuals apprehended within 100 miles of the border.</w:t>
      </w:r>
      <w:r w:rsidRPr="00107E4B">
        <w:rPr>
          <w:sz w:val="16"/>
        </w:rPr>
        <w:t xml:space="preserve">162 </w:t>
      </w:r>
      <w:r w:rsidRPr="00107E4B">
        <w:rPr>
          <w:rStyle w:val="StyleUnderline"/>
        </w:rPr>
        <w:t>In 2013, approximately 193,032 people were ordered removed under this procedure, accounting for 44% of all removals</w:t>
      </w:r>
      <w:r w:rsidRPr="00107E4B">
        <w:rPr>
          <w:sz w:val="16"/>
        </w:rPr>
        <w:t xml:space="preserve">.1 63 </w:t>
      </w:r>
      <w:r w:rsidRPr="00107E4B">
        <w:rPr>
          <w:rStyle w:val="StyleUnderline"/>
        </w:rPr>
        <w:t>As a result of the skyrocketing number of people with prior removal orders, many people caught reentering the United States are now criminally prosecuted for illegal reentry</w:t>
      </w:r>
      <w:r w:rsidRPr="00107E4B">
        <w:rPr>
          <w:sz w:val="16"/>
        </w:rPr>
        <w:t xml:space="preserve">. </w:t>
      </w:r>
      <w:r w:rsidRPr="00107E4B">
        <w:rPr>
          <w:rStyle w:val="StyleUnderline"/>
        </w:rPr>
        <w:t xml:space="preserve">In 2006, almost 26% of all federal </w:t>
      </w:r>
      <w:r w:rsidRPr="00107E4B">
        <w:rPr>
          <w:rStyle w:val="StyleUnderline"/>
        </w:rPr>
        <w:lastRenderedPageBreak/>
        <w:t>prosecutions were related to illegal reentry and other types of immigration violations. That number rose to 49.9% by 2012.164 After being convicted, these individuals are turned over to immigration authorities for detention and deportation as "criminal aliens."</w:t>
      </w:r>
      <w:r w:rsidRPr="00107E4B">
        <w:rPr>
          <w:sz w:val="16"/>
        </w:rPr>
        <w:t xml:space="preserve">1 65 B. </w:t>
      </w:r>
    </w:p>
    <w:p w14:paraId="42294307" w14:textId="77777777" w:rsidR="007E3D3F" w:rsidRPr="00107E4B" w:rsidRDefault="007E3D3F" w:rsidP="007E3D3F">
      <w:pPr>
        <w:pStyle w:val="Heading4"/>
      </w:pPr>
      <w:r w:rsidRPr="00107E4B">
        <w:t xml:space="preserve">Considering mobility as a product of US policy helps solve criminalization </w:t>
      </w:r>
    </w:p>
    <w:p w14:paraId="43FD30A5" w14:textId="77777777" w:rsidR="007E3D3F" w:rsidRPr="00107E4B" w:rsidRDefault="007E3D3F" w:rsidP="007E3D3F">
      <w:r w:rsidRPr="00107E4B">
        <w:rPr>
          <w:rStyle w:val="Style13ptBold"/>
        </w:rPr>
        <w:t>Sharpless 16</w:t>
      </w:r>
      <w:r w:rsidRPr="00107E4B">
        <w:t xml:space="preserve"> – (Sharpless, Rebecca, 'Immigrants Are Not Criminals': Respectability, Immigration Reform, and Hyperincarceration. 53 Houston Law Review 691 (2016). Available at SSRN: https://ssrn.com/abstract=2589664)</w:t>
      </w:r>
    </w:p>
    <w:p w14:paraId="63400042" w14:textId="77777777" w:rsidR="007E3D3F" w:rsidRPr="00107E4B" w:rsidRDefault="007E3D3F" w:rsidP="007E3D3F">
      <w:pPr>
        <w:rPr>
          <w:sz w:val="16"/>
        </w:rPr>
      </w:pPr>
      <w:r w:rsidRPr="00107E4B">
        <w:rPr>
          <w:rStyle w:val="StyleUnderline"/>
        </w:rPr>
        <w:t>A vision of immigration reform that seeks to dissolve the deserving/undeserving immigrant distinction takes a big picture view not only of crime, but also unauthorized immigration.</w:t>
      </w:r>
      <w:r w:rsidRPr="00107E4B">
        <w:rPr>
          <w:sz w:val="16"/>
        </w:rPr>
        <w:t xml:space="preserve"> Like criminal behavior, </w:t>
      </w:r>
      <w:r w:rsidRPr="00107E4B">
        <w:rPr>
          <w:rStyle w:val="StyleUnderline"/>
        </w:rPr>
        <w:t>mobility across national boundaries is best understood as a multilevel and complex universal phenomenon driven by political, economic, and social forces</w:t>
      </w:r>
      <w:r w:rsidRPr="00107E4B">
        <w:rPr>
          <w:sz w:val="16"/>
        </w:rPr>
        <w:t xml:space="preserve">. As Mae M. Ngai has illustrated, the category of "illegal aliens" is a construct that has been made and unmade by U.S. policy choices. 304 </w:t>
      </w:r>
      <w:r w:rsidRPr="00107E4B">
        <w:rPr>
          <w:rStyle w:val="StyleUnderline"/>
        </w:rPr>
        <w:t>This view of migration softens the distinction between legal and unauthorized immigrants, supporting a more inclusive approach to legalization for undocumented immigrants who have committed a crime while in the United States</w:t>
      </w:r>
      <w:r w:rsidRPr="00107E4B">
        <w:rPr>
          <w:sz w:val="16"/>
        </w:rPr>
        <w:t xml:space="preserve">. </w:t>
      </w:r>
      <w:r w:rsidRPr="00107E4B">
        <w:rPr>
          <w:rStyle w:val="StyleUnderline"/>
        </w:rPr>
        <w:t>Popular discourse typically portrays undocumented immigration</w:t>
      </w:r>
      <w:r w:rsidRPr="00107E4B">
        <w:rPr>
          <w:sz w:val="16"/>
        </w:rPr>
        <w:t xml:space="preserve"> to the United States </w:t>
      </w:r>
      <w:r w:rsidRPr="00107E4B">
        <w:rPr>
          <w:rStyle w:val="StyleUnderline"/>
        </w:rPr>
        <w:t>as simply people choosing to transgress our border laws in order to seek a better life</w:t>
      </w:r>
      <w:r w:rsidRPr="00107E4B">
        <w:rPr>
          <w:sz w:val="16"/>
        </w:rPr>
        <w:t xml:space="preserve">. We subscribe to the myth of "liberal consensual citizenship," in which immigrants are "still-enchanted newcomers" who, by choosing to come, "reenact[] liberalism's .. . fictive foundation in individual acts of uncoerced consent."305 </w:t>
      </w:r>
      <w:r w:rsidRPr="00107E4B">
        <w:rPr>
          <w:rStyle w:val="StyleUnderline"/>
        </w:rPr>
        <w:t>This account is far too simple. While there is little consensus on what drives people to cross national borders, theorists broadly agree that both macro and micro factors</w:t>
      </w:r>
      <w:r w:rsidRPr="00107E4B">
        <w:rPr>
          <w:sz w:val="16"/>
        </w:rPr>
        <w:t xml:space="preserve"> 301. McLeod, supra note 25, at 113-14. 302. Id. at 178. McLeod's observations parallel those made in the juvenile justice context. Prior to the rise of punitive strategies in the 1970s, juveniles were not given the same procedural protections as adults on the theory that they were subject to treatment, not a criminal process. 303. Id. at 174-75. 304. NGAI, supra note 35; see also Nicholas De Genova, The Legal Production of Mexican/Migrant "Illegality," 2 LATINO STUD. 160, 177-78 (2004). 305. NGAI, supra note 35, at 5 (quoting BONNIE HONIG, DEMOCRACY AND THE FOREIGNER 75 (2001)). 2016] 755 756 HOUSTON LAW REVIEW [53:3 </w:t>
      </w:r>
      <w:r w:rsidRPr="00107E4B">
        <w:rPr>
          <w:rStyle w:val="StyleUnderline"/>
        </w:rPr>
        <w:t>come into play</w:t>
      </w:r>
      <w:r w:rsidRPr="00107E4B">
        <w:rPr>
          <w:sz w:val="16"/>
        </w:rPr>
        <w:t xml:space="preserve">. 306 </w:t>
      </w:r>
      <w:r w:rsidRPr="00107E4B">
        <w:rPr>
          <w:rStyle w:val="StyleUnderline"/>
        </w:rPr>
        <w:t>The first models of migration theory focused on</w:t>
      </w:r>
      <w:r w:rsidRPr="00107E4B">
        <w:rPr>
          <w:sz w:val="16"/>
        </w:rPr>
        <w:t xml:space="preserve"> the </w:t>
      </w:r>
      <w:r w:rsidRPr="00107E4B">
        <w:rPr>
          <w:rStyle w:val="StyleUnderline"/>
        </w:rPr>
        <w:t>microeconomics of mobility, concluding that people moved in the direction of less populated, wealthier, and higher-wage areas</w:t>
      </w:r>
      <w:r w:rsidRPr="00107E4B">
        <w:rPr>
          <w:sz w:val="16"/>
        </w:rPr>
        <w:t xml:space="preserve">.307 Theorists focused on "push" factors in sending countries and "pull" factors in receiving countries. Supporting this view is the reality that when poor people from developing countries come to the United States, their wage potential increases far beyond what is possible in their home country. 308 No action besides migration is capable of having as much of an impact on wages. According to the World Bank, migration of people seeking work is increasing and will continue to do so in the foreseeable future. 309 The remittances sent by immigrants to family in their home country play a substantial role in the economic stability of sending countries. 310 </w:t>
      </w:r>
      <w:r w:rsidRPr="00107E4B">
        <w:rPr>
          <w:rStyle w:val="StyleUnderline"/>
        </w:rPr>
        <w:t>But theorists question whether migration can be fully understood in microeconomic terms alone and have broadened the scope of inquiry to include a wide range of other variables, such as</w:t>
      </w:r>
      <w:r w:rsidRPr="00107E4B">
        <w:rPr>
          <w:sz w:val="16"/>
        </w:rPr>
        <w:t xml:space="preserve"> 306. For a summary of the evolution of theories of migration, see ROBIN COHEN, THEORIES OF MIGRATION (1996) (summarizing migration theories); Michael S. Tietelbaum, Demographic Analyses of International Migration, in MIGRATION THEORY: TALKING ACROSS DISCIPLINES 51, 59 (Caroline B. Brettell &amp; James F. Hollifield eds., 2d ed. 2008) (contending that "there are at least seven ... schools of migration theory, five from economics, the remainder from sociology and political science"). 307. See, e.g., E. G. Ravenstein, The Laws of Migration (pts. 1 &amp; 2), 48 J. STAT. Soc'Y LONDON 167 (1885), 52 J. ROYAL STAT. SOC'Y 241(1889), reprinted in E. G. RAVENSTEIN, THE LAWS OF MIGRATION (1976). 308. Michael Clemens, Claudio E. Montenegro &amp; Lant Pritchett, The Place Premium: Wage Differences for Identical Workers Across the U.S. Border 1-5, 13, 42, 45-48, 53-54, 56 (Ctr. for Global Dev., Working Paper No. 148, 2008), http://cgdev.org/files/16352_file CMP-place-premium_148.pdf (arguing that migration ameliorates poverty more effectively than any other policy because wages in the United States are so comparatively high). Lant Pritchett argues that permitting people from developing countries to work in the United States is the best development policy because a low-wage worker from a developing country would only have to work a few weeks in the United States to increase the money he would earn in a lifetime in which he was able to access financing for small business activities in his home country. LANT PRITCHETT, LET THEIR PEOPLE COME: BREAKING THE GRIDLOCK ON INTERNATIONAL LABOR MOBILITY 2 (2006); Lant Pritchett, The Cliff at the Border, in EQUITY AND GROWTH IN A GLOBALIZING WORLD 263, 274-76 (Ravi Kanbur &amp; Michael Spence eds., 2010). 309. The World Bank stated in a recent annual report that worldwide labor mobility trends will lead migration to remain at the center of contentious political debates worldwide. Paul Wolfowitz, Foreword to WORLD BANK, GLOBAL ECONOMIC PROSPECTS: ECONOMIC IMPLICATIONS OF REMITTANCES AND MIGRATION, at vii (2006), https://openkno </w:t>
      </w:r>
      <w:r w:rsidRPr="00107E4B">
        <w:rPr>
          <w:sz w:val="16"/>
        </w:rPr>
        <w:lastRenderedPageBreak/>
        <w:t>wledge.worldbank.org/bitstream/handle/10986/7306/343200GEP2006.pdf sequence=1. 310. According to a Pew Research report, the United States is the most important source of money sent home by migrants from seventeen Latin-American nations. U.S. remittances accounted for three-quarters of the total in 2012-$41 billion out of $52.9 billion-according to World Bank data. D'Vera Cohn, Ana Gonzalez-Barrera &amp; Danielle Cuddington, Remittances to Latin America Recover-but Not to Mexico, PEW RES. CTR.: HISP. TRENDS (Nov. 15, 2013), http://www.pewhispanic.org/2013/11/15/remittances-to -latin-america-recover-but-not-to-mexico/. 2016] "IMMIGRANTS ARE NOT CRIMINALS" 757 "</w:t>
      </w:r>
      <w:r w:rsidRPr="00107E4B">
        <w:rPr>
          <w:rStyle w:val="StyleUnderline"/>
        </w:rPr>
        <w:t>geographical distance between origin and destination, . . . political barriers, . . . gender, , age, class, and education."</w:t>
      </w:r>
      <w:r w:rsidRPr="00107E4B">
        <w:rPr>
          <w:sz w:val="16"/>
        </w:rPr>
        <w:t xml:space="preserve"> 311 Some point to the role of family and community networks and the prevalence of industries, such as smuggling operations, to help people migrate. 312 Demographics also help to explain migratory patterns. The U.S. population is rapidly aging, due to low death and birth rates and a large population of aging baby boomers. Immigration supplies us with the young workers our economy requireS. 313 As reported by the Congressional Research Service, undocumented workers satisfy certain labor needs of our country.314 Migration to the United States from Central America and Mexico must also be understood in the context of post-colonialism and U.S. political and economic interventions. As Americans, "we resist examining the role that American world power has played in the global structures of migration." 315 Nicaragua, for example, was a U.S. battlefront in the Cold War. After the left-leaning Sandinistas took control, President Reagan, acting through an executive order, intervened to try and restore President Somoza to power, triggering a flow of people fleeing the violence. 316 In El 311. KAREN O'REILLY, INTERNATIONAL MIGRATION AND SOCIAL THEORY 42 (2012) (summarizing the 1966 work of Everett Lee). 312. The migration business theory is dominant in analyses of smuggling, but some analysts are looking at the role of family members and social networks. See UNITED NATIONS OFFICE ON DRUGS &amp; CRIME, SMUGGLING OF MIGRANTS: A GLOBAL REVIEW AND ANNOTATED BIBLIOGRAPHY OF RECENT PUBLICATIONS 7-8 (2011) (citing SHELDON X. ZHANG, CHINESE HUMAN SMUGGLING ORGANIZATIONS: FAMILIES, SOCIAL NETWORKS, AND CULTURAL IMPERATIVES 7-11 (2008)); Emma Herman, Migration as a Family Business: The Role of Personal Networks in the Mobility Phase of Migration, INT'L MIGRATION, Oct. 2006, at 191, 217. 313. RAKESH KOCHHAR, PEW RESEARCH CTR., THE DEMOGRAPHICS OF THE JOBS RECOVERY: EMPLOYMENT GAINS BY RACE, ETHNICITY, GENDER AND NATIVITY 9-13 (2012), http://www.pewhispanic.org/files/2012/03/PHC-Labor-report-FINAL 3-21-12.pdf (finding that immigrants are increasingly more likely to be employed because their working age population is growing at a faster rate than that of the native population); RAKESH KOCHHAR, ROBERTO SURO &amp; SONYA TAFOYA, PEWRESEARCH CTR., THE NEW LATINO SOUTH: THE CONTEXT AND CONSEQUENCES OF RAPID POPULATION GROWTH 16-18 (2005), http://www.pewhispanic.org/files/reports/50.pdf (noting that the median age of Hispanics is twenty-seven, and the increase in population and the growth of local economies in the U.S. South "have acted as a magnet to young, male, foreign-born Latinos migrating in search of economic opportunities"). 314. LINDA LEVINE, CONG. RESEARCH SERV., RL30395, FARM LABOR SHORTAGES AND IMMIGRATION POLICY 1, 13 (2009) (stating that because "perishable crop growers have rarely, if ever, had to operate without unauthorized aliens," it is difficult to know whether "there would be an adequate supply of authorized U.S. farm workers"). The Department of Labor estimated that in FY1999-FY2000, foreign-born persons in the country illegally accounted for 55% of the domestic crop workforce. Id. at 3. 315. NGAI, supra note 35, at 11. 316. James M. Scott, Interbranch Rivalry and the Reagan Doctrine in Nicaragua, 112 POL. Sci. Q. 237, 243 (1997). 758 HOUSTON LAWREVIEW [53:3 Salvador and Guatemala, the United States funded and trained military regimes battling guerilla groups, contributing to years of protracted violence that claimed the lives of 200,000 people.317 These actions of the United States also generated a refugee flow of nearly one million and contributed to the political and economic instability of these countries that endures to this day. 318 At the most macro level, migration can be viewed as a necessary feature of global capitalism-a system in which poor countries supply cheap labor to rich countries. 319 Undocumented immigrants play a vital role in this scheme. Mexico, for example, has increasingly become open to foreign investment, which has resulted in displaced workers and the removal of price regulations that formerly protected local industries.3 20 NAFTA has been criticized for displacing people out of their normal labor activities, pushing them to migrate to the United States. 321 Free trade now permits large U.S. growers to flood the Mexican market with corn, putting small Mexican corn farmers out of work. 322 After NAFTA was implemented in 1994, more people migrated from Mexico to the United States than during any other period of time. 323 317. Kevin Sullivan &amp; Mary Jordan, In Central America, Reagan Remains a Polarizing Figure, WASH. POST (June 10, 2004), http://washingtonpost.com/wp-dyn /articles/A29546-2004Jun9.html. 318. Susan Gzesh, Central Americans and Asylum Policy in the Reagan Era, MIGRATION POL'Y INST. (Apr. 1, 2006), http://migrationpolicy.org/article/central -americans-and-asylum-policy-reagan-era. For a discussion of the political and economic causes of drug violence in Mexico, see Deborah M. Weissman, Remaking Mexico: Law Reform as Foreign Policy, 35 CARDOZO L. REV. 1471 (2014). See also supra note 269 (discussing how U.S. deportations of gang members fostered the emergence of gangs in Central America and Mexico). 319. Isabella Bakker &amp; Stephen Gill, Global Political Economy and Social Reproduction, in POWER, PRODUCTION AND SOCIAL REPRODUCTION 3, 5 (Isabella Bakker Stephen Gill eds., 2003) (discussing how current global governance facilitates transnational corporations); Aristide R. Zolberg, The Next Waves: Migration Theory for a Changing World, 23 INT'L MIGRATION REV. 403, 404-05 (1989) (proposing a migratory theory grounded in the fact of inequality). See generally TANYA MARIA GOLASH-BOZA, DEPORTED: POLICING IMMIGRANTS, DISPOSABLE LABOR, AND GLOBAL CAPITALISM (2015). 320. David Bacon explains, "Beginning around 1980, the World Bank and the IMF [International Monetary Fund] began imposing a one-size-fits-all formula for development, called structural adjustment programs. These required borrowing countries to adopt a package of economic reforms, such as privatization, ending subsidies and price controls, trade liberalization, and reduced worker protections." DAVID BACON, ILLEGAL PEOPLE: How GLOBALIZATION CREATES MIGRATION AND CRIMINALIZES IMMIGRANTS 60 (2008). 321. See DAVID BACON, THE RIGHT TO STAY HOME: How US POLICY DRIVES MEXICAN MIGRATION 11 (2013); ARIADNA ESTtVEZ, HUMAN RIGHTS AND FREE TRADE IN MEXICO: A DISCURSIVE AND SOCIOPOLITICAL PERSPECTIVE 7 (2008). 322. BACON, supra note 320, at 25 ("[O]nce the [free trade] agreement went into effect it became cheaper </w:t>
      </w:r>
      <w:r w:rsidRPr="00107E4B">
        <w:rPr>
          <w:sz w:val="16"/>
        </w:rPr>
        <w:lastRenderedPageBreak/>
        <w:t xml:space="preserve">for large Mexican corn growers to buy U.S. corn and resell it than to grow corn themselves. For the vast majority, however, like . . . small farmers, the price for yellow corn . . . simply couldn't cover the cost of growing it."). 323. Id. at 51. 2016] "IMMIGRANTS ARE NOT CRIMINALS" </w:t>
      </w:r>
      <w:r w:rsidRPr="00107E4B">
        <w:rPr>
          <w:rStyle w:val="StyleUnderline"/>
        </w:rPr>
        <w:t>The movement for immigrant justice stands to gain from the narrative of mobility as a natural feature of human existence and a product of U.S. policy abroad.</w:t>
      </w:r>
      <w:r w:rsidRPr="00107E4B">
        <w:rPr>
          <w:sz w:val="16"/>
        </w:rPr>
        <w:t xml:space="preserve"> </w:t>
      </w:r>
      <w:r w:rsidRPr="00107E4B">
        <w:rPr>
          <w:rStyle w:val="StyleUnderline"/>
        </w:rPr>
        <w:t xml:space="preserve">Immigration reformers should seek to replace the mainstream view of why people come to the United States with a more accurate narrative that emphasizes the policy level explanations </w:t>
      </w:r>
      <w:r w:rsidRPr="00107E4B">
        <w:rPr>
          <w:rStyle w:val="Emphasis"/>
          <w:b w:val="0"/>
        </w:rPr>
        <w:t>for migration</w:t>
      </w:r>
      <w:r w:rsidRPr="00107E4B">
        <w:rPr>
          <w:sz w:val="16"/>
        </w:rPr>
        <w:t xml:space="preserve">. 324 In this picture, unlawful migration becomes an inevitable consequence of larger forces instead of simple rule-breaking activity by individuals. </w:t>
      </w:r>
      <w:r w:rsidRPr="00107E4B">
        <w:rPr>
          <w:rStyle w:val="StyleUnderline"/>
        </w:rPr>
        <w:t>Such a move might facilitate keeping the immigration debate focused on policy rather than the retributivist impulse to withhold legal status from those who crossed the border without permission. This shift in thinking could also help erode the distinction between undocumented people with criminal convictions and those who are in lawful status</w:t>
      </w:r>
      <w:r w:rsidRPr="00107E4B">
        <w:rPr>
          <w:sz w:val="16"/>
        </w:rPr>
        <w:t xml:space="preserve">. G. </w:t>
      </w:r>
    </w:p>
    <w:p w14:paraId="2956C768" w14:textId="77777777" w:rsidR="007E3D3F" w:rsidRPr="00107E4B" w:rsidRDefault="007E3D3F" w:rsidP="007E3D3F">
      <w:pPr>
        <w:pStyle w:val="NormalWeb"/>
        <w:spacing w:before="60" w:beforeAutospacing="0" w:after="240" w:afterAutospacing="0"/>
        <w:rPr>
          <w:rFonts w:asciiTheme="minorHAnsi" w:hAnsiTheme="minorHAnsi" w:cstheme="minorHAnsi"/>
          <w:sz w:val="22"/>
          <w:u w:val="single"/>
        </w:rPr>
      </w:pPr>
    </w:p>
    <w:p w14:paraId="012CBC0C" w14:textId="77777777" w:rsidR="007E3D3F" w:rsidRPr="00107E4B" w:rsidRDefault="007E3D3F" w:rsidP="007E3D3F"/>
    <w:p w14:paraId="2C36D4FA" w14:textId="77777777" w:rsidR="007E3D3F" w:rsidRPr="00107E4B" w:rsidRDefault="007E3D3F" w:rsidP="007E3D3F">
      <w:pPr>
        <w:pStyle w:val="Heading4"/>
      </w:pPr>
      <w:r w:rsidRPr="00107E4B">
        <w:t>The United States Supreme Court Unlawful Ruling for the Scottsboro Cases</w:t>
      </w:r>
    </w:p>
    <w:p w14:paraId="4E9552A3" w14:textId="77777777" w:rsidR="007E3D3F" w:rsidRPr="00107E4B" w:rsidRDefault="007E3D3F" w:rsidP="007E3D3F">
      <w:pPr>
        <w:pStyle w:val="NormalWeb"/>
        <w:spacing w:before="60" w:beforeAutospacing="0" w:after="240" w:afterAutospacing="0"/>
        <w:rPr>
          <w:rFonts w:asciiTheme="minorHAnsi" w:hAnsiTheme="minorHAnsi" w:cstheme="minorHAnsi"/>
          <w:sz w:val="22"/>
        </w:rPr>
      </w:pPr>
      <w:r w:rsidRPr="00107E4B">
        <w:rPr>
          <w:rFonts w:asciiTheme="minorHAnsi" w:hAnsiTheme="minorHAnsi" w:cstheme="minorHAnsi"/>
          <w:b/>
          <w:sz w:val="26"/>
          <w:szCs w:val="26"/>
        </w:rPr>
        <w:t xml:space="preserve">Social Service Review 18 </w:t>
      </w:r>
      <w:r w:rsidRPr="00107E4B">
        <w:rPr>
          <w:rFonts w:asciiTheme="minorHAnsi" w:hAnsiTheme="minorHAnsi" w:cstheme="minorHAnsi"/>
          <w:sz w:val="22"/>
        </w:rPr>
        <w:t>– (Social Service Review, “The United States Supreme Court and the Scottsboro Cases”, The University of Chicago Press, Page 336-337 https://www.jstor.org/stable/pdf/30010470.pdf?refreqid=excelsior%3A2908c0db0ef8b747d01fb060259910cf)</w:t>
      </w:r>
    </w:p>
    <w:p w14:paraId="5190180F" w14:textId="77777777" w:rsidR="007E3D3F" w:rsidRPr="00107E4B" w:rsidRDefault="007E3D3F" w:rsidP="007E3D3F">
      <w:r w:rsidRPr="00107E4B">
        <w:t xml:space="preserve">The case of one of the defendants, Clarence Norris, has again gone by an analogous route to the Supreme Court. Norris was brought to trial in November, 1933, and </w:t>
      </w:r>
      <w:r w:rsidRPr="00107E4B">
        <w:rPr>
          <w:u w:val="single"/>
        </w:rPr>
        <w:t>a motion was made on his behalf to quash the indictment on the grounds of exclusion of Negroes from juries in Jackson County, where the indictment was found. The motion was denied. The defendant was again found guilty. The verdict was again sustained by the Supreme Court of the State</w:t>
      </w:r>
      <w:r w:rsidRPr="00107E4B">
        <w:t xml:space="preserve">, and has again (April I, 1935) been passed on by the Supreme Court of the United States.2 This time Mr. Chief Justice Hughes delivers the opinion, and this time the judgment is again reversed and the cause is remanded for further proceedings. This time the emphasis is however, being laid upon the fact that, although it is shown that there are in Alabama competent Negroes, capable of serving upon grand and petit juries, they have been consistently excluded from such service. </w:t>
      </w:r>
      <w:r w:rsidRPr="00107E4B">
        <w:rPr>
          <w:u w:val="single"/>
        </w:rPr>
        <w:t>The argument in this case, which is devoted to a considerable extent to the question of whether or not there is evidence of the presence in Alabama of Negroes qualified to serve, is less interesting in some respects than the arguments in the earlier opinion, but it is, of course, a more distressing evidence of the consistent influence of racial prejudice seventy years after the close of the war in which the South submitted the issue of slavery to the arbitrament of war.</w:t>
      </w:r>
      <w:r w:rsidRPr="00107E4B">
        <w:t xml:space="preserve"> There was no dissenting opinion in this case, but Mr. Justice McReynolds did not hear the evidence. These decisions recall the so-called Arkansas cases,3 in which, in 1923, the Supreme Court took notice of the hideous travesty on justice perpetrated by the Arkansas courts when a group of Negro share-croppers were trying to find some protection against their </w:t>
      </w:r>
      <w:r w:rsidRPr="00107E4B">
        <w:rPr>
          <w:u w:val="single"/>
        </w:rPr>
        <w:t>exploiters and were the victims of violent attack and then suffered in the denial of every item in the bill of rights.</w:t>
      </w:r>
      <w:r w:rsidRPr="00107E4B">
        <w:t xml:space="preserve"> In the case of these defendants under the guidance of Mr. Moorfield Storey, the Court found itself able to distinguish the situation from that of Leo Frank, 4 a Jew who was the victim of the mob spirit in Atlanta, in which it had not seemed possible for the Supreme Court to assume jurisdiction. In the Arkansas cases, Justice Holmes, who had dissented in the Frank case, wrote </w:t>
      </w:r>
      <w:r w:rsidRPr="00107E4B">
        <w:lastRenderedPageBreak/>
        <w:t>the opinion. Then Justice Sutherland, who wrote the opinion of the Court in the first Scottsboro case, dissented with Justice McReynolds, who dissented in the first Scottsboro case.</w:t>
      </w:r>
    </w:p>
    <w:p w14:paraId="1FF7DBB5" w14:textId="77777777" w:rsidR="007E3D3F" w:rsidRPr="00107E4B" w:rsidRDefault="007E3D3F" w:rsidP="007E3D3F"/>
    <w:p w14:paraId="02B46395" w14:textId="77777777" w:rsidR="007E3D3F" w:rsidRPr="00107E4B" w:rsidRDefault="007E3D3F" w:rsidP="007E3D3F">
      <w:pPr>
        <w:pStyle w:val="Heading4"/>
      </w:pPr>
      <w:r w:rsidRPr="00107E4B">
        <w:t>Dred Scott Teaches How to Resist Bad Supreme Court Rulings</w:t>
      </w:r>
    </w:p>
    <w:p w14:paraId="5D5D00C7" w14:textId="77777777" w:rsidR="007E3D3F" w:rsidRPr="00107E4B" w:rsidRDefault="007E3D3F" w:rsidP="007E3D3F">
      <w:r w:rsidRPr="00107E4B">
        <w:rPr>
          <w:b/>
          <w:sz w:val="26"/>
          <w:szCs w:val="26"/>
        </w:rPr>
        <w:t xml:space="preserve">Jones 18 </w:t>
      </w:r>
      <w:r w:rsidRPr="00107E4B">
        <w:t>– (Martha Jones, “How to resist bad Supreme Court rulings”, The Washington Post, https://www.washingtonpost.com/news/made-by-history/wp/2018/07/06/how-to-resist-bad-supreme-court-rulings/?utm_term=.f3dff16ea2da)</w:t>
      </w:r>
    </w:p>
    <w:p w14:paraId="53F3AE3B" w14:textId="77777777" w:rsidR="007E3D3F" w:rsidRPr="00107E4B" w:rsidRDefault="007E3D3F" w:rsidP="007E3D3F">
      <w:r w:rsidRPr="00107E4B">
        <w:t xml:space="preserve">When the Supreme Court last week upheld the Trump administration’s travel ban, </w:t>
      </w:r>
      <w:r w:rsidRPr="00107E4B">
        <w:rPr>
          <w:u w:val="single"/>
        </w:rPr>
        <w:t>opponents expressed their horror through analogy: comparing the decision to Dred Scott v. Sandford, the infamous 1857 decision that held that people of African descent, because of their color, were categorically ineligible for U.S. citizenship.</w:t>
      </w:r>
      <w:r w:rsidRPr="00107E4B">
        <w:t xml:space="preserve"> “Move over, Dred Scott,” read a June 26 </w:t>
      </w:r>
      <w:hyperlink r:id="rId23" w:history="1">
        <w:r w:rsidRPr="00107E4B">
          <w:rPr>
            <w:rStyle w:val="Hyperlink"/>
          </w:rPr>
          <w:t>headline</w:t>
        </w:r>
      </w:hyperlink>
      <w:r w:rsidRPr="00107E4B">
        <w:t xml:space="preserve"> at The Washington Post, where the legal director of the American Civil Liberties Union, David D. Cole, made the case that the travel-ban ruling, like </w:t>
      </w:r>
      <w:r w:rsidRPr="00107E4B">
        <w:rPr>
          <w:u w:val="single"/>
        </w:rPr>
        <w:t xml:space="preserve">the Dred Scott decision, is “likely to be judged by history as one of the court’s greatest failures.” </w:t>
      </w:r>
      <w:r w:rsidRPr="00107E4B">
        <w:t xml:space="preserve">The comparison of Trump v. Hawaii to Dred Scott hinges on the argument that the two cases are similarly egregious, turning on specious ideas about racial difference: </w:t>
      </w:r>
      <w:r w:rsidRPr="00107E4B">
        <w:rPr>
          <w:u w:val="single"/>
        </w:rPr>
        <w:t>then against black people and now against Muslim people</w:t>
      </w:r>
      <w:r w:rsidRPr="00107E4B">
        <w:t xml:space="preserve">. That’s true, and certainly a reason we should study Dred Scott in this moment. But which lessons we draw from the past matters. </w:t>
      </w:r>
      <w:r w:rsidRPr="00107E4B">
        <w:rPr>
          <w:u w:val="single"/>
        </w:rPr>
        <w:t>The Dred Scott decision was a bad one, and yet it also exposed the limitations of the court’s power</w:t>
      </w:r>
      <w:r w:rsidRPr="00107E4B">
        <w:t xml:space="preserve"> — and how lawyers and activists curbed its influence. Chief Justice Roger B. Taney overreached when he aimed to seal the fate of black Americans, and the resistance to his ruling is instructive for those who are seeking to do the same in the face of Trump v. Hawaii. No sooner had the Dred Scott decision been handed down than it was under attack from many sides. African American activists and members of the abolitionist movement immediately opposed what was a blow to those who had long claimed that former slaves were free people and also citizens. At stake was whether the United States was destined to be a white man’s country or whether there was a future for an interracial democracy on the horizon. Taney’s fellow jurists also objected to the blanket exclusion of black Americans from the body politic. Lower federal courts resisted in surprisingly effective ways. Their willingness to interpret Taney’s decision narrowly and treat black litigants like citizens was a blow that sapped Dred Scott of much real influence. Sitting on the federal circuit court for Illinois, Justice John McLean — who also sat on the U.S. Supreme Court and penned a dissent in Dred Scott — reined in the ruling in Mitchell v. Lamarjust a few months after Dred Scott was decided. McLean deemed Joseph Mitchell, a free African American from Illinois, a citizen, thwarting Taney’s attempt to render all black Americans people without rights under the Constitution. Because Mitchell was descended from free people, rather than slaves, his status before the Constitution differed from that of Scott. </w:t>
      </w:r>
      <w:r w:rsidRPr="00107E4B">
        <w:rPr>
          <w:u w:val="single"/>
        </w:rPr>
        <w:t>State courts also resisted Dred Scott.</w:t>
      </w:r>
      <w:r w:rsidRPr="00107E4B">
        <w:t xml:space="preserve"> In Ohio, one court confronted the question of black citizenship when called upon to interpret the phrase “citizen of the United States” as set forth in its state constitution. </w:t>
      </w:r>
      <w:r w:rsidRPr="00107E4B">
        <w:rPr>
          <w:u w:val="single"/>
        </w:rPr>
        <w:t xml:space="preserve">Determining that Taney’s opinion applied only to those who, like Scott, were descendants of slaves, the court decided that a free man of mixed racial descent could be considered a citizen. </w:t>
      </w:r>
      <w:r w:rsidRPr="00107E4B">
        <w:t xml:space="preserve">In Maine, by request of the legislature, the state’s high court interpreted a key provision of the state constitution in a way that similarly narrowed Dred Scott. The question was whether free men of </w:t>
      </w:r>
      <w:r w:rsidRPr="00107E4B">
        <w:lastRenderedPageBreak/>
        <w:t xml:space="preserve">color could serve as electors under a provision limiting that role to “male citizens of the United States. Yes, the court concluded: “Our constitution does not discriminate between the different races of people which constitute the inhabitants of our state; but that the term, ‘citizens of the United States,’ as used in that instrument, applies as well to free colored persons of African descent.” Even in Taney’s home state of Maryland, where he was generally admired, the state’s highest court refused to adopt the logic of Dred Scott. When asked in the 1858 case of Hughes v. Jackson whether a free man of color could bring suit in a state court, the answer was a clear yes. Taney might have barred black litigants from federal courts as noncitizens, but the Maryland court determined that his approach was not consistent with the state’s interests. There, it was deemed essential that free black men and women have the ability to protect their property and persons by way of court proceedings — that, contra Taney, they did indeed have rights that white men were bound to respect. By the fall of 1858, Taney was despondent over the criticisms of his ruling. “I do not feel willing to write a defense of one of my judicial opinions,” he wrote to his son-in-law and confidant J. Mason Campbell. Yet he very much wanted to. Taney’s need to justify his ruling reflects the degree to which Dred Scott was widely reviled. </w:t>
      </w:r>
      <w:r w:rsidRPr="00107E4B">
        <w:rPr>
          <w:u w:val="single"/>
        </w:rPr>
        <w:t>A sense of judicial propriety kept him from speaking out publicly, but his personal writings reveal the depth of his disappointment. Taney lamented how “disingenuous perversion and misrepresentation” were shaping the fate of Dred Scott.</w:t>
      </w:r>
      <w:r w:rsidRPr="00107E4B">
        <w:t xml:space="preserve"> So he privately penned a supplemental opinion to Dred Scott, one he hoped to publish “while the question is still exciting attention.” As he had in Dred Scott, Taney’s supplement drew upon historical analysis to argue that people of African descent had enjoyed no rights from 1689, as British subjects, through 1787, when the Constitution was ratified. And he stood ready to reargue the issue, though he suspected that the supplement’s publication would take place only after his death: “My executors must in some form or other bring it before the public.” That is indeed what would happen. Dred Scott was good law for the briefest time, and even then was never given the full force in the daily lives of black Americans that Taney intended. Ultimately, it took the Civil War to resolve the controversy over black citizenship that Dred Scott had ignited. A consensus emerged in which black Americans were deemed citizens by virtue of their birth on U.S. soil, first in an 1862 opinion by Attorney General Edward Bates, then in the Civil Rights Act of 1866 and, finally, with the ratification of the 14th Amendment to the Constitution in July 1868. Dred Scott was undone. Invoking Dred Scott today should do more than provide an example of how courts have, from time to time, made bad decisions. It should also show how these bad decisions can be undermined, undercut, resisted and, ultimately, even overturned. We should remember Dred Scott as an example of how high courts can err, but it is most valuable as a primer on what can follow in the wake of a court’s injustice and as a cautionary tale about what might await a nation that fails to respond to it.</w:t>
      </w:r>
    </w:p>
    <w:p w14:paraId="466FF968" w14:textId="77777777" w:rsidR="007E3D3F" w:rsidRPr="00107E4B" w:rsidRDefault="007E3D3F" w:rsidP="007E3D3F">
      <w:pPr>
        <w:pStyle w:val="Heading2"/>
      </w:pPr>
      <w:r w:rsidRPr="00107E4B">
        <w:lastRenderedPageBreak/>
        <w:t xml:space="preserve">USFG = Unlimiting </w:t>
      </w:r>
    </w:p>
    <w:p w14:paraId="50BFDACE" w14:textId="77777777" w:rsidR="007E3D3F" w:rsidRPr="00107E4B" w:rsidRDefault="007E3D3F" w:rsidP="007E3D3F">
      <w:pPr>
        <w:pStyle w:val="Heading4"/>
        <w:spacing w:before="240" w:after="40"/>
        <w:rPr>
          <w:rFonts w:asciiTheme="minorHAnsi" w:hAnsiTheme="minorHAnsi" w:cstheme="minorHAnsi"/>
        </w:rPr>
      </w:pPr>
      <w:r w:rsidRPr="00107E4B">
        <w:rPr>
          <w:rFonts w:asciiTheme="minorHAnsi" w:hAnsiTheme="minorHAnsi" w:cstheme="minorHAnsi"/>
          <w:color w:val="000000"/>
          <w:shd w:val="clear" w:color="auto" w:fill="FFFFFF"/>
        </w:rPr>
        <w:t>Without limits on the federal government their only limit is their imaginations</w:t>
      </w:r>
    </w:p>
    <w:p w14:paraId="6B39EA5F" w14:textId="77777777" w:rsidR="007E3D3F" w:rsidRPr="00107E4B" w:rsidRDefault="007E3D3F" w:rsidP="007E3D3F">
      <w:pPr>
        <w:pStyle w:val="NormalWeb"/>
        <w:spacing w:before="0" w:beforeAutospacing="0" w:after="0" w:afterAutospacing="0"/>
        <w:rPr>
          <w:rFonts w:asciiTheme="minorHAnsi" w:hAnsiTheme="minorHAnsi" w:cstheme="minorHAnsi"/>
          <w:sz w:val="22"/>
        </w:rPr>
      </w:pPr>
      <w:r w:rsidRPr="00107E4B">
        <w:rPr>
          <w:rFonts w:asciiTheme="minorHAnsi" w:hAnsiTheme="minorHAnsi" w:cstheme="minorHAnsi"/>
          <w:b/>
          <w:bCs/>
          <w:color w:val="000000"/>
          <w:sz w:val="26"/>
          <w:szCs w:val="26"/>
        </w:rPr>
        <w:t>Smith 15</w:t>
      </w:r>
      <w:r w:rsidRPr="00107E4B">
        <w:rPr>
          <w:rFonts w:ascii="Arial" w:hAnsi="Arial" w:cs="Arial"/>
          <w:color w:val="000000"/>
          <w:sz w:val="26"/>
          <w:szCs w:val="26"/>
        </w:rPr>
        <w:t xml:space="preserve"> </w:t>
      </w:r>
      <w:r w:rsidRPr="00107E4B">
        <w:rPr>
          <w:rFonts w:asciiTheme="minorHAnsi" w:hAnsiTheme="minorHAnsi" w:cstheme="minorHAnsi"/>
          <w:color w:val="2A2A2A"/>
          <w:sz w:val="22"/>
        </w:rPr>
        <w:t>(Kyle Smith,</w:t>
      </w:r>
      <w:r w:rsidRPr="00107E4B">
        <w:rPr>
          <w:rFonts w:asciiTheme="minorHAnsi" w:hAnsiTheme="minorHAnsi" w:cstheme="minorHAnsi"/>
          <w:color w:val="222222"/>
          <w:sz w:val="22"/>
          <w:shd w:val="clear" w:color="auto" w:fill="FFFFFF"/>
        </w:rPr>
        <w:t xml:space="preserve"> American critic, novelist, and essayist. He is a former film critic for the New York Post. and is currently critic-at-large at National Review, “We need a resistance movement to stop out-of-control government”,06-14-15)/</w:t>
      </w:r>
    </w:p>
    <w:p w14:paraId="27E1410A" w14:textId="77777777" w:rsidR="007E3D3F" w:rsidRPr="00107E4B" w:rsidRDefault="007E3D3F" w:rsidP="007E3D3F">
      <w:pPr>
        <w:pStyle w:val="NormalWeb"/>
        <w:spacing w:before="0" w:beforeAutospacing="0" w:after="0" w:afterAutospacing="0"/>
        <w:rPr>
          <w:rFonts w:asciiTheme="minorHAnsi" w:hAnsiTheme="minorHAnsi" w:cstheme="minorHAnsi"/>
          <w:sz w:val="22"/>
        </w:rPr>
      </w:pPr>
      <w:r w:rsidRPr="00107E4B">
        <w:rPr>
          <w:rFonts w:asciiTheme="minorHAnsi" w:hAnsiTheme="minorHAnsi" w:cstheme="minorHAnsi"/>
          <w:sz w:val="22"/>
        </w:rPr>
        <w:t xml:space="preserve">Say you’re a small business owner. A dentist. A landscaper. A citizen who feels he’s drowning in needless government-imposed bureaucracy. You can whine about it. You can </w:t>
      </w:r>
      <w:hyperlink r:id="rId24" w:history="1">
        <w:r w:rsidRPr="00107E4B">
          <w:rPr>
            <w:rStyle w:val="Hyperlink"/>
            <w:rFonts w:asciiTheme="minorHAnsi" w:eastAsiaTheme="majorEastAsia" w:hAnsiTheme="minorHAnsi" w:cstheme="minorHAnsi"/>
            <w:sz w:val="22"/>
          </w:rPr>
          <w:t>vote</w:t>
        </w:r>
      </w:hyperlink>
      <w:r w:rsidRPr="00107E4B">
        <w:rPr>
          <w:rFonts w:asciiTheme="minorHAnsi" w:hAnsiTheme="minorHAnsi" w:cstheme="minorHAnsi"/>
          <w:sz w:val="22"/>
        </w:rPr>
        <w:t xml:space="preserve"> for politicians you hope will lighten your load, even though you know they never will. Or you can fight back. It’s far too late to roll back the tide of government, argues Charles Murray in his new book “By the People: Rebuilding Liberty Without Permission” (Crown Forum). Starting in the New Deal years, the Supreme Court stepped down from its 150-year mission of limiting the scope of government according to the restrictions laid out in the constitution. </w:t>
      </w:r>
      <w:r w:rsidRPr="00107E4B">
        <w:rPr>
          <w:rFonts w:asciiTheme="minorHAnsi" w:hAnsiTheme="minorHAnsi" w:cstheme="minorHAnsi"/>
          <w:sz w:val="22"/>
          <w:u w:val="single"/>
        </w:rPr>
        <w:t>In 1942, the court decided that the Commerce Clause became</w:t>
      </w:r>
      <w:r w:rsidRPr="00107E4B">
        <w:rPr>
          <w:rFonts w:asciiTheme="minorHAnsi" w:hAnsiTheme="minorHAnsi" w:cstheme="minorHAnsi"/>
          <w:sz w:val="22"/>
        </w:rPr>
        <w:t xml:space="preserve"> (in the words of federal judge Alex Kozinski),</w:t>
      </w:r>
      <w:r w:rsidRPr="00107E4B">
        <w:rPr>
          <w:rFonts w:asciiTheme="minorHAnsi" w:hAnsiTheme="minorHAnsi" w:cstheme="minorHAnsi"/>
          <w:sz w:val="22"/>
          <w:u w:val="single"/>
        </w:rPr>
        <w:t xml:space="preserve"> the “Hey, You Can Do Anything You Like Clause.”</w:t>
      </w:r>
      <w:r w:rsidRPr="00107E4B">
        <w:rPr>
          <w:rFonts w:asciiTheme="minorHAnsi" w:hAnsiTheme="minorHAnsi" w:cstheme="minorHAnsi"/>
          <w:sz w:val="22"/>
          <w:u w:val="single"/>
          <w:shd w:val="clear" w:color="auto" w:fill="FFFFFF"/>
        </w:rPr>
        <w:t xml:space="preserve"> </w:t>
      </w:r>
      <w:r w:rsidRPr="00107E4B">
        <w:rPr>
          <w:rFonts w:asciiTheme="minorHAnsi" w:hAnsiTheme="minorHAnsi" w:cstheme="minorHAnsi"/>
          <w:sz w:val="22"/>
          <w:shd w:val="clear" w:color="auto" w:fill="FFFFFF"/>
        </w:rPr>
        <w:t>At that time the court ruled, absurdly, that the federales could fine an Ohio farmer for producing 239 more bushels of wheat than allowed by the Agricultural Adjustment Act, even though he consumed most of the wheat himself and sold the remainder nearby, on the theory that what he was doing solely in Ohio amounted to “interstate commerce.”</w:t>
      </w:r>
      <w:r w:rsidRPr="00107E4B">
        <w:rPr>
          <w:rFonts w:asciiTheme="minorHAnsi" w:hAnsiTheme="minorHAnsi" w:cstheme="minorHAnsi"/>
          <w:sz w:val="22"/>
          <w:u w:val="single"/>
        </w:rPr>
        <w:t xml:space="preserve"> In the same era, the Constitutional phrase authorizing laws for the “general welfare” became another blank check. As Murray points out, the meaning of “general welfare” was hashed out at great length during debate about the Constitution. </w:t>
      </w:r>
      <w:r w:rsidRPr="00107E4B">
        <w:rPr>
          <w:rFonts w:asciiTheme="minorHAnsi" w:hAnsiTheme="minorHAnsi" w:cstheme="minorHAnsi"/>
          <w:sz w:val="22"/>
        </w:rPr>
        <w:t>Both Madison and Hamilton argued vigorously that “general welfare” was merely a phrase meant to introduce the enumerated powers — the specific acts to which the federal government is limited.</w:t>
      </w:r>
      <w:r w:rsidRPr="00107E4B">
        <w:rPr>
          <w:rFonts w:asciiTheme="minorHAnsi" w:hAnsiTheme="minorHAnsi" w:cstheme="minorHAnsi"/>
          <w:sz w:val="22"/>
          <w:shd w:val="clear" w:color="auto" w:fill="FFFFFF"/>
        </w:rPr>
        <w:t xml:space="preserve"> </w:t>
      </w:r>
      <w:r w:rsidRPr="00107E4B">
        <w:rPr>
          <w:rFonts w:asciiTheme="minorHAnsi" w:hAnsiTheme="minorHAnsi" w:cstheme="minorHAnsi"/>
          <w:sz w:val="22"/>
          <w:u w:val="single"/>
        </w:rPr>
        <w:t xml:space="preserve">The notion that Washington could do whatever it liked provided the result was said to be for “general welfare” would have struck the Framers as absurd. Today, federal agencies, using those Supreme Court decisions and vaguely worded statutes, are constrained only by the limits of their imaginations. </w:t>
      </w:r>
      <w:r w:rsidRPr="00107E4B">
        <w:rPr>
          <w:rFonts w:asciiTheme="minorHAnsi" w:hAnsiTheme="minorHAnsi" w:cstheme="minorHAnsi"/>
          <w:sz w:val="22"/>
        </w:rPr>
        <w:t xml:space="preserve">As Tocqueville foresaw, government now “covers the surface of society with a network of small, complicated rules, minute and uniform.” </w:t>
      </w:r>
      <w:r w:rsidRPr="00107E4B">
        <w:rPr>
          <w:rFonts w:asciiTheme="minorHAnsi" w:hAnsiTheme="minorHAnsi" w:cstheme="minorHAnsi"/>
          <w:sz w:val="22"/>
          <w:u w:val="single"/>
        </w:rPr>
        <w:t>We live not under tyranny but a state that “compresses, enervates, extinguishes, and stupefies a people.”</w:t>
      </w:r>
      <w:r w:rsidRPr="00107E4B">
        <w:rPr>
          <w:rFonts w:asciiTheme="minorHAnsi" w:hAnsiTheme="minorHAnsi" w:cstheme="minorHAnsi"/>
          <w:sz w:val="22"/>
        </w:rPr>
        <w:t xml:space="preserve"> Effect change through the ballot box? Not a chance. </w:t>
      </w:r>
      <w:r w:rsidRPr="00107E4B">
        <w:rPr>
          <w:rFonts w:asciiTheme="minorHAnsi" w:hAnsiTheme="minorHAnsi" w:cstheme="minorHAnsi"/>
          <w:sz w:val="22"/>
          <w:u w:val="single"/>
        </w:rPr>
        <w:t xml:space="preserve">There are two parties. One is for big government, the other is for really shockingly huge government. </w:t>
      </w:r>
      <w:r w:rsidRPr="00107E4B">
        <w:rPr>
          <w:rFonts w:asciiTheme="minorHAnsi" w:hAnsiTheme="minorHAnsi" w:cstheme="minorHAnsi"/>
          <w:sz w:val="22"/>
        </w:rPr>
        <w:t xml:space="preserve">Murray has lost patience with the ordinary democratic process. He suggests willful, determined, sustained resistance: “to make large portions of the Federal Code of Regulations unenforceable. I want to make government into an insurable hazard, like flood, fire, or locusts.” He proposes the Madison Fund. </w:t>
      </w:r>
      <w:r w:rsidRPr="00107E4B">
        <w:rPr>
          <w:rFonts w:asciiTheme="minorHAnsi" w:hAnsiTheme="minorHAnsi" w:cstheme="minorHAnsi"/>
          <w:sz w:val="22"/>
          <w:u w:val="single"/>
        </w:rPr>
        <w:t>Philanthropists, are you listening? This would be an attack squad of lawyers on call to protect and defend Constitutional limits on government.</w:t>
      </w:r>
      <w:r w:rsidRPr="00107E4B">
        <w:rPr>
          <w:rFonts w:asciiTheme="minorHAnsi" w:hAnsiTheme="minorHAnsi" w:cstheme="minorHAnsi"/>
          <w:sz w:val="22"/>
        </w:rPr>
        <w:t xml:space="preserve"> Getting slimed by bureaucrats? Call Govbusters. Murray envisions the lawyers telling the government agents, “We are taking over this man’s case. We will litigate it as long as it takes. We will publicize this litigation that will embarrass you and your superiors. None of this will cost our client a penny, and we will reimburse him for any fine you are able to impose. And if you come back and bother him again, we will go through the whole process again.” They throw the book at you? Catch it, and throw it back. That’s why God gave us lawyers. This time they’re on your side.</w:t>
      </w:r>
      <w:r w:rsidRPr="00107E4B">
        <w:rPr>
          <w:rFonts w:asciiTheme="minorHAnsi" w:hAnsiTheme="minorHAnsi" w:cstheme="minorHAnsi"/>
          <w:sz w:val="22"/>
          <w:u w:val="single"/>
        </w:rPr>
        <w:t xml:space="preserve"> The Madison Fund would have three purposes: To defend those who are innocent of regulatory charges brought against them; to defend those who are technically guilty of violating nonsensical regulations, in order to maximize the burden on the government; and to generate as much publicity as possible to bring public pressure to bear on the agencies and the elected and appointed officials who oversee them.</w:t>
      </w:r>
      <w:r w:rsidRPr="00107E4B">
        <w:rPr>
          <w:rFonts w:asciiTheme="minorHAnsi" w:hAnsiTheme="minorHAnsi" w:cstheme="minorHAnsi"/>
          <w:sz w:val="22"/>
        </w:rPr>
        <w:t xml:space="preserve"> Would it work? </w:t>
      </w:r>
      <w:r w:rsidRPr="00107E4B">
        <w:rPr>
          <w:rFonts w:asciiTheme="minorHAnsi" w:hAnsiTheme="minorHAnsi" w:cstheme="minorHAnsi"/>
          <w:sz w:val="22"/>
        </w:rPr>
        <w:lastRenderedPageBreak/>
        <w:t>Maybe not. Wouldn’t it be fun to try, though? Consider the amount of</w:t>
      </w:r>
      <w:hyperlink r:id="rId25" w:history="1">
        <w:r w:rsidRPr="00107E4B">
          <w:rPr>
            <w:rStyle w:val="Hyperlink"/>
            <w:rFonts w:asciiTheme="minorHAnsi" w:eastAsiaTheme="majorEastAsia" w:hAnsiTheme="minorHAnsi" w:cstheme="minorHAnsi"/>
            <w:sz w:val="22"/>
          </w:rPr>
          <w:t xml:space="preserve"> money spent</w:t>
        </w:r>
      </w:hyperlink>
      <w:r w:rsidRPr="00107E4B">
        <w:rPr>
          <w:rFonts w:asciiTheme="minorHAnsi" w:hAnsiTheme="minorHAnsi" w:cstheme="minorHAnsi"/>
          <w:sz w:val="22"/>
        </w:rPr>
        <w:t xml:space="preserve"> in the 2012 campaign season: billions of dollars, and neither the White House nor the Senate nor the House changed hands. </w:t>
      </w:r>
      <w:r w:rsidRPr="00107E4B">
        <w:rPr>
          <w:rFonts w:asciiTheme="minorHAnsi" w:hAnsiTheme="minorHAnsi" w:cstheme="minorHAnsi"/>
          <w:sz w:val="22"/>
          <w:u w:val="single"/>
        </w:rPr>
        <w:t>A single mischievous billionaire could stir up a lot of trouble by seeding the Madison Fund. What will the future look like? Ever-increasing government-fueled stagnation and sclerosis? Murray thinks the country is inherently too powerful, free and individualistic for that to happen. “National wealth that dwarfs today’s, and technology that gives the individual access to total information and the ability to apply that information to everyday life: Under those</w:t>
      </w:r>
      <w:hyperlink r:id="rId26" w:history="1">
        <w:r w:rsidRPr="00107E4B">
          <w:rPr>
            <w:rStyle w:val="Hyperlink"/>
            <w:rFonts w:asciiTheme="minorHAnsi" w:eastAsiaTheme="majorEastAsia" w:hAnsiTheme="minorHAnsi" w:cstheme="minorHAnsi"/>
            <w:sz w:val="22"/>
          </w:rPr>
          <w:t xml:space="preserve"> conditions</w:t>
        </w:r>
      </w:hyperlink>
      <w:r w:rsidRPr="00107E4B">
        <w:rPr>
          <w:rFonts w:asciiTheme="minorHAnsi" w:hAnsiTheme="minorHAnsi" w:cstheme="minorHAnsi"/>
          <w:sz w:val="22"/>
          <w:u w:val="single"/>
        </w:rPr>
        <w:t>, it is unimaginable to me that Americans will still think the best way to live is to be governed by armies of bureaucrats enforcing thousands of minutely prescriptive rules. “Somehow,” Murray believes, “the American polity will have evolved toward more efficient ways of working and living together.” America stands alone. We’re the only country built on a basic framework structured to limit the reach of government and empower individuals instead. If Murray is right, there is a way to restore that promise.</w:t>
      </w:r>
    </w:p>
    <w:p w14:paraId="0788E04C" w14:textId="77777777" w:rsidR="007E3D3F" w:rsidRPr="00107E4B" w:rsidRDefault="007E3D3F" w:rsidP="007E3D3F"/>
    <w:p w14:paraId="291177E9" w14:textId="77777777" w:rsidR="007E3D3F" w:rsidRPr="00107E4B" w:rsidRDefault="007E3D3F" w:rsidP="007E3D3F">
      <w:pPr>
        <w:pStyle w:val="Heading1"/>
      </w:pPr>
      <w:r w:rsidRPr="00107E4B">
        <w:lastRenderedPageBreak/>
        <w:t xml:space="preserve">Aff Answers </w:t>
      </w:r>
    </w:p>
    <w:p w14:paraId="1E31F73E" w14:textId="77777777" w:rsidR="007E3D3F" w:rsidRDefault="007E3D3F" w:rsidP="007E3D3F">
      <w:pPr>
        <w:pStyle w:val="Heading2"/>
      </w:pPr>
      <w:r>
        <w:lastRenderedPageBreak/>
        <w:t>2AC</w:t>
      </w:r>
    </w:p>
    <w:p w14:paraId="7DE6D7F1" w14:textId="77777777" w:rsidR="007E3D3F" w:rsidRDefault="007E3D3F" w:rsidP="007E3D3F">
      <w:pPr>
        <w:pStyle w:val="Heading4"/>
      </w:pPr>
      <w:r>
        <w:t>The affirmative recognizes debate as a cite for activism. The 1nc does not address the purpose of the debate established by the 1ac &lt;insert analysis from critical solvency cards in 1ac&gt;</w:t>
      </w:r>
    </w:p>
    <w:p w14:paraId="1BF73143" w14:textId="77777777" w:rsidR="007E3D3F" w:rsidRDefault="007E3D3F" w:rsidP="007E3D3F">
      <w:pPr>
        <w:pStyle w:val="Heading4"/>
      </w:pPr>
      <w:r>
        <w:t>We will win that their proposed model of plan-focused debate is bad:</w:t>
      </w:r>
    </w:p>
    <w:p w14:paraId="7529A2CA" w14:textId="77777777" w:rsidR="007E3D3F" w:rsidRDefault="007E3D3F" w:rsidP="007E3D3F">
      <w:pPr>
        <w:pStyle w:val="Heading4"/>
      </w:pPr>
      <w:r>
        <w:t>1.       Unlimiting</w:t>
      </w:r>
    </w:p>
    <w:p w14:paraId="59571C36" w14:textId="77777777" w:rsidR="007E3D3F" w:rsidRDefault="007E3D3F" w:rsidP="007E3D3F">
      <w:pPr>
        <w:pStyle w:val="Heading4"/>
      </w:pPr>
      <w:r>
        <w:t>a.       Makes it impossible to be negative – we would have access to any and every action by the USFG multiplied by fiat which explodes the negative research burden which turns their interpretation.</w:t>
      </w:r>
    </w:p>
    <w:p w14:paraId="7DE23521" w14:textId="77777777" w:rsidR="007E3D3F" w:rsidRDefault="007E3D3F" w:rsidP="007E3D3F">
      <w:pPr>
        <w:pStyle w:val="Heading4"/>
      </w:pPr>
      <w:r>
        <w:t>b.       Makes it impossible to be affirmative – crushes our potential to use our experiences to relate to the topic. We would have to rewrite our experiences to cater to the topic and not our needs which literally makes debate impossible because it does not address our everyday needs</w:t>
      </w:r>
    </w:p>
    <w:p w14:paraId="6A1D3A4E" w14:textId="77777777" w:rsidR="007E3D3F" w:rsidRDefault="007E3D3F" w:rsidP="007E3D3F">
      <w:pPr>
        <w:pStyle w:val="Heading4"/>
      </w:pPr>
      <w:r>
        <w:t>2.       Anti-educational – encourages bad debate (Don’t have to read all these)</w:t>
      </w:r>
    </w:p>
    <w:p w14:paraId="7E52C455" w14:textId="77777777" w:rsidR="007E3D3F" w:rsidRDefault="007E3D3F" w:rsidP="007E3D3F">
      <w:pPr>
        <w:pStyle w:val="Heading4"/>
      </w:pPr>
      <w:r>
        <w:t xml:space="preserve">a.       Conditionality – it allows it and encourages it. Condo is a voting issue because it encourages argumentative irresponsibility, kitchen sink strategies, and multiple contradictory arguments and destroys affirmatives competitive equities. </w:t>
      </w:r>
    </w:p>
    <w:p w14:paraId="4842F6B3" w14:textId="77777777" w:rsidR="007E3D3F" w:rsidRDefault="007E3D3F" w:rsidP="007E3D3F">
      <w:pPr>
        <w:pStyle w:val="Heading4"/>
      </w:pPr>
      <w:r>
        <w:t>b.      Plan Inclusive counterplans – plan focus guarantees PICs. PICs are a voting issue because they steal aff ground and for the aff to debate itself, encourages vague plan writing which destroys negs ground and result in trivial distinctions between the plan and the counterplan like a penny saved is a penny earned. You cannot PIC out of an embodied performance.</w:t>
      </w:r>
    </w:p>
    <w:p w14:paraId="4BFF1AC0" w14:textId="77777777" w:rsidR="007E3D3F" w:rsidRDefault="007E3D3F" w:rsidP="007E3D3F">
      <w:pPr>
        <w:pStyle w:val="Heading4"/>
      </w:pPr>
      <w:r>
        <w:t>c.       Process CPs – Neg’s interpretation allows it because they focus on the process of implementation. Process PICs are a voting issue because they destroy topic specific education, they destroy the aff because they include the affirmative, and lastly, they are limitless and unpredictable. If you hate conditions, consult, and dirty word PICs - vote for us!</w:t>
      </w:r>
    </w:p>
    <w:p w14:paraId="14B21CE8" w14:textId="77777777" w:rsidR="007E3D3F" w:rsidRDefault="007E3D3F" w:rsidP="007E3D3F">
      <w:pPr>
        <w:pStyle w:val="Heading4"/>
      </w:pPr>
      <w:r>
        <w:t>3.       &lt;insert aff specific state-based offense&gt;</w:t>
      </w:r>
    </w:p>
    <w:p w14:paraId="100BAC01" w14:textId="77777777" w:rsidR="007E3D3F" w:rsidRDefault="007E3D3F" w:rsidP="007E3D3F">
      <w:pPr>
        <w:pStyle w:val="Heading4"/>
      </w:pPr>
      <w:r>
        <w:t>Activism is a better approach to debate -</w:t>
      </w:r>
    </w:p>
    <w:p w14:paraId="2AD24CED" w14:textId="77777777" w:rsidR="007E3D3F" w:rsidRDefault="007E3D3F" w:rsidP="007E3D3F">
      <w:pPr>
        <w:pStyle w:val="Heading4"/>
      </w:pPr>
      <w:r>
        <w:t>We need not learn how to act later but engage in action now. We can experience material outcome of our actions today which will help us know how to engage in activism more effectively later, but solves our argument about the necessity of action today &lt;insert aff uniqueness&gt;</w:t>
      </w:r>
    </w:p>
    <w:p w14:paraId="60DDDA2A" w14:textId="77777777" w:rsidR="007E3D3F" w:rsidRDefault="007E3D3F" w:rsidP="007E3D3F">
      <w:pPr>
        <w:pStyle w:val="Heading4"/>
      </w:pPr>
      <w:r>
        <w:lastRenderedPageBreak/>
        <w:t xml:space="preserve">Their interpretation would encroach on those skills by devaluing the knowledge that students bring to the activity and the perspective they bring about what should be done now. Perspectivism is net-benefit to our method because it encourages students to relate to the topic via their experience. </w:t>
      </w:r>
    </w:p>
    <w:p w14:paraId="3A0774B2" w14:textId="77777777" w:rsidR="007E3D3F" w:rsidRPr="000128DB" w:rsidRDefault="007E3D3F" w:rsidP="007E3D3F">
      <w:pPr>
        <w:pStyle w:val="Heading4"/>
      </w:pPr>
      <w:r>
        <w:t>&lt;insert Gerhke or perm-like card here&gt;*this is also a permutation because it says K and policy can go hand in hand, but K has to come first*</w:t>
      </w:r>
    </w:p>
    <w:p w14:paraId="4B1498AB" w14:textId="77777777" w:rsidR="007E3D3F" w:rsidRPr="00107E4B" w:rsidRDefault="007E3D3F" w:rsidP="007E3D3F">
      <w:pPr>
        <w:pStyle w:val="Heading2"/>
      </w:pPr>
      <w:r w:rsidRPr="00107E4B">
        <w:lastRenderedPageBreak/>
        <w:t xml:space="preserve">Perm – Performance + Law </w:t>
      </w:r>
    </w:p>
    <w:p w14:paraId="7031C750" w14:textId="77777777" w:rsidR="007E3D3F" w:rsidRPr="00107E4B" w:rsidRDefault="007E3D3F" w:rsidP="007E3D3F">
      <w:pPr>
        <w:pStyle w:val="Heading4"/>
      </w:pPr>
      <w:r w:rsidRPr="00107E4B">
        <w:t>Perm do both. Critical analysis is necessary in order for debate to function. Traditional policy and critical debate requires the same advocacy and research skills behind the actions proposed, they go hand and hand.</w:t>
      </w:r>
    </w:p>
    <w:p w14:paraId="40B8372E" w14:textId="77777777" w:rsidR="007E3D3F" w:rsidRPr="00107E4B" w:rsidRDefault="007E3D3F" w:rsidP="007E3D3F">
      <w:pPr>
        <w:rPr>
          <w:rStyle w:val="Style13ptBold"/>
        </w:rPr>
      </w:pPr>
      <w:r w:rsidRPr="00107E4B">
        <w:rPr>
          <w:rStyle w:val="Style13ptBold"/>
        </w:rPr>
        <w:t>Gehrke 98</w:t>
      </w:r>
    </w:p>
    <w:p w14:paraId="7629C7EF" w14:textId="77777777" w:rsidR="007E3D3F" w:rsidRPr="00107E4B" w:rsidRDefault="007E3D3F" w:rsidP="007E3D3F">
      <w:pPr>
        <w:rPr>
          <w:rFonts w:ascii="Times New Roman" w:eastAsia="Times New Roman" w:hAnsi="Times New Roman" w:cs="Times New Roman"/>
        </w:rPr>
      </w:pPr>
      <w:r w:rsidRPr="00107E4B">
        <w:rPr>
          <w:rFonts w:ascii="Times New Roman" w:eastAsia="Times New Roman" w:hAnsi="Times New Roman" w:cs="Times New Roman"/>
        </w:rPr>
        <w:t>Gehrke, P.J. (1998). Critique Arguments as Policy Analysis: Policy Debate Beyond the Rationalist Perspective. Contemporary Argumentation and Debate, 19, 18-39./cdc</w:t>
      </w:r>
    </w:p>
    <w:p w14:paraId="3BE80F11" w14:textId="77777777" w:rsidR="007E3D3F" w:rsidRPr="00107E4B" w:rsidRDefault="007E3D3F" w:rsidP="007E3D3F">
      <w:pPr>
        <w:rPr>
          <w:rFonts w:ascii="Times New Roman" w:eastAsia="Times New Roman" w:hAnsi="Times New Roman" w:cs="Times New Roman"/>
        </w:rPr>
      </w:pPr>
    </w:p>
    <w:p w14:paraId="5096C0BD" w14:textId="77777777" w:rsidR="007E3D3F" w:rsidRPr="00107E4B" w:rsidRDefault="007E3D3F" w:rsidP="007E3D3F">
      <w:pPr>
        <w:rPr>
          <w:u w:val="single"/>
        </w:rPr>
      </w:pPr>
      <w:r w:rsidRPr="00107E4B">
        <w:rPr>
          <w:sz w:val="16"/>
        </w:rPr>
        <w:t xml:space="preserve">Most debate theorists who oppose critique arguments advance a rationalist paradigm of policy evaluation. In their minds, a strict cost-benefit analysis, particularly a quantitative analysis based on the preservation of human life, is the only means by which an advocate can justifY or dejustifY a policy. In his criticism of scientific models of public policy, Robert Formaini, the former vice president for public policy at the Cato Institute, explains the rationalist policy paradigm: According to the policy rationalist, if the risks are "acceptable" and the "benefits" are greater than "costs," what person can argue that the proposed policy ought not be done, and on what inductive basis? It will not work to say that the proposed policy is "wrong," "immoral," "unjust," and a "waste of time and effort." These arguments are "unscientific" and "value-laden" with the citizen's personal, irrational prejudices. (69) </w:t>
      </w:r>
      <w:r w:rsidRPr="00107E4B">
        <w:rPr>
          <w:u w:val="single"/>
        </w:rPr>
        <w:t>In policy debate, the rationalist perspective marginalizes critiques by mistakenly representing a particular approach to policy evaluation as the essential means of policy deliberation, implying that one theoretical perspective is both appropriate for all policy questions and preferable to all other means of policy comparison</w:t>
      </w:r>
      <w:r w:rsidRPr="00107E4B">
        <w:rPr>
          <w:sz w:val="16"/>
        </w:rPr>
        <w:t xml:space="preserve">. Marouf Hasian and Edward Panetta argue that "both the promise and the peril of the critique come from its use as a method of questioning some of the assumptions behind 'policy' debate itself' (47). They continue, "the use of 'the critique' in policy debate means a virtual abandonment of many of the cherished assumptions of policy decision making" (53). If by </w:t>
      </w:r>
      <w:r w:rsidRPr="00107E4B">
        <w:rPr>
          <w:u w:val="single"/>
        </w:rPr>
        <w:t>policy debate and policy decision making,</w:t>
      </w:r>
      <w:r w:rsidRPr="00107E4B">
        <w:rPr>
          <w:sz w:val="16"/>
        </w:rPr>
        <w:t xml:space="preserve"> Hasian and Panetta </w:t>
      </w:r>
      <w:r w:rsidRPr="00107E4B">
        <w:rPr>
          <w:u w:val="single"/>
        </w:rPr>
        <w:t>are referring only to the conventional practices of academic debate, they would be</w:t>
      </w:r>
      <w:r w:rsidRPr="00107E4B">
        <w:rPr>
          <w:sz w:val="16"/>
        </w:rPr>
        <w:t xml:space="preserve"> </w:t>
      </w:r>
      <w:r w:rsidRPr="00107E4B">
        <w:rPr>
          <w:u w:val="single"/>
        </w:rPr>
        <w:t>correct</w:t>
      </w:r>
      <w:r w:rsidRPr="00107E4B">
        <w:rPr>
          <w:sz w:val="16"/>
        </w:rPr>
        <w:t>. However, their criticism is not that critiques simply challenge academic policy debate as we commonly practice it, but rather that critiques are "politically irrelevant and counterproductive" (54). This conclusion is arrived at by giving primacy to rationalist policy models, including claims such as that "</w:t>
      </w:r>
      <w:r w:rsidRPr="00107E4B">
        <w:rPr>
          <w:u w:val="single"/>
        </w:rPr>
        <w:t>debating is an inherently rationalistic activity</w:t>
      </w:r>
      <w:r w:rsidRPr="00107E4B">
        <w:rPr>
          <w:sz w:val="16"/>
        </w:rPr>
        <w:t xml:space="preserve">" (54). Faith in rationalism as the core element of policy debate leads Derek Jinks to posit that if critiques have any theoretical legitimacy, "they should take the form of disadvantages, counterplans, solvency arguments, etc." (AI4). links argues that resolutions imply the context for academic debates, and since contemporary resolutions are interpreted as policy questions, they should be addressed from a policy perspective (AI2). While this line of reasoning may bear some merit, Jinks begs the question of whether the rationalist model is the only possible policy perspective. Jinks relies on a rationalist cost-benefit analysis model for decision making. He argues that </w:t>
      </w:r>
      <w:r w:rsidRPr="00107E4B">
        <w:rPr>
          <w:u w:val="single"/>
        </w:rPr>
        <w:t>policy decisions cannot be made without comparing unique costs and benefits of proposed courses of action</w:t>
      </w:r>
      <w:r w:rsidRPr="00107E4B">
        <w:rPr>
          <w:sz w:val="16"/>
        </w:rPr>
        <w:t xml:space="preserve"> (A 14). Jinks likewise contends that </w:t>
      </w:r>
      <w:r w:rsidRPr="00107E4B">
        <w:rPr>
          <w:u w:val="single"/>
        </w:rPr>
        <w:t>policy debate</w:t>
      </w:r>
      <w:r w:rsidRPr="00107E4B">
        <w:rPr>
          <w:sz w:val="16"/>
        </w:rPr>
        <w:t xml:space="preserve"> should </w:t>
      </w:r>
      <w:r w:rsidRPr="00107E4B">
        <w:rPr>
          <w:u w:val="single"/>
        </w:rPr>
        <w:t>begin from a set of shared assumptions about the values at stake</w:t>
      </w:r>
      <w:r w:rsidRPr="00107E4B">
        <w:rPr>
          <w:sz w:val="16"/>
        </w:rPr>
        <w:t xml:space="preserve">, which should simply be taken as true (Al3). Matthew Shors and Steve Mancuso propose an extreme division between critiques and policy discourse. Shorsand Mancuso make the same error as Jinks · by generalizing from rationalist policy models to all policy deliberation. They claim that critiques are "utterly irrelevant" and that critiques ask us to believe that "it is pointless to discuss policies" (A16). Shors and Mancuso would have us believe that critiques "ignore policy issues altogether" (A16). It is because critiques do not argue unique commensurable costs or benefits that they contend that critiques carry "little, if any, weight in policy comparison" (AI6). Only by failing to recognize the broad diversity of policy perspectives can Shors and Mancuso come to conclude that "the Critique is wholly incompatible with, and non-germane to, policy debate" (A 17). Perhaps the most vehement opponent of critiques has been Solt. Solt makes many of the same assumptions about policy analysis as do Jinks, Shors, and Mancuso. Solt so strongly believes that critiques challenge the assumption that "what we are essentially engaged in is a policy debate" that he recommends the first response to critiques be to reestablish the policy framework ("Demystifying" A9). For Solt, "the kl'itik is a non-policy argument" (Anti-hitik ii). He sees debate as a policy forum, and critiques are considered not to be "germane to the subject at hand" (Anli-Kl'itik xxii). Solt argues that "at root, the kritik misunderstands the nature of the policy calculus" (Anti-Kritik x:xiii). Solt's rationalist assumptions are apparent in arguments encouraging us to "take an a priori ethical and political framework for granted" ("De mystifying" A II). Similarly, he ignores a whole body of interpretive and communicative policy analysis literature when he claims that "ideas are more important than the rhetoric with which they are expressed" ("Demystifying" All). Here, Solt is attempting to refute language critiques by retreating to a separation of policies and the words that express, present, and form those policies. For So It, </w:t>
      </w:r>
      <w:r w:rsidRPr="00107E4B">
        <w:rPr>
          <w:sz w:val="16"/>
        </w:rPr>
        <w:lastRenderedPageBreak/>
        <w:t xml:space="preserve">the policy has a pure form outside of language, and it is that form that is to be evaluated, rather than any of the words that might malign it. Such a position is distant from much of both contemporary communication studies and policy studies literature. 24 CONTEMPORARY ARGUMENTATION AND DEBATE </w:t>
      </w:r>
      <w:r w:rsidRPr="00107E4B">
        <w:rPr>
          <w:u w:val="single"/>
        </w:rPr>
        <w:t>The arguments against critiques advanced by the policy debate rationalists are</w:t>
      </w:r>
      <w:r w:rsidRPr="00107E4B">
        <w:rPr>
          <w:sz w:val="16"/>
        </w:rPr>
        <w:t xml:space="preserve"> suspect because they are </w:t>
      </w:r>
      <w:r w:rsidRPr="00107E4B">
        <w:rPr>
          <w:u w:val="single"/>
        </w:rPr>
        <w:t>grounded in the traditions of academic debate rather than contemporary theories of policy studies.</w:t>
      </w:r>
      <w:r w:rsidRPr="00107E4B">
        <w:rPr>
          <w:sz w:val="16"/>
        </w:rPr>
        <w:t xml:space="preserve"> Consequently, </w:t>
      </w:r>
      <w:r w:rsidRPr="00107E4B">
        <w:rPr>
          <w:u w:val="single"/>
        </w:rPr>
        <w:t>they dismiss questions they can not force-fit into policy rationalism as neither worthwhile nor relevant to policy discussions.</w:t>
      </w:r>
      <w:r w:rsidRPr="00107E4B">
        <w:rPr>
          <w:sz w:val="16"/>
        </w:rPr>
        <w:t xml:space="preserve"> As two policy analysts wrote of the hegemony of the rationalist paradigm, "When all you have is a hammer the whole world looks like a nail" (House and Shull 163-164). Berube attacks critiques from a perspective not overtly founded on policy rationalism, holding that critiques are fundamentally pre-fiat arguments and that they disregard post-fiat substantive claims ("Criticizing" 68-72). Nonetheless, he bases his arguments upon </w:t>
      </w:r>
      <w:r w:rsidRPr="00107E4B">
        <w:rPr>
          <w:u w:val="single"/>
        </w:rPr>
        <w:t>similar assumptions about</w:t>
      </w:r>
      <w:r w:rsidRPr="00107E4B">
        <w:rPr>
          <w:sz w:val="16"/>
        </w:rPr>
        <w:t xml:space="preserve"> the </w:t>
      </w:r>
      <w:r w:rsidRPr="00107E4B">
        <w:rPr>
          <w:u w:val="single"/>
        </w:rPr>
        <w:t>relationship between critiques and policy debate. Here</w:t>
      </w:r>
      <w:r w:rsidRPr="00107E4B">
        <w:rPr>
          <w:sz w:val="16"/>
        </w:rPr>
        <w:t>, "fiat" is a stand-in for "policy focus," in that fiat represents an enacted policy</w:t>
      </w:r>
      <w:r w:rsidRPr="00107E4B">
        <w:rPr>
          <w:u w:val="single"/>
        </w:rPr>
        <w:t>. To claim that critiques disregard issues that arise after fiat is to claim that they disregard questions raised by enacting policies</w:t>
      </w:r>
      <w:r w:rsidRPr="00107E4B">
        <w:rPr>
          <w:sz w:val="16"/>
        </w:rPr>
        <w:t xml:space="preserve">. Berube's argument is also predicated upon the assumption that academic debate should extend no further than "intentional, intended, naIve, objective, and rogate" meanings ("Criticizing" 77). </w:t>
      </w:r>
      <w:r w:rsidRPr="00107E4B">
        <w:rPr>
          <w:u w:val="single"/>
        </w:rPr>
        <w:t>This means that debaters and critics should not question any of the assumptions or presuppositions of texts or advocacies, uncritically accepting the premises inherent in propositions.</w:t>
      </w:r>
      <w:r w:rsidRPr="00107E4B">
        <w:rPr>
          <w:sz w:val="16"/>
        </w:rPr>
        <w:t xml:space="preserve"> In the context of policy analysis, Berube 's standards require that policy advocates and analysts not ask of each other: "But what are your assumptions? Are they valid, or consistent, or morally acceptable?" This position is extraordinarily dangerous. Wayne Booth argues that we must consider precisely those questions texts attempt to foreclose: Each literary work implicates within itself a set of norms about what questions are appropriate. Hemingway, to choose a favorite example of the new feminist critics, does not demand of us that we ask of his works, "Is it good for men or women to accept uncritically my machismo bravado?" Indeed, he seems to work quite hard to prevent our asking such a question. But surely, the feminist critics say, and I think they are right, surely any teacher who teaches A Farewell to Arms without inviting, somewhere along the line, a critical consideration of Hemingway's heroes as human ideals, and of his portraits of women as reflecting a peculiarly maimed creative vision, and of his vision of the good life as a singularly immature one-surely any such teacher is doing only half the job. (301) . . ; GEHRKE 25 . Similarly, we might say that </w:t>
      </w:r>
      <w:r w:rsidRPr="00107E4B">
        <w:rPr>
          <w:u w:val="single"/>
        </w:rPr>
        <w:t>any policy debater who does not seek a critical consideration of the questions that a policy proposal tries to foreclose is only doing half the job of a policy analyst</w:t>
      </w:r>
      <w:r w:rsidRPr="00107E4B">
        <w:rPr>
          <w:sz w:val="16"/>
        </w:rPr>
        <w:t xml:space="preserve">. Additionally, Berube assumes that we have pure and direct knowledge of the meanings of a text. However, </w:t>
      </w:r>
      <w:r w:rsidRPr="00107E4B">
        <w:rPr>
          <w:u w:val="single"/>
        </w:rPr>
        <w:t>in order to understand the meanings of a text we must interpret that text. When advocates speak, we inevitably interpret what they say. Meanings are found in the act of interpretation, and those meanings differ, at least slightly, between interpretations. There is virtually no text in a debate that can inspire one universally agreed upon interpretation</w:t>
      </w:r>
      <w:r w:rsidRPr="00107E4B">
        <w:rPr>
          <w:sz w:val="16"/>
        </w:rPr>
        <w:t xml:space="preserve">. As listeners and readers, we can never find ourselves at a point where the intentional, naive, and rogate meanings of a text are objectively transparent to us. Determining what questions a text invites requires interpreting the text, and these interpretations will vary, producing contrary readings of what questions may be asked of that text. There is no way to reconcile interpretations objectively. In order to evaluate competing interpretations, one would have to engage in precisely the critical textual analysis Berube attempts to foreclose. Since every interaction with a text is interpretive, Berube's objective standard for encountering a text never can be met. While opponents of critiques might be expected to position critiques outside of policy discussion, some advocates of critique arguments in debate have done the same. Many · critique proponents advance either the position that we should not consider ourselves policy analysts (Berube, "Kritiks" 21), or that critiques supersede policy questions (Bahm 76; Broda-Bahm and Murphy 21). These arguments unwittingly lend assistance to opponents of critiques by disconnecting critique arguments from policy discourse. Stepping outside the policy focus is not inviting to those who hold resolutely to a policy perspective; rationalist or otherwise. Rather, it makes it all the more difficult to recognize the unique role critique arguments can play in the enhancement of policy analysis and policy debate. Broda-Bahm probably has done more to popularize language critiques than any other theorist, but he clearly positions these arguments outside of policy deliberation. BrodaBahm and Thomas Murphy define a critique as "any argument which does not provide an answer to the resolutional question" (21). In this context, they refer to "the resolutional question" not merely as the resolution itself, but as the affirmative case which advocates it (31 n3). They make the same assumption often used as a premise against critiques, that we can and should separate policies from the language that advances them. Broda-Bahm separates policy and language by arguing that critiques do not answer substantive advocacy, but rather focus "more directly on the actual language practices of an opponent" (Bahrn 69). This is reinforced with attempts to give primacy to the "more immediate and more tangible" effects of language by claiming policy proposals to be fictions of debate rounds (Bahm 76). While positioning critiques outside of policy discourse is a common error amongst critique advocates, Shanahan is an exception. Much of Shanahan's essay is esoteric and philosophical, but he does recognize at least a potential for critiques to be a part of policy analysis. Making use of literature about development assistance, Shanahan considers "the possibility that the kritik is policy debate" (A8). Shanahan was nearest the mark when he claimed that "the kritik supplements, not supplants current debate practice" (A4). </w:t>
      </w:r>
      <w:r w:rsidRPr="00107E4B">
        <w:rPr>
          <w:sz w:val="16"/>
        </w:rPr>
        <w:lastRenderedPageBreak/>
        <w:t xml:space="preserve">However, critique proponents have either ignored or simply reiterated these claims, and opponents of critique argumentation scoff at Shanahan's conception of policy analysis. Most likely, this is because Shanahan's theory is so deeply embedded in Heidegger's philosophy that it is difficult to read a policy focus beneath the existential vocabulary. This may also be because neither proponents nor opponents of critique argumentation have considered the policy studies literature that reinforces the need for critiques in policy discussions. </w:t>
      </w:r>
      <w:r w:rsidRPr="00107E4B">
        <w:rPr>
          <w:u w:val="single"/>
        </w:rPr>
        <w:t>If one truly takes a policy perspective toward debate, one inevitably finds that critique argumentation is a necessary element of policy evaluation. The impasse hence arises because opponents of critiques hold that the purpose of debate is to discuss policies exclusively, and assume that policy rationalism is the only mechanism debaters can use to do so</w:t>
      </w:r>
      <w:r w:rsidRPr="00107E4B">
        <w:rPr>
          <w:sz w:val="16"/>
        </w:rPr>
        <w:t xml:space="preserve">. Many proponents of critiques maintain the impasse by arguing that critiques somehow supersede or exist outside of policy argumentation. The marginalization performed by both sides of this controversy disconnects critique argumentation from politics, policy deliberation, and real world debates. </w:t>
      </w:r>
      <w:r w:rsidRPr="00107E4B">
        <w:rPr>
          <w:u w:val="single"/>
        </w:rPr>
        <w:t>To move past the impasse and integrate critique argumentation and policy deliberation, we must reposition critiques within the spectrum of policy analysis.</w:t>
      </w:r>
    </w:p>
    <w:p w14:paraId="426CEA07" w14:textId="77777777" w:rsidR="007E3D3F" w:rsidRPr="00107E4B" w:rsidRDefault="007E3D3F" w:rsidP="007E3D3F"/>
    <w:p w14:paraId="675AE070" w14:textId="77777777" w:rsidR="007E3D3F" w:rsidRPr="00107E4B" w:rsidRDefault="007E3D3F" w:rsidP="007E3D3F">
      <w:pPr>
        <w:pStyle w:val="Heading4"/>
        <w:rPr>
          <w:rStyle w:val="StyleUnderline"/>
          <w:u w:val="none"/>
        </w:rPr>
      </w:pPr>
      <w:r w:rsidRPr="00107E4B">
        <w:rPr>
          <w:rStyle w:val="StyleUnderline"/>
          <w:u w:val="none"/>
        </w:rPr>
        <w:t xml:space="preserve">Perm- narratives and law determine each other   </w:t>
      </w:r>
    </w:p>
    <w:p w14:paraId="246116FC" w14:textId="77777777" w:rsidR="007E3D3F" w:rsidRPr="00107E4B" w:rsidRDefault="007E3D3F" w:rsidP="007E3D3F">
      <w:pPr>
        <w:rPr>
          <w:rStyle w:val="StyleUnderline"/>
          <w:b/>
          <w:sz w:val="26"/>
          <w:u w:val="none"/>
        </w:rPr>
      </w:pPr>
      <w:r w:rsidRPr="00107E4B">
        <w:rPr>
          <w:rStyle w:val="Style13ptBold"/>
        </w:rPr>
        <w:t>Wharton ‘16</w:t>
      </w:r>
    </w:p>
    <w:p w14:paraId="3BBB8369" w14:textId="77777777" w:rsidR="007E3D3F" w:rsidRPr="00107E4B" w:rsidRDefault="007E3D3F" w:rsidP="007E3D3F">
      <w:pPr>
        <w:rPr>
          <w:rStyle w:val="StyleUnderline"/>
          <w:b/>
          <w:sz w:val="18"/>
          <w:szCs w:val="18"/>
          <w:u w:val="none"/>
        </w:rPr>
      </w:pPr>
      <w:r w:rsidRPr="00107E4B">
        <w:rPr>
          <w:rStyle w:val="Style13ptBold"/>
          <w:sz w:val="18"/>
          <w:szCs w:val="18"/>
        </w:rPr>
        <w:t xml:space="preserve"> (Robin Wharton, Georgia State University, Derek Miller, Harvard University, “New Directions in Law and Narrative”, Law, Culture and the Humanities 1–11, pp. 8-11, Accessed 7/29/18, PAS). </w:t>
      </w:r>
    </w:p>
    <w:p w14:paraId="23AD2006" w14:textId="77777777" w:rsidR="007E3D3F" w:rsidRPr="00107E4B" w:rsidRDefault="007E3D3F" w:rsidP="007E3D3F">
      <w:pPr>
        <w:rPr>
          <w:rStyle w:val="StyleUnderline"/>
          <w:sz w:val="16"/>
          <w:u w:val="none"/>
        </w:rPr>
      </w:pPr>
      <w:r w:rsidRPr="00107E4B">
        <w:rPr>
          <w:rStyle w:val="StyleUnderline"/>
          <w:sz w:val="16"/>
          <w:u w:val="none"/>
        </w:rPr>
        <w:t xml:space="preserve">Through a careful survey of legal history, Bricker demonstrates how judicial reliance on precedent evolved from the twelfth through the seventeenth centuries, from pre-modern canonical use of previous decisions to illustrate important legal rules and concepts into modern stare decisis in which previous rulings are binding precedent in subsequent cases involving analogous factual scenarios. In order to accomplish this transition, early modern jurists and </w:t>
      </w:r>
      <w:r w:rsidRPr="00107E4B">
        <w:rPr>
          <w:rStyle w:val="Emphasis"/>
        </w:rPr>
        <w:t>legal theorists had to “narrativize” the common law, transforming it from an arguably ad hoc jumble of sometimes wildly inconsistent outcomes into a coherent histoire of doctrinal cause and effect.</w:t>
      </w:r>
      <w:r w:rsidRPr="00107E4B">
        <w:rPr>
          <w:rStyle w:val="StyleUnderline"/>
          <w:sz w:val="16"/>
          <w:u w:val="none"/>
        </w:rPr>
        <w:t xml:space="preserve"> The result is a narrative archetype that shapes all modern common law judicial decisions: All of this is to suggest that, at the heart of the judicial ruling, is a double act of storytelling and displacement. The courts recite the facts of the case as a kind of omniscient historical narrative, and then apply to those facts, logically and analogically, a series of cases bearing similar legal principles. But </w:t>
      </w:r>
      <w:r w:rsidRPr="00107E4B">
        <w:rPr>
          <w:rStyle w:val="Emphasis"/>
        </w:rPr>
        <w:t>both of these acts of storytelling</w:t>
      </w:r>
      <w:r w:rsidRPr="00107E4B">
        <w:rPr>
          <w:rStyle w:val="StyleUnderline"/>
        </w:rPr>
        <w:t xml:space="preserve">, while gathering their force and legitimacy through the appeal of narrative, </w:t>
      </w:r>
      <w:r w:rsidRPr="00107E4B">
        <w:rPr>
          <w:rStyle w:val="Emphasis"/>
        </w:rPr>
        <w:t>are also sublimated – they only gain their force,</w:t>
      </w:r>
      <w:r w:rsidRPr="00107E4B">
        <w:rPr>
          <w:rStyle w:val="StyleUnderline"/>
        </w:rPr>
        <w:t xml:space="preserve"> the law claims, </w:t>
      </w:r>
      <w:r w:rsidRPr="00107E4B">
        <w:rPr>
          <w:rStyle w:val="Emphasis"/>
        </w:rPr>
        <w:t>through reason.</w:t>
      </w:r>
      <w:r w:rsidRPr="00107E4B">
        <w:rPr>
          <w:rStyle w:val="StyleUnderline"/>
          <w:sz w:val="16"/>
          <w:u w:val="none"/>
        </w:rPr>
        <w:t xml:space="preserve"> In Bricker’s analysis, what we often take for granted as a fundamental rhetorical feature of the law becomes a historically constructed narrative form or genre with a specific narrative function – legitimation through application of previous judicial precedent. The approaches to law and literature studies presented by Bricker and Waugh Lagji comfortably work within both what Paul Heald has called the “law as literature as language” and “law and literature as ethical discourse” categories of law and literature scholarship.24 They combine study of “the form of legal argument and the form of literary rhetoric,” with attention to whether “the lessons taught in fiction have direct applicability to how substantive legal decisions should be made.”25 In doing so, however, they take important strides beyond critical methodology and vocabulary that depend upon analogy and equivalence, a type of criticism that never quite captures law and literature’s shared identity within and as narrative. To the extent that </w:t>
      </w:r>
      <w:r w:rsidRPr="00107E4B">
        <w:rPr>
          <w:rStyle w:val="Emphasis"/>
        </w:rPr>
        <w:t>law and literature are narrative, they participate in the same project. They are two sides of the same coin, the currency with which historical continuity and socio-political cohesion are purchased.</w:t>
      </w:r>
      <w:r w:rsidRPr="00107E4B">
        <w:rPr>
          <w:rStyle w:val="StyleUnderline"/>
          <w:sz w:val="16"/>
          <w:u w:val="none"/>
        </w:rPr>
        <w:t xml:space="preserve"> If, as Heald suggested in 2009, “Law and Literature” as a field of academic study continues in mattering little to the law, legal scholarship will continue to account inadequately for how gendered, racist, ableist, and classist constructions of human subjectivity lead to and perpetuate structural inequality within legal systems.26 And </w:t>
      </w:r>
      <w:r w:rsidRPr="00107E4B">
        <w:rPr>
          <w:rStyle w:val="Emphasis"/>
        </w:rPr>
        <w:t>legal education</w:t>
      </w:r>
      <w:r w:rsidRPr="00107E4B">
        <w:rPr>
          <w:rStyle w:val="StyleUnderline"/>
          <w:sz w:val="16"/>
          <w:u w:val="none"/>
        </w:rPr>
        <w:t xml:space="preserve">, especially in the United States, </w:t>
      </w:r>
      <w:r w:rsidRPr="00107E4B">
        <w:rPr>
          <w:rStyle w:val="Emphasis"/>
        </w:rPr>
        <w:t>will continue to produce scholars and practitioners blind to the extra-judicial or extra-legislative content that “pours in” to the law via literary and other narrative forms of cultural production.</w:t>
      </w:r>
      <w:r w:rsidRPr="00107E4B">
        <w:rPr>
          <w:rStyle w:val="StyleUnderline"/>
          <w:sz w:val="16"/>
          <w:u w:val="none"/>
        </w:rPr>
        <w:t>27 We are particularly interested in reasserting the stakes of law and narrative as defined by Peters</w:t>
      </w:r>
      <w:r w:rsidRPr="00107E4B">
        <w:rPr>
          <w:rStyle w:val="Emphasis"/>
        </w:rPr>
        <w:t>. Law and narrative battles the layman’s misconception or rhetorically constructed notion that the law always represents the “real.”</w:t>
      </w:r>
      <w:r w:rsidRPr="00107E4B">
        <w:rPr>
          <w:rStyle w:val="StyleUnderline"/>
          <w:sz w:val="16"/>
          <w:u w:val="none"/>
        </w:rPr>
        <w:t xml:space="preserve">28 In </w:t>
      </w:r>
      <w:r w:rsidRPr="00107E4B">
        <w:rPr>
          <w:rStyle w:val="Emphasis"/>
        </w:rPr>
        <w:t xml:space="preserve">fact legal narrative sometimes quite openly operates as fiction, and explicitly demands a willing suspension of disbelief in the reader’s mind. At other moments, though, legal narrative can venture unintentionally into fictional speculation. </w:t>
      </w:r>
      <w:r w:rsidRPr="00107E4B">
        <w:rPr>
          <w:rStyle w:val="StyleUnderline"/>
          <w:sz w:val="16"/>
          <w:u w:val="none"/>
        </w:rPr>
        <w:t xml:space="preserve">As Best shows, </w:t>
      </w:r>
      <w:r w:rsidRPr="00107E4B">
        <w:rPr>
          <w:rStyle w:val="Emphasis"/>
        </w:rPr>
        <w:t xml:space="preserve">a tendency to accept without </w:t>
      </w:r>
      <w:r w:rsidRPr="00107E4B">
        <w:rPr>
          <w:rStyle w:val="Emphasis"/>
        </w:rPr>
        <w:lastRenderedPageBreak/>
        <w:t>examination legally significant, yet extra-legal interpretations of disputed concepts and forms can lead to implicit bias that is all the more difficult to eradicate because the hermeneutic and rhetorical operations of legal discourse obscure its presence.</w:t>
      </w:r>
      <w:r w:rsidRPr="00107E4B">
        <w:rPr>
          <w:rStyle w:val="StyleUnderline"/>
          <w:sz w:val="16"/>
          <w:u w:val="none"/>
        </w:rPr>
        <w:t xml:space="preserve">29 At the same time, however, </w:t>
      </w:r>
      <w:r w:rsidRPr="00107E4B">
        <w:rPr>
          <w:rStyle w:val="Emphasis"/>
        </w:rPr>
        <w:t>by insisting the law is ideally a closed system that works most perfectly when it no longer needs to refer beyond itself</w:t>
      </w:r>
      <w:r w:rsidRPr="00107E4B">
        <w:rPr>
          <w:rStyle w:val="StyleUnderline"/>
          <w:sz w:val="16"/>
          <w:u w:val="none"/>
        </w:rPr>
        <w:t xml:space="preserve">, some legal scholars and judicial </w:t>
      </w:r>
      <w:r w:rsidRPr="00107E4B">
        <w:rPr>
          <w:rStyle w:val="Emphasis"/>
        </w:rPr>
        <w:t>authorities create legal arguments that unmoor the law from any grounding in the real, lived experience of the individuals it governs</w:t>
      </w:r>
      <w:r w:rsidRPr="00107E4B">
        <w:rPr>
          <w:rStyle w:val="StyleUnderline"/>
          <w:sz w:val="16"/>
          <w:u w:val="none"/>
        </w:rPr>
        <w:t>. Such is the case with Justice Clarence Thomas’s recent pronouncement in Obergefell v. Hodges that “[s]laves did not lose their dignity (any more than they lost their humanity) because the government allowed them to be enslaved.”30 This bit of sophistry is not even clearly true in an abstract legal sense given that one could hardly be said to own or possess a thing when those rights are neither universally acknowledged in the collective social imagination nor enforceable in a court of law. Of what personal or even symbolic value are one’s dignity and humanity when one can legally be bought, sold, raped, killed, or tortured by one’s legal owners? To accept Thomas’s reasoning on this point, even if it were logical from a purely legal standpoint, requires one to ignore the terrible reality of slavery. Further, judicial arguments over the extent to which the interpretation of legal precedent should refer beyond the four corners of a document might be read, in part, as aesthetic disputes over how much fiction is too much in a legal narrative. Responding to the majority’s central holding in Citizens United v. FEC that government speech regulation cannot discriminate on the basis of a speaker’s corporate identity, Justice John Paul Stevens writes on behalf of the dissenters, “</w:t>
      </w:r>
      <w:r w:rsidRPr="00107E4B">
        <w:rPr>
          <w:rStyle w:val="StyleUnderline"/>
        </w:rPr>
        <w:t>The fact that corporations are different from human beings might seem to need no elaboration, except that the majority opinion almost completely elides it.”</w:t>
      </w:r>
      <w:r w:rsidRPr="00107E4B">
        <w:rPr>
          <w:rStyle w:val="StyleUnderline"/>
          <w:sz w:val="16"/>
          <w:u w:val="none"/>
        </w:rPr>
        <w:t xml:space="preserve">31 Stevens certainly criticizes the majority’s interpretation of the law, but he describes in great detail and seems even more concerned by the majority’s disregard for both history and contemporary reality. In essence, he accuses the majority of adjudicating in a fantasy world: If individuals in our society had infinite free time to listen to and contemplate every last bit of speech uttered by anyone, anywhere; and if broadcast advertisements had no special ability to influence elections apart from the merits of their arguments (to the extent they make any); and if legislators always operated with nothing less than perfect virtue; then I suppose the majority’s premise would be sound. In the real world [emphasis added], we have seen, corporate domination of the airwaves prior to an election may decrease the average listener’s exposure to relevant viewpoints, and it may diminish citizens’ willingness and capacity to participate in the democratic process.32 Kennedy’s majority opinion deals heavily in </w:t>
      </w:r>
      <w:r w:rsidRPr="00107E4B">
        <w:rPr>
          <w:rStyle w:val="Emphasis"/>
        </w:rPr>
        <w:t>abstraction of both “speech” and “personhood” and is replete with prolepses into future scenarios where he imagines how an incorrect decision in the case at hand may have disastrous results down the line.</w:t>
      </w:r>
      <w:r w:rsidRPr="00107E4B">
        <w:rPr>
          <w:rStyle w:val="StyleUnderline"/>
          <w:sz w:val="16"/>
          <w:u w:val="none"/>
        </w:rPr>
        <w:t xml:space="preserve"> Stevens, by contrast, relies on analepsis as well as exhaustive citation to the legal and historical record to justify his argument that his particular interpretation of the law is the only just result for this particular case. </w:t>
      </w:r>
      <w:r w:rsidRPr="00107E4B">
        <w:rPr>
          <w:rStyle w:val="Emphasis"/>
        </w:rPr>
        <w:t>The two opinions not only offer two divergent legal outcomes, they also exhibit very different narrative characteristics. These formal distinctions are more than a matter of mere style, however.</w:t>
      </w:r>
      <w:r w:rsidRPr="00107E4B">
        <w:rPr>
          <w:rStyle w:val="StyleUnderline"/>
          <w:sz w:val="16"/>
          <w:u w:val="none"/>
        </w:rPr>
        <w:t xml:space="preserve"> They substantively affect the kind of story each justice is able to tell about the law, and reflect their implicit and perhaps unexamined decisions </w:t>
      </w:r>
      <w:r w:rsidRPr="00107E4B">
        <w:rPr>
          <w:rStyle w:val="StyleUnderline"/>
        </w:rPr>
        <w:t>about the poetics of legal narrative – that is their ideas about things such as what a legal narrative should include, the order in which to tell it, whose perspective to foreground, the sources from which to draw, the extent to which it can refer or allude to other narratives and the substance of those allusions</w:t>
      </w:r>
      <w:r w:rsidRPr="00107E4B">
        <w:rPr>
          <w:rStyle w:val="StyleUnderline"/>
          <w:sz w:val="16"/>
          <w:u w:val="none"/>
        </w:rPr>
        <w:t xml:space="preserve">, whether it follows the conventions of allegory or historiography or something in between. In his essay “The Law Wishes to Have a Formal Existence,” Stanley Fish argues that </w:t>
      </w:r>
      <w:r w:rsidRPr="00107E4B">
        <w:rPr>
          <w:rStyle w:val="StyleUnderline"/>
        </w:rPr>
        <w:t>“the law is continually creating and recreating itself out of the very materials and forces it is obliged, by the very desire to be law, to push away.”</w:t>
      </w:r>
      <w:r w:rsidRPr="00107E4B">
        <w:rPr>
          <w:rStyle w:val="StyleUnderline"/>
          <w:sz w:val="16"/>
          <w:u w:val="none"/>
        </w:rPr>
        <w:t xml:space="preserve">33 As Fish describes it, </w:t>
      </w:r>
      <w:r w:rsidRPr="00107E4B">
        <w:rPr>
          <w:rStyle w:val="Emphasis"/>
        </w:rPr>
        <w:t>the law’s authority as law stems in large part from the manner in which legal narrative disavows</w:t>
      </w:r>
      <w:r w:rsidRPr="00107E4B">
        <w:rPr>
          <w:rStyle w:val="StyleUnderline"/>
          <w:sz w:val="16"/>
          <w:u w:val="none"/>
        </w:rPr>
        <w:t>, through fancy rhetorical “legerdemain,” its origins in linguistic interpretation and situational morality.34 Law and narrative has always meant more than this, as the papers on our panel and those printed here make clear. There remains much work to do. Acknowledging and exploring the complex interdependence between legal and literary modes of cultural production might bring greater transparency and flexibility to the legal process</w:t>
      </w:r>
      <w:r w:rsidRPr="00107E4B">
        <w:rPr>
          <w:rStyle w:val="Emphasis"/>
        </w:rPr>
        <w:t>. Rather than keeping up a false pretense that the law is a closed formal system, and insisting it must be freed from contaminating outside influences, we should spend more time examining how the law participates within a larger narrative project.</w:t>
      </w:r>
      <w:r w:rsidRPr="00107E4B">
        <w:rPr>
          <w:rStyle w:val="StyleUnderline"/>
          <w:sz w:val="16"/>
          <w:u w:val="none"/>
        </w:rPr>
        <w:t xml:space="preserve">35 The overview we offer here, the essays by Bricker and Waugh Lagji, and the position statements offered by the other participants in the original MLA roundtable, reveal both how thoroughly narrative suffuses all legal practice and how much work the narratives produced in and by the law do in the world. In reasserting these suppressed but, we hope, unavoidable facts, we might establish a more systematic and productive – as opposed to obscure and haphazard – evolutionary relationship between law and other narrative forms. Such an approach may empower petitioners and litigants by providing a more complete picture of the discursive process from which the law emerges and yet of which it remains only a part. It could also foster greater mindfulness and clarity in legislative and judicial </w:t>
      </w:r>
      <w:r w:rsidRPr="00107E4B">
        <w:rPr>
          <w:rStyle w:val="StyleUnderline"/>
          <w:sz w:val="16"/>
          <w:u w:val="none"/>
        </w:rPr>
        <w:lastRenderedPageBreak/>
        <w:t>decision-making by creating a broader awareness of how deeply legal narratives draw upon and how profoundly they influence the creation of a collective sociocultural identity</w:t>
      </w:r>
    </w:p>
    <w:p w14:paraId="43B24798" w14:textId="77777777" w:rsidR="007E3D3F" w:rsidRPr="00107E4B" w:rsidRDefault="007E3D3F" w:rsidP="007E3D3F"/>
    <w:p w14:paraId="29715BA6" w14:textId="77777777" w:rsidR="007E3D3F" w:rsidRPr="00107E4B" w:rsidRDefault="007E3D3F" w:rsidP="007E3D3F">
      <w:pPr>
        <w:pStyle w:val="Heading4"/>
        <w:rPr>
          <w:rStyle w:val="Style13ptBold"/>
          <w:b/>
          <w:bCs w:val="0"/>
        </w:rPr>
      </w:pPr>
      <w:r w:rsidRPr="00107E4B">
        <w:rPr>
          <w:rStyle w:val="Style13ptBold"/>
          <w:b/>
        </w:rPr>
        <w:t xml:space="preserve">Considering all forms of dissent is key to democracy </w:t>
      </w:r>
    </w:p>
    <w:p w14:paraId="7CD5C971" w14:textId="77777777" w:rsidR="007E3D3F" w:rsidRPr="00107E4B" w:rsidRDefault="007E3D3F" w:rsidP="007E3D3F">
      <w:r w:rsidRPr="00107E4B">
        <w:rPr>
          <w:rStyle w:val="Style13ptBold"/>
        </w:rPr>
        <w:t xml:space="preserve">Sparks 97, </w:t>
      </w:r>
      <w:r w:rsidRPr="00107E4B">
        <w:t xml:space="preserve">Sparks, Holloway. “Dissident Citizenship: Democratic Theory, Political Courage, and Activist Women.” Hypatia, vol. 12, no. 4, 1997, pp. 74–110. JSTOR, JSTOR, </w:t>
      </w:r>
      <w:hyperlink r:id="rId27" w:history="1">
        <w:r w:rsidRPr="00107E4B">
          <w:rPr>
            <w:rStyle w:val="Hyperlink"/>
          </w:rPr>
          <w:t>www.jstor.org/stable/3810734</w:t>
        </w:r>
      </w:hyperlink>
      <w:r w:rsidRPr="00107E4B">
        <w:t>.</w:t>
      </w:r>
    </w:p>
    <w:p w14:paraId="309DE199" w14:textId="77777777" w:rsidR="007E3D3F" w:rsidRPr="00107E4B" w:rsidRDefault="007E3D3F" w:rsidP="007E3D3F">
      <w:pPr>
        <w:rPr>
          <w:rStyle w:val="Style13ptBold"/>
          <w:b w:val="0"/>
          <w:bCs w:val="0"/>
          <w:sz w:val="22"/>
          <w:u w:val="single"/>
        </w:rPr>
      </w:pPr>
      <w:r w:rsidRPr="00107E4B">
        <w:rPr>
          <w:sz w:val="16"/>
        </w:rPr>
        <w:t xml:space="preserve">The participatory and deliberative views of citizenship as citizen participation and joint deliberation and action offer provocative visions of the possibilities for democratic societies in the late twentieth century. Strikingly absent from this work, however, is sustained attention to the role of dissent in democratic life. </w:t>
      </w:r>
      <w:r w:rsidRPr="00107E4B">
        <w:rPr>
          <w:rStyle w:val="StyleUnderline"/>
        </w:rPr>
        <w:t>Theorists who do talk about dissent, furthermore, tend to raise the issue only in terms of verbal deliberative dissent.</w:t>
      </w:r>
      <w:r w:rsidRPr="00107E4B">
        <w:rPr>
          <w:sz w:val="16"/>
        </w:rPr>
        <w:t xml:space="preserve"> For example, Barber confines his discussion of dissent to his chapter on democratic talk and judgment.’ “A healthy democratic community,” Barber notes, will leave room for the expression of distrust, dissent, or just plain opposition, even in lost causes where dissenters are very much in the minority. Here the function of talk is to allow people to vent their grievances or frustration or opposition, not in hopes of moving others but in order to give public status to their strongly held personal convictions. The cry “In spite of all, I believe , . .” is the hallmark of such usage, and conscientious objection to military service is an illuminating example. (Barber 1984,192) Dissenters can also register continuing opposition even after a decision has been made. “I am part of the community, I participated in the talk and deliberation leading to the decision, and so I regard myself as bound; but let it be known that I do not think we have made the right decision,” says the dissenter in a strong democracy. He means thus not to change the decision this time, for it has been taken, but to bear witness to another point of view (and thereby to keep the issue on the public agenda). (Barber 1984, 192)6 As Barber’s examples suggest, </w:t>
      </w:r>
      <w:r w:rsidRPr="00107E4B">
        <w:rPr>
          <w:rStyle w:val="StyleUnderline"/>
        </w:rPr>
        <w:t>dissent is not simply resistance</w:t>
      </w:r>
      <w:r w:rsidRPr="00107E4B">
        <w:rPr>
          <w:sz w:val="16"/>
        </w:rPr>
        <w:t xml:space="preserve"> (e.g., Cooper 1995, chs. 2 and 7). </w:t>
      </w:r>
      <w:r w:rsidRPr="00107E4B">
        <w:rPr>
          <w:rStyle w:val="StyleUnderline"/>
        </w:rPr>
        <w:t>Dissenters do not exit the political collective when they “lose” in a discussion.</w:t>
      </w:r>
      <w:r w:rsidRPr="00107E4B">
        <w:rPr>
          <w:sz w:val="16"/>
        </w:rPr>
        <w:t xml:space="preserve"> </w:t>
      </w:r>
      <w:r w:rsidRPr="00107E4B">
        <w:rPr>
          <w:rStyle w:val="StyleUnderline"/>
        </w:rPr>
        <w:t>Neither do they simply change their minds, or remain silent. Instead, to dissent is to maintain a principled oppositional stance against a more powerful group while remaining politically and publicly engaged</w:t>
      </w:r>
      <w:r w:rsidRPr="00107E4B">
        <w:rPr>
          <w:sz w:val="16"/>
        </w:rPr>
        <w:t>. But the dissent that Barber seems to have in mind here passes verbally between people who remain participatory and deliberative equals, people who have equal standing and membership within the strong democratic public. “I Holloway Sparks 83 participated in the talk and deliberation leading to the decision,” says Barber’s dissenter. Barber’s dissenting actions are undertaken by equals who are only temporarily ou[t]numbered during one episode of public deliberation. But why limit dissent to interactions within a decisionmaking community, between deliberative partners? Barber’s vision of citizenship and the minimal role reserved for dissent would exclude from the realm of legitimate public action the important activities undertaken by those citizens who are not in fact participatory or deliberative equals. Barber and indeed most democratic theorists pay no attention to actions that challenge the structure or practices of political institutions, that highlight inequality and exclusion within the collective, that assert independence on the part of those citizens who are less powerful, that are intended to educate or change the minds of the more powerful, or that challenge the boundaries of the political itself</w:t>
      </w:r>
      <w:r w:rsidRPr="00107E4B">
        <w:rPr>
          <w:rStyle w:val="StyleUnderline"/>
        </w:rPr>
        <w:t>. By focusing almost exclusively on the debates and deliberative interactions of those citizens on the “inside,” most democratic theorists have missed the important dissident activities of those citizens on the “outside.”</w:t>
      </w:r>
      <w:r w:rsidRPr="00107E4B">
        <w:rPr>
          <w:sz w:val="16"/>
        </w:rPr>
        <w:t xml:space="preserve"> </w:t>
      </w:r>
      <w:r w:rsidRPr="00107E4B">
        <w:rPr>
          <w:rStyle w:val="StyleUnderline"/>
        </w:rPr>
        <w:t>We clearly need to consider these forms of dissident citizen action as central to an adequate conception of democratic citizenship. To dissent, whether one has an acknowledged place at the deliberative table or not, is to be an engaged, active, self-govemed citizen. To dissent when one faces domination and oppression, furthermore, marks a level of commitment to participatory democracy rarely matched by nondissenting citizens. Dissent has been a persistent, if sometimes vexing, visitor in the house of democracy; perhaps it is time to unpack its bags, welcome it home, and acknowledge its rightful place in our democratic lives.</w:t>
      </w:r>
    </w:p>
    <w:p w14:paraId="33E473A3" w14:textId="77777777" w:rsidR="007E3D3F" w:rsidRPr="00107E4B" w:rsidRDefault="007E3D3F" w:rsidP="007E3D3F">
      <w:pPr>
        <w:pStyle w:val="Heading4"/>
        <w:rPr>
          <w:rStyle w:val="Style13ptBold"/>
          <w:b/>
          <w:bCs w:val="0"/>
        </w:rPr>
      </w:pPr>
      <w:r w:rsidRPr="00107E4B">
        <w:rPr>
          <w:rStyle w:val="Style13ptBold"/>
          <w:b/>
        </w:rPr>
        <w:lastRenderedPageBreak/>
        <w:t>A combination of dissent and confidence provides an avenue for oppressed communities to participate and engage in politics</w:t>
      </w:r>
      <w:r w:rsidRPr="00107E4B">
        <w:rPr>
          <w:rStyle w:val="Style13ptBold"/>
        </w:rPr>
        <w:t xml:space="preserve">. </w:t>
      </w:r>
    </w:p>
    <w:p w14:paraId="5E3511E0" w14:textId="77777777" w:rsidR="007E3D3F" w:rsidRPr="00107E4B" w:rsidRDefault="007E3D3F" w:rsidP="007E3D3F">
      <w:r w:rsidRPr="00107E4B">
        <w:rPr>
          <w:rStyle w:val="Style13ptBold"/>
        </w:rPr>
        <w:t xml:space="preserve">Sparks 97, </w:t>
      </w:r>
      <w:r w:rsidRPr="00107E4B">
        <w:t xml:space="preserve">Sparks, Holloway. “Dissident Citizenship: Democratic Theory, Political Courage, and Activist Women.” Hypatia, vol. 12, no. 4, 1997, pp. 74–110. JSTOR, JSTOR, </w:t>
      </w:r>
      <w:hyperlink r:id="rId28" w:history="1">
        <w:r w:rsidRPr="00107E4B">
          <w:rPr>
            <w:rStyle w:val="Hyperlink"/>
          </w:rPr>
          <w:t>www.jstor.org/stable/3810734</w:t>
        </w:r>
      </w:hyperlink>
      <w:r w:rsidRPr="00107E4B">
        <w:t>.</w:t>
      </w:r>
    </w:p>
    <w:p w14:paraId="34FB9A2A" w14:textId="77777777" w:rsidR="007E3D3F" w:rsidRPr="00107E4B" w:rsidRDefault="007E3D3F" w:rsidP="007E3D3F">
      <w:pPr>
        <w:rPr>
          <w:sz w:val="16"/>
        </w:rPr>
      </w:pPr>
      <w:r w:rsidRPr="00107E4B">
        <w:rPr>
          <w:sz w:val="16"/>
        </w:rPr>
        <w:t xml:space="preserve">In this essay, [I] have argued that </w:t>
      </w:r>
      <w:r w:rsidRPr="00107E4B">
        <w:rPr>
          <w:rStyle w:val="StyleUnderline"/>
        </w:rPr>
        <w:t>an adequate account of citizenship should recognize both dissent and courage as crucial elements of democratic life</w:t>
      </w:r>
      <w:r w:rsidRPr="00107E4B">
        <w:rPr>
          <w:sz w:val="16"/>
        </w:rPr>
        <w:t xml:space="preserve">. In particular, </w:t>
      </w:r>
      <w:r w:rsidRPr="00107E4B">
        <w:rPr>
          <w:rStyle w:val="StyleUnderline"/>
        </w:rPr>
        <w:t>a theoretical conception of dissident citizenship should attend to four dimensions of dissent: oppositional, democratic, noninstitutionalized interactions between unequal publics; discursive, performative, organizational, and “everyday” dissenting actions</w:t>
      </w:r>
      <w:r w:rsidRPr="00107E4B">
        <w:rPr>
          <w:sz w:val="16"/>
        </w:rPr>
        <w:t xml:space="preserve"> within and among those publics that augment or replace institutionalized forms of democratic opposition; the material and institutional conditions that shape the dissenting actions between unequal publics; and the ideas and discourses that shape and influence dissidence, especially discourses about democracy, citizenship, dissent, and courage. There are five broader contributions of this perspective on dissent and courage. First, by drawing attention to the importance of dissident democratic citizenship, this approach encourages democratic theorists to pay closer attention to dissident activities, and consequently to those people for whom the promise of democracy has not been fulfilled. By recognizing the political agency of dissidents and “marginals” as the agency of citizens, democratic theorists can provide a richer account of democratic citizenship than can theories that focus solely on sanctioned deliberation. Second, by incorporating an ethic of political courage into our conception of citizenship, this approach fills an additional gap in our understanding of democracy as joint deliberation and action. Political courage is important because it enables us to act and communicate when faced with fear and uncertainty. Fear and uncertainty are certainly confronted by dissidents who act in a context of inequality, but this approach also suggests that courage is Holloway Sparks 101 necessary for all citizens, not just those engaged in dissent. As long as we think engaging in politics is something more than “who gets what, when, and how,” the challenges of conflict, connection, and accountability will lie at the heart of being a citizen. Even if we manage to eliminate the major inequalities that characterize our current political environment, engaging in conflict and connection are risky activities and will not happen (or will not happen well) without courageous citizens. By scrutinizing the courage necessary for dissidence, therefore, this perspective also explores the nature of a practice that is fundamental to human beings who wish to communicate and act together in the world. Third, this approach highlights the limitations of the public-private split as it is commonly understood and incorporated into democratic theories of citizenship. </w:t>
      </w:r>
      <w:r w:rsidRPr="00107E4B">
        <w:rPr>
          <w:rStyle w:val="StyleUnderline"/>
        </w:rPr>
        <w:t>By attending to the dissident practices of marginals, and especially the dissident practices of women marginals, this approach encourages democratic theorists to broaden their understanding of where political participation takes place, and to credit women for their public activities</w:t>
      </w:r>
      <w:r w:rsidRPr="00107E4B">
        <w:rPr>
          <w:sz w:val="16"/>
        </w:rPr>
        <w:t xml:space="preserve"> (including dissent) </w:t>
      </w:r>
      <w:r w:rsidRPr="00107E4B">
        <w:rPr>
          <w:rStyle w:val="StyleUnderline"/>
        </w:rPr>
        <w:t>that occur in spheres and locations traditionally viewed as private or apolitical</w:t>
      </w:r>
      <w:r w:rsidRPr="00107E4B">
        <w:rPr>
          <w:sz w:val="16"/>
        </w:rPr>
        <w:t xml:space="preserve">. Fourth, this approach encourages democratic theorists and others interested in citizenship to examine the impact of race, class, gender, and sexuality on democratic participation. Critically exploring how the dissident and deliberative practices of women and other marginals are negotiated and constructed respects the feminist call to examine gender as it intersects and interacts with race, class, and sexuality in the world. Finally, </w:t>
      </w:r>
      <w:r w:rsidRPr="00107E4B">
        <w:rPr>
          <w:rStyle w:val="StyleUnderline"/>
        </w:rPr>
        <w:t>this approach participates in the reclaiming of courageous dissent as an important political practice for women and other agents who face discrimination and oppression.</w:t>
      </w:r>
      <w:r w:rsidRPr="00107E4B">
        <w:rPr>
          <w:sz w:val="16"/>
        </w:rPr>
        <w:t xml:space="preserve"> </w:t>
      </w:r>
      <w:r w:rsidRPr="00107E4B">
        <w:rPr>
          <w:rStyle w:val="StyleUnderline"/>
        </w:rPr>
        <w:t>When women and other dissidents conceive of themselves as courageous, new possibilities for action as citizens are opened</w:t>
      </w:r>
      <w:r w:rsidRPr="00107E4B">
        <w:rPr>
          <w:sz w:val="16"/>
        </w:rPr>
        <w:t>. As Mary Dietz has suggested, by remembering and bringing to light the many examples of courageous democratic practices already in existence, we provide inspiration for activists still to come (Dietz 1987, 79).</w:t>
      </w:r>
    </w:p>
    <w:p w14:paraId="3356044A" w14:textId="77777777" w:rsidR="007E3D3F" w:rsidRPr="00107E4B" w:rsidRDefault="007E3D3F" w:rsidP="007E3D3F">
      <w:pPr>
        <w:pStyle w:val="Heading2"/>
      </w:pPr>
      <w:r w:rsidRPr="00107E4B">
        <w:lastRenderedPageBreak/>
        <w:t xml:space="preserve">Law = Pre-req to Narratives </w:t>
      </w:r>
    </w:p>
    <w:p w14:paraId="05EF6C38" w14:textId="77777777" w:rsidR="007E3D3F" w:rsidRPr="00107E4B" w:rsidRDefault="007E3D3F" w:rsidP="007E3D3F">
      <w:pPr>
        <w:pStyle w:val="Heading4"/>
        <w:rPr>
          <w:iCs w:val="0"/>
          <w:sz w:val="32"/>
        </w:rPr>
      </w:pPr>
      <w:r w:rsidRPr="00107E4B">
        <w:rPr>
          <w:rStyle w:val="Emphasis"/>
          <w:b/>
          <w:sz w:val="32"/>
          <w:u w:val="none"/>
        </w:rPr>
        <w:t>The law shapes how we interpret and tell the narratives we create</w:t>
      </w:r>
    </w:p>
    <w:p w14:paraId="4D1751F2" w14:textId="77777777" w:rsidR="007E3D3F" w:rsidRPr="00107E4B" w:rsidRDefault="007E3D3F" w:rsidP="007E3D3F">
      <w:pPr>
        <w:rPr>
          <w:b/>
          <w:sz w:val="26"/>
        </w:rPr>
      </w:pPr>
      <w:r w:rsidRPr="00107E4B">
        <w:rPr>
          <w:rStyle w:val="Style13ptBold"/>
        </w:rPr>
        <w:t>Wharton ‘16</w:t>
      </w:r>
    </w:p>
    <w:p w14:paraId="12AF9432" w14:textId="77777777" w:rsidR="007E3D3F" w:rsidRPr="00107E4B" w:rsidRDefault="007E3D3F" w:rsidP="007E3D3F">
      <w:pPr>
        <w:rPr>
          <w:rStyle w:val="Emphasis"/>
          <w:iCs w:val="0"/>
          <w:sz w:val="18"/>
          <w:szCs w:val="18"/>
          <w:u w:val="none"/>
        </w:rPr>
      </w:pPr>
      <w:r w:rsidRPr="00107E4B">
        <w:rPr>
          <w:rStyle w:val="Style13ptBold"/>
          <w:sz w:val="18"/>
          <w:szCs w:val="18"/>
        </w:rPr>
        <w:t xml:space="preserve">(Robin Wharton, Georgia State University, Derek Miller, Harvard University, “New Directions in Law and Narrative”, Law, Culture and the Humanities 1–11, pp. 5-6, Accessed 7/29/18, PAS). </w:t>
      </w:r>
    </w:p>
    <w:p w14:paraId="74D50F7D" w14:textId="77777777" w:rsidR="007E3D3F" w:rsidRPr="00107E4B" w:rsidRDefault="007E3D3F" w:rsidP="007E3D3F">
      <w:pPr>
        <w:rPr>
          <w:rStyle w:val="StyleUnderline"/>
        </w:rPr>
      </w:pPr>
      <w:r w:rsidRPr="00107E4B">
        <w:rPr>
          <w:sz w:val="10"/>
        </w:rPr>
        <w:t xml:space="preserve">While the examples above focus on what narrative means to law, </w:t>
      </w:r>
      <w:r w:rsidRPr="00107E4B">
        <w:rPr>
          <w:rStyle w:val="Emphasis"/>
        </w:rPr>
        <w:t>law</w:t>
      </w:r>
      <w:r w:rsidRPr="00107E4B">
        <w:rPr>
          <w:sz w:val="10"/>
        </w:rPr>
        <w:t xml:space="preserve"> also</w:t>
      </w:r>
      <w:r w:rsidRPr="00107E4B">
        <w:rPr>
          <w:rStyle w:val="Emphasis"/>
        </w:rPr>
        <w:t xml:space="preserve"> means much to narrative</w:t>
      </w:r>
      <w:r w:rsidRPr="00107E4B">
        <w:rPr>
          <w:sz w:val="10"/>
        </w:rPr>
        <w:t>, particularly for writers such as Hayden White. White’s discussion of Hegel and the state’s role in history’s genesis highlights the law as an essential condition of narrative: “</w:t>
      </w:r>
      <w:r w:rsidRPr="00107E4B">
        <w:rPr>
          <w:rStyle w:val="Emphasis"/>
        </w:rPr>
        <w:t>Where there is no rule of law, there can be neither a subject nor the kind of event which lends itself to narrative representation.”</w:t>
      </w:r>
      <w:r w:rsidRPr="00107E4B">
        <w:rPr>
          <w:sz w:val="10"/>
        </w:rPr>
        <w:t xml:space="preserve">14 For White, </w:t>
      </w:r>
      <w:r w:rsidRPr="00107E4B">
        <w:rPr>
          <w:rStyle w:val="Emphasis"/>
        </w:rPr>
        <w:t>“the reality that lends itself to narrative representation is the conflict between desire and the law.” Perhaps even more significantly, “some notion of the legal subject” must be present to “serve as the agent, agency, and subject of historical narrative in all of its manifestations, from the annals through the chronicle to the historical discourse as we know it in its modern realizations and failures.” Notions of legal subjectivity underlie depictions of the subject in narrative, whether that narrative subject acts within commonly accepted legal bounds placed on individual agency, or whether that subject transgresses or transcends such limits.</w:t>
      </w:r>
      <w:r w:rsidRPr="00107E4B">
        <w:rPr>
          <w:sz w:val="10"/>
        </w:rPr>
        <w:t xml:space="preserve"> In White’s construction of history, </w:t>
      </w:r>
      <w:r w:rsidRPr="00107E4B">
        <w:rPr>
          <w:rStyle w:val="StyleUnderline"/>
        </w:rPr>
        <w:t>the law forms a sort of regulatory backdrop against which events unfold and become visible and relatable as narrative: If every fully realized story, however we define that familiar but conceptually elusive entity, is a kind of allegory, points to a moral, or endows events, whether real or imaginary</w:t>
      </w:r>
      <w:r w:rsidRPr="00107E4B">
        <w:rPr>
          <w:sz w:val="10"/>
        </w:rPr>
        <w:t>, with a significance that they do not possess as a mere sequence, then it seems possible to conclude that every historical narrative has as its latent or manifest purpose the desire to moralize the events of which it treats. Where there is ambiguity or ambivalence regarding the status of the legal system, which is the form in which the subject encounters most immediately the social system in which he is enjoined to achieve a full humanity, the ground on which any closure of a story one might wish to tell about a past, whether it be a private or public past, is lacking. And this suggests that</w:t>
      </w:r>
      <w:r w:rsidRPr="00107E4B">
        <w:rPr>
          <w:rStyle w:val="StyleUnderline"/>
        </w:rPr>
        <w:t xml:space="preserve"> narrativity, certainly in factual storytelling and probably in fictional storytelling as well, is intimately related to, if not a function of, the impulse to moralize reality, that is, to identify it with the social system that is the source of any morality that we can imagine.</w:t>
      </w:r>
      <w:r w:rsidRPr="00107E4B">
        <w:rPr>
          <w:sz w:val="10"/>
        </w:rPr>
        <w:t xml:space="preserve">16 The law does more than circumscribe action within a particular social context; it also exercises a profound influence over the literary imagination. Mary L. Dudziak has recently described “the way law makes an indelible mark, or acts as a legitimizing force, affecting what historical actors imagine to be possible,” in the field of international relations.17 As White challenges us to remember, </w:t>
      </w:r>
      <w:r w:rsidRPr="00107E4B">
        <w:rPr>
          <w:rStyle w:val="Emphasis"/>
        </w:rPr>
        <w:t xml:space="preserve">law contributes substantially to how we write and interpret the stories that we tell about ourselves and our history. </w:t>
      </w:r>
      <w:r w:rsidRPr="00107E4B">
        <w:rPr>
          <w:sz w:val="10"/>
        </w:rPr>
        <w:t xml:space="preserve">We only know the law through the narratives we create about it – narratives that include statutes and judicial decisions. And these legal narratives, like medieval chronicles and Victorian novels, are generated by a fundamental epistemological “impulse to moralize reality, that is to identify it with the social system that is the source of any morality that we can imagine,”18 or to put it another way, a desire to know the law. At the same time, the law itself provides an essential condition for the legibility of all narratives, both legal and non-legal. For example, Stephen Best has asked us to consider, “How does the ‘form’ in the commodity form generate social phenomena in ways that are neither mechanical (historical causality) nor fully contingent (analogy)?”19 In stitching together a history of property law in the United States, Best demonstrates how a particular “figure of the person,” one in which personhood itself is increasingly figured as a species of property in a wide variety of contexts, moved from law into culture and from culture into the law.20 As a consequence, in spite of the potential discursive discontinuities created by emancipation and constitutional amendment, antebellum juridical constructions such as the “fugitive” continued to inform the genesis and evolution of Equal Protection jurisprudence after the Civil War.21 To see law and narrative as mutually interdependent as Best or White does is to understand, as Jackson suggests, that the “events” in a legal narrative include more than the transaction that gives rise to a particular case, or the actions of lawyers, litigants, and witnesses at trial. Such a perspective also opens the door to considering aesthetics, poetics, and other aspects of form as essential characteristics of sound legal decision-making. They are not mere ornamentation of judicial process but perhaps as influential in shaping the judicial process as the doctrine of stare decisis or the rules of evidence. </w:t>
      </w:r>
      <w:r w:rsidRPr="00107E4B">
        <w:rPr>
          <w:rStyle w:val="StyleUnderline"/>
        </w:rPr>
        <w:t>If law is narrative then we must read legal narratives as attempts at representation (rather than acts of perfect mimesis), attempts that depend upon familiar strategies and tropes found in other narrative genres, including fiction.</w:t>
      </w:r>
    </w:p>
    <w:p w14:paraId="2CC019A2" w14:textId="77777777" w:rsidR="007E3D3F" w:rsidRPr="00107E4B" w:rsidRDefault="007E3D3F" w:rsidP="007E3D3F"/>
    <w:p w14:paraId="60A432FE" w14:textId="77777777" w:rsidR="007E3D3F" w:rsidRPr="00107E4B" w:rsidRDefault="007E3D3F" w:rsidP="007E3D3F">
      <w:pPr>
        <w:pStyle w:val="Heading2"/>
      </w:pPr>
      <w:r w:rsidRPr="00107E4B">
        <w:lastRenderedPageBreak/>
        <w:t xml:space="preserve">Limits </w:t>
      </w:r>
    </w:p>
    <w:p w14:paraId="16451DA2" w14:textId="77777777" w:rsidR="007E3D3F" w:rsidRPr="00107E4B" w:rsidRDefault="007E3D3F" w:rsidP="007E3D3F">
      <w:pPr>
        <w:pStyle w:val="Heading4"/>
      </w:pPr>
      <w:r w:rsidRPr="00107E4B">
        <w:t>Resolutional Debates are key to clash</w:t>
      </w:r>
    </w:p>
    <w:p w14:paraId="748E7DC8" w14:textId="77777777" w:rsidR="007E3D3F" w:rsidRPr="00107E4B" w:rsidRDefault="007E3D3F" w:rsidP="007E3D3F">
      <w:pPr>
        <w:rPr>
          <w:rStyle w:val="StyleUnderline"/>
        </w:rPr>
      </w:pPr>
      <w:r w:rsidRPr="00107E4B">
        <w:t xml:space="preserve">Ryan </w:t>
      </w:r>
      <w:r w:rsidRPr="00107E4B">
        <w:rPr>
          <w:rFonts w:eastAsiaTheme="majorEastAsia" w:cstheme="majorBidi"/>
          <w:b/>
          <w:iCs/>
          <w:sz w:val="26"/>
        </w:rPr>
        <w:t>Galloway 07</w:t>
      </w:r>
      <w:r w:rsidRPr="00107E4B">
        <w:t xml:space="preserve"> DINNER AND CONVERSATION AT THE ARGUMENTATIVE TABLE: RECONCEPTUALIZING DEBATE AS AN ARGUMENTATIVE DIALOGUE, Samford University Contemporary Argumentation and Debate The Journal of the Cross Examination Debate Association Volume 28 2007 Edited by Allan D. Louden Wake Forest University // AH</w:t>
      </w:r>
    </w:p>
    <w:p w14:paraId="197C48C3" w14:textId="77777777" w:rsidR="007E3D3F" w:rsidRPr="00107E4B" w:rsidRDefault="007E3D3F" w:rsidP="007E3D3F">
      <w:r w:rsidRPr="00107E4B">
        <w:rPr>
          <w:rStyle w:val="StyleUnderline"/>
        </w:rPr>
        <w:t>Much of the controversy involves the resolution itself, and whether teams should have to defend the resolution, or whether they can mount a broader criticism of the activity</w:t>
      </w:r>
      <w:r w:rsidRPr="00107E4B">
        <w:t xml:space="preserve"> (Snider, 2003). Steve Woods notes that, “Academic debate is now entering a third state, a critical turn in the activity. The identifying element of this change is that abandonment of the role playing that the construct of fiat enabled” (Woods, 2003, p. 87). </w:t>
      </w:r>
    </w:p>
    <w:p w14:paraId="500011EB" w14:textId="77777777" w:rsidR="007E3D3F" w:rsidRPr="00107E4B" w:rsidRDefault="007E3D3F" w:rsidP="007E3D3F">
      <w:pPr>
        <w:rPr>
          <w:rStyle w:val="StyleUnderline"/>
        </w:rPr>
      </w:pPr>
      <w:r w:rsidRPr="00107E4B">
        <w:t>This journal previously (2004) addressed issues regarding the growing divide in policy debate. However</w:t>
      </w:r>
      <w:r w:rsidRPr="00107E4B">
        <w:rPr>
          <w:rStyle w:val="StyleUnderline"/>
        </w:rPr>
        <w:t xml:space="preserve">, the role of the debate resolution in the clash of civilizations was largely ignored. Here, I defend the notion that activist approaches of critical debaters can best flourish if grounded in topical advocacy defined in terms of the resolution. This approach encourages the pedagogical benefits of debates about discourse and representations while preserving the educational advantages of switch-side debate. </w:t>
      </w:r>
    </w:p>
    <w:p w14:paraId="2DBC3D3D" w14:textId="77777777" w:rsidR="007E3D3F" w:rsidRPr="00107E4B" w:rsidRDefault="007E3D3F" w:rsidP="007E3D3F">
      <w:r w:rsidRPr="00107E4B">
        <w:rPr>
          <w:rStyle w:val="StyleUnderline"/>
        </w:rPr>
        <w:t>Debaters’ increased reliance on speech act and performativity theory in debates generates a need to step back and re-conceptualize the false dilemma of the “policy only” or “kritik only” perspective.</w:t>
      </w:r>
      <w:r w:rsidRPr="00107E4B">
        <w:t xml:space="preserve"> </w:t>
      </w:r>
      <w:r w:rsidRPr="00107E4B">
        <w:rPr>
          <w:rStyle w:val="StyleUnderline"/>
        </w:rPr>
        <w:t>Policy debate’s theoretical foundations should find root in an overarching theory of debate that incorporates both policy and critical exchanges</w:t>
      </w:r>
      <w:r w:rsidRPr="00107E4B">
        <w:t xml:space="preserve">. Here, I will seek to </w:t>
      </w:r>
      <w:r w:rsidRPr="00107E4B">
        <w:rPr>
          <w:rStyle w:val="Emphasis"/>
        </w:rPr>
        <w:t>conceptualize debate as a dialogue</w:t>
      </w:r>
      <w:r w:rsidRPr="00107E4B">
        <w:t xml:space="preserve">, following the theoretical foundations of Mikhail Bakhtin (1990) and Star Muir (1993) that connects the benefits of dialogical modes of argument to competitive debate. Ideally, the resolution should function to negotiate traditional and activist approaches. </w:t>
      </w:r>
    </w:p>
    <w:p w14:paraId="298610F9" w14:textId="77777777" w:rsidR="007E3D3F" w:rsidRPr="00107E4B" w:rsidRDefault="007E3D3F" w:rsidP="007E3D3F">
      <w:pPr>
        <w:rPr>
          <w:b/>
          <w:iCs/>
          <w:u w:val="single"/>
        </w:rPr>
      </w:pPr>
      <w:r w:rsidRPr="00107E4B">
        <w:rPr>
          <w:rStyle w:val="StyleUnderline"/>
        </w:rPr>
        <w:t>Taking the resolution as an invitation to a dialogue about a particular set of ideas would preserve the affirmative team’s obligation to uphold the debate resolution. At the same time, this approach licenses debaters to argue both discursive and performative advantages.</w:t>
      </w:r>
      <w:r w:rsidRPr="00107E4B">
        <w:t xml:space="preserve"> </w:t>
      </w:r>
      <w:r w:rsidRPr="00107E4B">
        <w:rPr>
          <w:rStyle w:val="Emphasis"/>
        </w:rPr>
        <w:t>While this view is broader than many policy teams would like, and certainly more limited than many critical teams would prefer, this approach captures the advantages of both modes of debate while maintaining the stable axis point of argumentation for a full clash of ideas around these values.</w:t>
      </w:r>
    </w:p>
    <w:p w14:paraId="1745E2B2" w14:textId="77777777" w:rsidR="007E3D3F" w:rsidRPr="00107E4B" w:rsidRDefault="007E3D3F" w:rsidP="007E3D3F">
      <w:pPr>
        <w:pStyle w:val="Heading2"/>
      </w:pPr>
      <w:r w:rsidRPr="00107E4B">
        <w:lastRenderedPageBreak/>
        <w:t xml:space="preserve">State Edu Key  </w:t>
      </w:r>
    </w:p>
    <w:p w14:paraId="6F169004" w14:textId="77777777" w:rsidR="007E3D3F" w:rsidRPr="00107E4B" w:rsidRDefault="007E3D3F" w:rsidP="007E3D3F">
      <w:pPr>
        <w:pStyle w:val="Heading4"/>
      </w:pPr>
      <w:r w:rsidRPr="00107E4B">
        <w:t>The USFG is the only entity that can repair the immigration system</w:t>
      </w:r>
    </w:p>
    <w:p w14:paraId="4F9FE2FC" w14:textId="77777777" w:rsidR="007E3D3F" w:rsidRPr="00107E4B" w:rsidRDefault="007E3D3F" w:rsidP="007E3D3F">
      <w:r w:rsidRPr="00107E4B">
        <w:rPr>
          <w:b/>
          <w:sz w:val="26"/>
          <w:szCs w:val="26"/>
        </w:rPr>
        <w:t xml:space="preserve">Rosenblum 17 </w:t>
      </w:r>
      <w:r w:rsidRPr="00107E4B">
        <w:t>– (Marc R. Rosenblum, “U.S. Immigration Reform: Can the System Be Repaired”, UC San Diego, Page 23, http://ccis.ucsd.edu/_files/wp132.pdf)//CD</w:t>
      </w:r>
    </w:p>
    <w:p w14:paraId="43D3CF5D" w14:textId="77777777" w:rsidR="007E3D3F" w:rsidRPr="00107E4B" w:rsidRDefault="007E3D3F" w:rsidP="007E3D3F">
      <w:pPr>
        <w:rPr>
          <w:u w:val="single"/>
        </w:rPr>
      </w:pPr>
      <w:r w:rsidRPr="00107E4B">
        <w:rPr>
          <w:u w:val="single"/>
        </w:rPr>
        <w:t>The US Immigration policy regime is clearly out of alignment with the structural factors which motivate immigrants in countries of origin of origin and within the United States, and poorly designed to advance the US national interest in immigrant recruitment, retention, and integration.</w:t>
      </w:r>
      <w:r w:rsidRPr="00107E4B">
        <w:t xml:space="preserve"> While managing migration flows is notoriously difficult—immigrants are far more resourceful than many others targets of regulation—the effectiveness of US immigration regulations has been undermined by over four decades of muddling through, as Congress and the president have systematically avoided fundamental immigration reforms. Yet the stakes are high, and </w:t>
      </w:r>
      <w:r w:rsidRPr="00107E4B">
        <w:rPr>
          <w:u w:val="single"/>
        </w:rPr>
        <w:t>ample evidence exists that the US public is coming around to the position that the development of workable immigration policies should be a top priority for the federal government at this time.</w:t>
      </w:r>
      <w:r w:rsidRPr="00107E4B">
        <w:t xml:space="preserve"> Still, </w:t>
      </w:r>
      <w:r w:rsidRPr="00107E4B">
        <w:rPr>
          <w:u w:val="single"/>
        </w:rPr>
        <w:t>the risks of engaging in fundamental reform efforts likely outweigh the potential gains in the minds of most legislators, and prospects for fundamental reform</w:t>
      </w:r>
      <w:r w:rsidRPr="00107E4B">
        <w:t xml:space="preserve"> in the 109th Congress—or even for comprehensive reform as defined in the US Senate—appear dim. The House of Representatives has already passed legislation (HR 4437, the Border Protection, Antiterrorism, and Illegal Immigration Control Act of 2005) which would not only fail to consider fundamental reforms in the spirit of proactive recruitment and retention, but would also exacerbate existing flaws in the US approach to migration control and the use of immigration as a tool of foreign policy. </w:t>
      </w:r>
      <w:r w:rsidRPr="00107E4B">
        <w:rPr>
          <w:u w:val="single"/>
        </w:rPr>
        <w:t>Presidential leadership has always played a critical role in the final stages of previous comparative reform efforts</w:t>
      </w:r>
      <w:r w:rsidRPr="00107E4B">
        <w:t xml:space="preserve">, yet the Bush administration appears to be retreating from any such role and from its previous support for a comprehensive approach to reform (e.g., rhetoric prior to the 9/11 attacks and during the 2004 campaign). With the president confronting continued low poll numbers, his support for HR 4437 signals his apparent desire to shore up support among social conservatives opposed to immigration flows, rather than fixing the problem or addressing the concerns of his business supporters, whose support is viewed as less problematic in 2006 congressional races. With many Democrats believing that a tough position on immigration control enhances their electoral prospects, it appears unlikely that House negotiators will feel any pressure to make significant concessions in negotiations with the Senate—assuming such negotiations even occur. Thus, </w:t>
      </w:r>
      <w:r w:rsidRPr="00107E4B">
        <w:rPr>
          <w:u w:val="single"/>
        </w:rPr>
        <w:t>while the House bill has little prospect for passage into law, its establishment of such an extreme restrictionist position as a point of departure for future negotiations likely guarantees that inaction is now the best that can be hoped for during the current session of Congress.</w:t>
      </w:r>
    </w:p>
    <w:p w14:paraId="2FC6F941" w14:textId="77777777" w:rsidR="007E3D3F" w:rsidRPr="00107E4B" w:rsidRDefault="007E3D3F" w:rsidP="007E3D3F"/>
    <w:p w14:paraId="7F54FD9D" w14:textId="77777777" w:rsidR="007E3D3F" w:rsidRPr="00107E4B" w:rsidRDefault="007E3D3F" w:rsidP="007E3D3F">
      <w:pPr>
        <w:pStyle w:val="Heading4"/>
      </w:pPr>
      <w:r w:rsidRPr="00107E4B">
        <w:t>The politics of U.S. immigration reform is contingent on the future of new immigrants</w:t>
      </w:r>
    </w:p>
    <w:p w14:paraId="7A92696A" w14:textId="77777777" w:rsidR="007E3D3F" w:rsidRPr="00107E4B" w:rsidRDefault="007E3D3F" w:rsidP="007E3D3F">
      <w:r w:rsidRPr="00107E4B">
        <w:rPr>
          <w:b/>
          <w:sz w:val="26"/>
          <w:szCs w:val="26"/>
        </w:rPr>
        <w:t xml:space="preserve">Martin 3 </w:t>
      </w:r>
      <w:r w:rsidRPr="00107E4B">
        <w:t>– (Susan Martin, “The Politics of US Immigration Reform”, The Political Quarterly, Pages 147-148, https://onlinelibrary.wiley.com/doi/pdf/10.1111/j.1467-923X.2003.00586.x)//CD</w:t>
      </w:r>
    </w:p>
    <w:p w14:paraId="5DE31199" w14:textId="77777777" w:rsidR="007E3D3F" w:rsidRPr="00107E4B" w:rsidRDefault="007E3D3F" w:rsidP="007E3D3F">
      <w:r w:rsidRPr="00107E4B">
        <w:lastRenderedPageBreak/>
        <w:t xml:space="preserve">This survey of legislative reforms during the past decade raises many questions about the future direction of US immigration policy. </w:t>
      </w:r>
      <w:r w:rsidRPr="00107E4B">
        <w:rPr>
          <w:u w:val="single"/>
        </w:rPr>
        <w:t>Still a country that values immigration, it is not at all clear that the United States is still a country that protects its immigrants.</w:t>
      </w:r>
      <w:r w:rsidRPr="00107E4B">
        <w:t xml:space="preserve"> Perhaps never before has the Pennsylvania model been under so much pressure, with the impulse towards limited membership for immigrants coming increasingly from the supporters of large-scale immigration, and not just from its opponents. Of course, there are signs that run counter to this bleak picture (bleak, at least, to someone steeped in the Pennsylvania model of inclusion). </w:t>
      </w:r>
      <w:r w:rsidRPr="00107E4B">
        <w:rPr>
          <w:u w:val="single"/>
        </w:rPr>
        <w:t>As immigrants naturalise they are exercising political power in a number of our most populous states. This political power, combined with the growing economy in the late 1990s, permitted the reversal of many of the most egregious violations of the rights of immigrants in term of their access to public programmes. Ultimately, the fate of the Pennsylvania model will be determined by the extent to which new immigrants integrate into the United States despite the restrictions placed on their rights.</w:t>
      </w:r>
      <w:r w:rsidRPr="00107E4B">
        <w:t xml:space="preserve"> Here, the picture is very positive, because integration is facilitated by a broad set of factors that go deeper than the legislative changes of the past decade. Unlike the other major immigration countries (Canada and Australia), </w:t>
      </w:r>
      <w:r w:rsidRPr="00107E4B">
        <w:rPr>
          <w:u w:val="single"/>
        </w:rPr>
        <w:t>the United States has no explicit immigrant integration policies or programmes supported by government. Rather, integration largely occurs within the private sector. Almost all immigrants to the United States are sponsored by family members or employers who take principal responsibility for ensuring their successful adaptation to the new country. Their work is facilitated by a flexible labour market that makes it relatively easy for immigrants to find employment. Although many positions are low paid, upward mobility is possible and immigrants can own their own businesses.</w:t>
      </w:r>
      <w:r w:rsidRPr="00107E4B">
        <w:t xml:space="preserve"> For more highly skilled immigrants, economic rewards can be particularly attractive. Given the high levels of employment, immigrants often tend to be characterized as hard-working individuals who contribute to the nation’s economy-a reputation that also eases the integration process. Although the federal government tends not to provide direct support for immigrant integration programmes, integration is aided by several broad government policies. Perhaps most important is birthright citizenship. By definition, being a ‘foreigner’ lasts for only one generation. </w:t>
      </w:r>
      <w:r w:rsidRPr="00107E4B">
        <w:rPr>
          <w:u w:val="single"/>
        </w:rPr>
        <w:t>The children of immigrants are automatically citizens if they are born on US territory. This provision applies even to the children of unauthorized migrants. Also important are the policies that protect both citizens and immigrants from discrimination on the basis of race, religion, nationality and, in some cases, citizenship. There are even laws that protect persons from ‘immigration-related unfair employment practices’. Should an employer refuse to hire a foreign-sounding or foreign-looking person because s/he fears the applicant is working illegally, or require an applicant to show additional or different documents to verify work authorisation</w:t>
      </w:r>
      <w:r w:rsidRPr="00107E4B">
        <w:t xml:space="preserve">, the employer may be penalized for inappropriate discriminatory practices. Further, </w:t>
      </w:r>
      <w:r w:rsidRPr="00107E4B">
        <w:rPr>
          <w:u w:val="single"/>
        </w:rPr>
        <w:t>the federal government provides funds to school systems to help them teach English to children with limited proficiency in the language. Finally, immigrant integration is facilitated by the very history that makes the United States a nation of immigrants.</w:t>
      </w:r>
      <w:r w:rsidRPr="00107E4B">
        <w:t xml:space="preserve"> Having weathered cycles of pro-and anti-immigration sentiments and policies, </w:t>
      </w:r>
      <w:r w:rsidRPr="00107E4B">
        <w:rPr>
          <w:u w:val="single"/>
        </w:rPr>
        <w:t>the United States remains indebted to the contributions of the millions of immigrants who have settled the country.</w:t>
      </w:r>
      <w:r w:rsidRPr="00107E4B">
        <w:t xml:space="preserve"> So, too, will it weather this latest assault on its best traditions.</w:t>
      </w:r>
    </w:p>
    <w:p w14:paraId="6B2711CA" w14:textId="77777777" w:rsidR="007E3D3F" w:rsidRPr="00107E4B" w:rsidRDefault="007E3D3F" w:rsidP="007E3D3F">
      <w:pPr>
        <w:pStyle w:val="Heading4"/>
      </w:pPr>
      <w:r w:rsidRPr="00107E4B">
        <w:lastRenderedPageBreak/>
        <w:t xml:space="preserve">Government is key to analysis and activism around racialized immigration policy </w:t>
      </w:r>
    </w:p>
    <w:p w14:paraId="54E27236" w14:textId="77777777" w:rsidR="007E3D3F" w:rsidRPr="00107E4B" w:rsidRDefault="007E3D3F" w:rsidP="007E3D3F">
      <w:r w:rsidRPr="00107E4B">
        <w:rPr>
          <w:b/>
          <w:sz w:val="26"/>
          <w:szCs w:val="26"/>
        </w:rPr>
        <w:t xml:space="preserve">Johnson 2000 </w:t>
      </w:r>
      <w:r w:rsidRPr="00107E4B">
        <w:t>– (Kevin R. Johnson, “RACE MATTERS: IMMIGRATION LAW AND POLICY SCHOLARSHIP, LAW IN THE IVORY TOWER, AND THE LEGAL INDIFFERENCE OF THE RACE CRITIQUE”, Illinois Law Review, Pages 556-557, https://illinoislawreview.org/wp-content/uploads/2000/02/kjohnson4.pdf)//CD</w:t>
      </w:r>
    </w:p>
    <w:p w14:paraId="0E4456F7" w14:textId="77777777" w:rsidR="007E3D3F" w:rsidRPr="00107E4B" w:rsidRDefault="007E3D3F" w:rsidP="007E3D3F">
      <w:r w:rsidRPr="00107E4B">
        <w:t>This article outlines the current state of the analysis of race in immigration law scholarship. Ultimately,</w:t>
      </w:r>
      <w:r w:rsidRPr="00107E4B">
        <w:rPr>
          <w:u w:val="single"/>
        </w:rPr>
        <w:t xml:space="preserve"> the study of the racial impacts of the immigration laws will not go ignored.</w:t>
      </w:r>
      <w:r w:rsidRPr="00107E4B">
        <w:t xml:space="preserve"> The question is simply one of timing. I contend that this important analysis should not be marginalized or left to this generation of race scholars to debate among themselves. </w:t>
      </w:r>
      <w:r w:rsidRPr="00107E4B">
        <w:rPr>
          <w:u w:val="single"/>
        </w:rPr>
        <w:t>The day will come when the consensus will be that race is central, not peripheral, to a full understanding of modern immigration and nationality law and policy.</w:t>
      </w:r>
      <w:r w:rsidRPr="00107E4B">
        <w:t xml:space="preserve"> As scholars, we should strive to see that day come sooner rather than later. </w:t>
      </w:r>
      <w:r w:rsidRPr="00107E4B">
        <w:rPr>
          <w:u w:val="single"/>
        </w:rPr>
        <w:t>We all must engage in this central question if we are seriously interested in either immigration or race relations in the United States.</w:t>
      </w:r>
      <w:r w:rsidRPr="00107E4B">
        <w:t xml:space="preserve"> This article also challenges scholars interested in immigration to engage seriously the influence of race on the laws and their enforcement. To do so, we must begin by bringing the separate discourses on immigration law together and combine the explanatory power of the two modes of analysis. This will require some movement by all involved. On the one hand, </w:t>
      </w:r>
      <w:r w:rsidRPr="00107E4B">
        <w:rPr>
          <w:u w:val="single"/>
        </w:rPr>
        <w:t>race scholars should work to intervene in the conventional immigration venues and “mainstream” racial critiques of immigration law. They also should not ignore the intricacies of the law and the opportunity to reveal how facially neutral doctrine in fact discriminates against racial minorities and may hide invidious motives. Doctrine must be engaged to reveal the hidden vestiges of racism.</w:t>
      </w:r>
      <w:r w:rsidRPr="00107E4B">
        <w:t xml:space="preserve"> On the other hand, mainstream immigration scholars should attempt to address the serious questions posed by the minority immigration scholarship. Integration of race promises to offer a fuller picture of the prerequisites for full membership in the United States, one of the areas of mainstream immigration scholarship.158 Majority scholars should keep in mind that immigrants today more likely than not are people of color, which greatly complicates matters. Put simply, </w:t>
      </w:r>
      <w:r w:rsidRPr="00107E4B">
        <w:rPr>
          <w:u w:val="single"/>
        </w:rPr>
        <w:t>not all immigrants are created equal in the United States. We must build into the body of immigration law scholarship the influence of race, as well as that of class, gender, and sexual orientation. These issues are too important for immigration scholars and U.S. society to ignore any longer.</w:t>
      </w:r>
      <w:r w:rsidRPr="00107E4B">
        <w:t xml:space="preserve"> Ironically, immigration law scholars have spent more time analyzing the work of Peter Brimelow, an ardent restrictionist ideologue contending that the immigration laws must be reclaimed for white America,159 than the work of race scholars challenging the discrimination embedded in modern immigration law. Some mainstream and race scholars undoubtedly will be critical of the arguments presented in this article. Critics may claim that I am fanning the flames of race hysteria or myopically viewing race as the be all and end all of immigration law. I only contend, however, that </w:t>
      </w:r>
      <w:r w:rsidRPr="00107E4B">
        <w:rPr>
          <w:u w:val="single"/>
        </w:rPr>
        <w:t>analyzing how race influences immigration law and policy has added much to our understanding and that we collectively have much to gain, and everything to lose, including civil strife and violence, by not incorporating race into mainstream immigration discourse.</w:t>
      </w:r>
      <w:r w:rsidRPr="00107E4B">
        <w:t xml:space="preserve"> All I ask is that readers evaluate for themselves whether the scholarship of those who have integrated race as one, although not the only, important element of analysis into the mix has contributed to our collective understanding.</w:t>
      </w:r>
    </w:p>
    <w:p w14:paraId="6EC8F0EF" w14:textId="77777777" w:rsidR="007E3D3F" w:rsidRPr="00107E4B" w:rsidRDefault="007E3D3F" w:rsidP="007E3D3F">
      <w:pPr>
        <w:pStyle w:val="Heading4"/>
      </w:pPr>
      <w:r w:rsidRPr="00107E4B">
        <w:lastRenderedPageBreak/>
        <w:t xml:space="preserve">Government change creates media support and momentum- spurs activism </w:t>
      </w:r>
    </w:p>
    <w:p w14:paraId="2DCFEB4C" w14:textId="77777777" w:rsidR="007E3D3F" w:rsidRPr="00107E4B" w:rsidRDefault="007E3D3F" w:rsidP="007E3D3F">
      <w:pPr>
        <w:shd w:val="clear" w:color="auto" w:fill="FFFFFF"/>
        <w:spacing w:after="150" w:line="351" w:lineRule="atLeast"/>
        <w:ind w:left="567" w:hanging="567"/>
        <w:rPr>
          <w:rFonts w:eastAsia="Times New Roman" w:cstheme="minorHAnsi"/>
        </w:rPr>
      </w:pPr>
      <w:r w:rsidRPr="00107E4B">
        <w:rPr>
          <w:rFonts w:eastAsia="Times New Roman" w:cstheme="minorHAnsi"/>
          <w:b/>
          <w:color w:val="333333"/>
          <w:sz w:val="26"/>
          <w:szCs w:val="26"/>
        </w:rPr>
        <w:t>Chang</w:t>
      </w:r>
      <w:r w:rsidRPr="00107E4B">
        <w:rPr>
          <w:rFonts w:eastAsia="Times New Roman" w:cstheme="minorHAnsi"/>
          <w:color w:val="333333"/>
          <w:sz w:val="26"/>
          <w:szCs w:val="26"/>
        </w:rPr>
        <w:t xml:space="preserve"> </w:t>
      </w:r>
      <w:r w:rsidRPr="00107E4B">
        <w:rPr>
          <w:rFonts w:eastAsia="Times New Roman" w:cstheme="minorHAnsi"/>
          <w:b/>
          <w:color w:val="333333"/>
          <w:sz w:val="26"/>
          <w:szCs w:val="26"/>
        </w:rPr>
        <w:t>15</w:t>
      </w:r>
      <w:r w:rsidRPr="00107E4B">
        <w:rPr>
          <w:rFonts w:eastAsia="Times New Roman" w:cstheme="minorHAnsi"/>
          <w:color w:val="333333"/>
          <w:sz w:val="24"/>
        </w:rPr>
        <w:t xml:space="preserve"> </w:t>
      </w:r>
      <w:r w:rsidRPr="00107E4B">
        <w:rPr>
          <w:rFonts w:eastAsia="Times New Roman" w:cstheme="minorHAnsi"/>
        </w:rPr>
        <w:t>– (Yu-li Chang, “</w:t>
      </w:r>
      <w:r w:rsidRPr="00107E4B">
        <w:rPr>
          <w:rFonts w:eastAsia="Times New Roman" w:cstheme="minorHAnsi"/>
          <w:iCs/>
        </w:rPr>
        <w:t>Framing of the Immigration Reform in 2006: A Community Structure Approach</w:t>
      </w:r>
      <w:r w:rsidRPr="00107E4B">
        <w:rPr>
          <w:rFonts w:eastAsia="Times New Roman" w:cstheme="minorHAnsi"/>
        </w:rPr>
        <w:t>”, SAGE Journals, Pages 843-844, http://journals.sagepub.com/doi/abs/10.1177/1077699015594462?journalCode=jmqc)</w:t>
      </w:r>
    </w:p>
    <w:p w14:paraId="1C82A0CC" w14:textId="77777777" w:rsidR="007E3D3F" w:rsidRPr="00107E4B" w:rsidRDefault="007E3D3F" w:rsidP="007E3D3F">
      <w:r w:rsidRPr="00107E4B">
        <w:rPr>
          <w:u w:val="single"/>
        </w:rPr>
        <w:t>Some studies narrowed in on how the presence of specific minority groups in a community affected its news content.</w:t>
      </w:r>
      <w:r w:rsidRPr="00107E4B">
        <w:t xml:space="preserve"> </w:t>
      </w:r>
      <w:r w:rsidRPr="00107E4B">
        <w:rPr>
          <w:u w:val="single"/>
        </w:rPr>
        <w:t>A study on the newspaper coverage</w:t>
      </w:r>
      <w:r w:rsidRPr="00107E4B">
        <w:t xml:space="preserve"> of handling water contamination included the percentage of African Americans and that of Hispanics in a city, respectively, </w:t>
      </w:r>
      <w:r w:rsidRPr="00107E4B">
        <w:rPr>
          <w:u w:val="single"/>
        </w:rPr>
        <w:t xml:space="preserve">as independent variables and found that the proportion of Hispanic population was positively linked to support for government efforts, </w:t>
      </w:r>
      <w:r w:rsidRPr="00107E4B">
        <w:t xml:space="preserve">instead of societal efforts, to regulate or impose access to clean water (Pollock &amp; Branca, 2011). In the debate over the proposed 2006 immigration reform, attention was focused on Hispanics because the tidal wave of recent illegal immigration had come from Latin America. These immigrants were often portrayed negatively in news media (Chavez, 2001; Miller, 1994), and these portrayals had incited the fear of the “browning” of America (Miller, 1994, p. 28). </w:t>
      </w:r>
      <w:r w:rsidRPr="00107E4B">
        <w:rPr>
          <w:u w:val="single"/>
        </w:rPr>
        <w:t>Studies</w:t>
      </w:r>
      <w:r w:rsidRPr="00107E4B">
        <w:t xml:space="preserve"> have </w:t>
      </w:r>
      <w:r w:rsidRPr="00107E4B">
        <w:rPr>
          <w:u w:val="single"/>
        </w:rPr>
        <w:t>show</w:t>
      </w:r>
      <w:r w:rsidRPr="00107E4B">
        <w:t xml:space="preserve">n that the presence of the rapidly growing Hispanic population has affected the coverage of immigration from the labor angle to race and ethnicity (Benson, 2005), and </w:t>
      </w:r>
      <w:r w:rsidRPr="00107E4B">
        <w:rPr>
          <w:u w:val="single"/>
        </w:rPr>
        <w:t>that race and ethnicity remain the central issue in the process of creating a new identity of the nation</w:t>
      </w:r>
      <w:r w:rsidRPr="00107E4B">
        <w:t xml:space="preserve"> (Bean &amp; Stevens, 2003). Due to the salience of the immigration issue among </w:t>
      </w:r>
      <w:r w:rsidRPr="00107E4B">
        <w:rPr>
          <w:u w:val="single"/>
        </w:rPr>
        <w:t>Hispanics</w:t>
      </w:r>
      <w:r w:rsidRPr="00107E4B">
        <w:t xml:space="preserve">, they </w:t>
      </w:r>
      <w:r w:rsidRPr="00107E4B">
        <w:rPr>
          <w:u w:val="single"/>
        </w:rPr>
        <w:t>have shown more interest in the news coverage of illegal immigration</w:t>
      </w:r>
      <w:r w:rsidRPr="00107E4B">
        <w:t xml:space="preserve"> than nonHispanics (Salwen &amp; Matera, 1997). Grimm and Andsager (2011) also found that racial composition of an area influenced the immigration frames in California newspapers. </w:t>
      </w:r>
      <w:r w:rsidRPr="00107E4B">
        <w:rPr>
          <w:u w:val="single"/>
        </w:rPr>
        <w:t>The news frame “immigrants are not harmful” was most prominent in areas of high and low concentrations of Latinos</w:t>
      </w:r>
      <w:r w:rsidRPr="00107E4B">
        <w:t>. To explore to what extent the Hispanic ethnic identity affected editorial framing of immigration reform measures and of illegal immigrants, the following hypotheses were proposed: H2a: The higher the percentage of Hispanics in the community, the more its editorials would support reform measures that were deemed beneficial to illegal immigrants. H2b: The higher the percentage of Hispanics in the community, the more favorably its editorials would frame illegal immigrants.</w:t>
      </w:r>
      <w:r w:rsidRPr="00107E4B">
        <w:rPr>
          <w:u w:val="single"/>
        </w:rPr>
        <w:t xml:space="preserve"> Studies have also found that political identity or partisanship has influenced news coverage. The higher the percentage voting Republican, the more favorable the newspaper’s coverage of Arctic oil drilling, of trying juveniles as adults, and the less favorable the coverage of gays in the Boy Scouts, while newspapers in Democratic-leaning communities exhibited the opposite directions of coverage of these issues</w:t>
      </w:r>
      <w:r w:rsidRPr="00107E4B">
        <w:t xml:space="preserve"> (Pollock, 2007). Partisanship, however, failed to make a difference in newspaper coverage for issues such as Clarence Thomas–Anita Hill hearings, Tobacco Master Settlement Agreement (Pollock, 2007), Occupy Wall Street movement (Pollock, 2013), and universal health care (Kiernicki, Pollock, &amp; Lavery, 2013). Even though </w:t>
      </w:r>
      <w:r w:rsidRPr="00107E4B">
        <w:rPr>
          <w:u w:val="single"/>
        </w:rPr>
        <w:t xml:space="preserve">opinion surveys indicated that partisanship had only a modest impact on attitude toward the severity of the problems associated with immigration and possible solutions, more Republicans than Democrats held unfavorable views toward immigrants </w:t>
      </w:r>
      <w:r w:rsidRPr="00107E4B">
        <w:t xml:space="preserve">(Kohut, Suro, Keeter, Doherty, &amp; Escobar, 2006).1 It is, therefore, worth exploring whether partisanship in a community played a role in its newspaper editorials’ perspectives on immigration reform measures and on illegal immigrants. H3a: The higher the percentage of citizens in the community who voted for George W. Bush in the 2004 election, the more its editorials would support reform measures that were deemed unfavorable to illegal </w:t>
      </w:r>
      <w:r w:rsidRPr="00107E4B">
        <w:lastRenderedPageBreak/>
        <w:t>immigrants. H3b: The higher the percentage of citizens in the community who voted for George W. Bush in the 2004 election, the more unfavorably its editorials would frame illegal immigrants.</w:t>
      </w:r>
    </w:p>
    <w:p w14:paraId="5A5F71F2" w14:textId="77777777" w:rsidR="007E3D3F" w:rsidRPr="00107E4B" w:rsidRDefault="007E3D3F" w:rsidP="007E3D3F"/>
    <w:p w14:paraId="1AA347D4" w14:textId="77777777" w:rsidR="007E3D3F" w:rsidRPr="00107E4B" w:rsidRDefault="007E3D3F" w:rsidP="007E3D3F">
      <w:pPr>
        <w:pStyle w:val="Heading4"/>
      </w:pPr>
      <w:r w:rsidRPr="00107E4B">
        <w:t xml:space="preserve">The United States Federal Government has made positive change in immigration using DACA- it can improve </w:t>
      </w:r>
    </w:p>
    <w:p w14:paraId="05074D9C" w14:textId="77777777" w:rsidR="007E3D3F" w:rsidRPr="00107E4B" w:rsidRDefault="007E3D3F" w:rsidP="007E3D3F">
      <w:pPr>
        <w:shd w:val="clear" w:color="auto" w:fill="FFFFFF"/>
        <w:spacing w:after="0" w:line="240" w:lineRule="auto"/>
        <w:rPr>
          <w:rFonts w:eastAsia="Times New Roman" w:cstheme="minorHAnsi"/>
          <w:color w:val="000000"/>
        </w:rPr>
      </w:pPr>
      <w:r w:rsidRPr="00107E4B">
        <w:rPr>
          <w:rFonts w:eastAsia="Times New Roman" w:cstheme="minorHAnsi"/>
          <w:b/>
          <w:color w:val="000000"/>
          <w:sz w:val="26"/>
          <w:szCs w:val="26"/>
        </w:rPr>
        <w:t>Teranishi et al 15</w:t>
      </w:r>
      <w:r w:rsidRPr="00107E4B">
        <w:rPr>
          <w:rFonts w:eastAsia="Times New Roman" w:cstheme="minorHAnsi"/>
          <w:color w:val="333333"/>
        </w:rPr>
        <w:t xml:space="preserve"> – (</w:t>
      </w:r>
      <w:r w:rsidRPr="00107E4B">
        <w:t>Robert T. Teranishi, Carola Suárez-Orozco, Marcelo Suárez-Orozco, “In the Shadows of the Ivory Tower: Undocumented Undergraduates and the Liminal State of Immigration Reform”, The UndocuScholars, Pages 9-10, https://escholarship.org/uc/item/2hq679z4)</w:t>
      </w:r>
    </w:p>
    <w:p w14:paraId="043918FE" w14:textId="77777777" w:rsidR="007E3D3F" w:rsidRPr="00107E4B" w:rsidRDefault="007E3D3F" w:rsidP="007E3D3F">
      <w:r w:rsidRPr="00107E4B">
        <w:rPr>
          <w:u w:val="single"/>
        </w:rPr>
        <w:t>Over three quarters (85.5%) of students with DACA reported a positive impact on their education</w:t>
      </w:r>
      <w:r w:rsidRPr="00107E4B">
        <w:t xml:space="preserve">. We delved deeper into what students reported were the main benefits in their lives once they received DACA. </w:t>
      </w:r>
      <w:r w:rsidRPr="00107E4B">
        <w:rPr>
          <w:u w:val="single"/>
        </w:rPr>
        <w:t>The main benefits revolve around financial well-being, gaining access to valuable internships, greater stability with housing and transportation, and greater likelihood of participating more fully in college and society</w:t>
      </w:r>
      <w:r w:rsidRPr="00107E4B">
        <w:t xml:space="preserve">. A key benefit of DACA is that it affords undocumented youth with a work permit, an advantage frequently noted by our respondents. </w:t>
      </w:r>
      <w:r w:rsidRPr="00107E4B">
        <w:rPr>
          <w:u w:val="single"/>
        </w:rPr>
        <w:t xml:space="preserve">We found that students with DACA were much more likely to have paid work experience (72.3%), compared to students without DACA (28.2%) </w:t>
      </w:r>
      <w:r w:rsidRPr="00107E4B">
        <w:t xml:space="preserve">(Figure 6). In some cases, </w:t>
      </w:r>
      <w:r w:rsidRPr="00107E4B">
        <w:rPr>
          <w:u w:val="single"/>
        </w:rPr>
        <w:t>students who had previously worked in low-skilled jobs, similar to the kind in which their parents toiled, were now able to work in jobs more commensurate with their skills</w:t>
      </w:r>
      <w:r w:rsidRPr="00107E4B">
        <w:t xml:space="preserve">. These kinds of jobs had been arduous and allowed little flexibility to allow them to concentrate on their studies. As many students indicated, this new authorization to work provided an opportunity for work aligned with their topic of study, </w:t>
      </w:r>
      <w:r w:rsidRPr="00107E4B">
        <w:rPr>
          <w:u w:val="single"/>
        </w:rPr>
        <w:t>“Obtaining DACA status impacted my college experience directly in enabling me to get a job relevant to my career choice” [Male from Maryland attending a 4-year public college].</w:t>
      </w:r>
      <w:r w:rsidRPr="00107E4B">
        <w:t xml:space="preserve"> The fact that many internship providers have residency restrictions has hindered undocumented students from gaining access to valuable opportunities. Our data reveal that </w:t>
      </w:r>
      <w:r w:rsidRPr="00107E4B">
        <w:rPr>
          <w:u w:val="single"/>
        </w:rPr>
        <w:t>students with DACA were more than twice as likely to have had an internship experience, compared to students without DACA</w:t>
      </w:r>
      <w:r w:rsidRPr="00107E4B">
        <w:t xml:space="preserve"> (Figure 7). </w:t>
      </w:r>
      <w:r w:rsidRPr="00107E4B">
        <w:rPr>
          <w:u w:val="single"/>
        </w:rPr>
        <w:t>Most of these students were also attending a four-year college. Moreover, more than half of the students with internships (51.1%) also reported receiving compensation for their work</w:t>
      </w:r>
      <w:r w:rsidRPr="00107E4B">
        <w:t xml:space="preserve">. Thus, the opportunity to pursue internships – what many middle-class young adults take for granted as part of their professional development – was another notable benefit that came with DACA. As one participant explained: </w:t>
      </w:r>
      <w:r w:rsidRPr="00107E4B">
        <w:rPr>
          <w:u w:val="single"/>
        </w:rPr>
        <w:t>“Most notably in the pursuit of internships, on-campus jobs, and other paid opportunities key and essential to my professional development” [Male from Massachusetts attending a 4-year private college].</w:t>
      </w:r>
      <w:r w:rsidRPr="00107E4B">
        <w:t xml:space="preserve"> For some students, access to internships is a prerequisite to a career in their field of training. </w:t>
      </w:r>
      <w:r w:rsidRPr="00107E4B">
        <w:rPr>
          <w:u w:val="single"/>
        </w:rPr>
        <w:t>Over three quarters of students (77.4%) who have had internships reported that their internship experiences had provided skills that prepared them for career track positions in their field of choice after college</w:t>
      </w:r>
      <w:r w:rsidRPr="00107E4B">
        <w:t xml:space="preserve">. The importance of internships was also a salient theme for students in STEM fields, which represented 28.2% of our respondents. One student explained: </w:t>
      </w:r>
      <w:r w:rsidRPr="00107E4B">
        <w:rPr>
          <w:u w:val="single"/>
        </w:rPr>
        <w:t xml:space="preserve">“DACA changed my life completely. Before DACA, I could not obtain any internship because I was always asked for a work permit and a social security number. As soon as I received DACA, I was accepted as an engineering intern at a biotech company where I developed my professional and academic skills. This made the training and education I was receiving in my classes much more relevant… And I didn’t have to worry about finding a job after school since the company I </w:t>
      </w:r>
      <w:r w:rsidRPr="00107E4B">
        <w:rPr>
          <w:u w:val="single"/>
        </w:rPr>
        <w:lastRenderedPageBreak/>
        <w:t>interned for offered me a full-time position as a mechanical engineer” [Male from California attending a 4-year public college].</w:t>
      </w:r>
      <w:r w:rsidRPr="00107E4B">
        <w:t xml:space="preserve"> An important aspect of the college experience is the stability in housing and transportation that enables students to be more fully engaged academically and socially on campus. However, </w:t>
      </w:r>
      <w:r w:rsidRPr="00107E4B">
        <w:rPr>
          <w:u w:val="single"/>
        </w:rPr>
        <w:t>three quarters of our respondents (75.5%) reported living off-campus,</w:t>
      </w:r>
      <w:r w:rsidRPr="00107E4B">
        <w:t xml:space="preserve"> commuting seven hours a week to campus on average, which is greater than the national average. For some students, the journey to and from college and work was often relegated to public transportation, resulting in long commutes and more wasted time. As a student explained,</w:t>
      </w:r>
      <w:r w:rsidRPr="00107E4B">
        <w:rPr>
          <w:u w:val="single"/>
        </w:rPr>
        <w:t xml:space="preserve"> “I commute and work. I take the bus to school so it takes up a lot my time that I can be using to study, do homework, etc.” [Female from California attending a 4-year public college].</w:t>
      </w:r>
      <w:r w:rsidRPr="00107E4B">
        <w:t xml:space="preserve"> </w:t>
      </w:r>
      <w:r w:rsidRPr="00107E4B">
        <w:rPr>
          <w:u w:val="single"/>
        </w:rPr>
        <w:t>Some students discussed how DACA afforded them with opportunities to obtain a driver’s license, which eased their commute to and from campus.</w:t>
      </w:r>
      <w:r w:rsidRPr="00107E4B">
        <w:t xml:space="preserve"> As one student stated, </w:t>
      </w:r>
      <w:r w:rsidRPr="00107E4B">
        <w:rPr>
          <w:u w:val="single"/>
        </w:rPr>
        <w:t>“I acquired a driver’s license which makes my commute a lot easier and safer” [Female from California attending a 4-year public college].</w:t>
      </w:r>
      <w:r w:rsidRPr="00107E4B">
        <w:t xml:space="preserve"> On average, students who had attained DACA status had average commute times that were two hours a week shorter than students who did not have DACA (7 hours per week vs. 9 hours per week respectively). </w:t>
      </w:r>
      <w:r w:rsidRPr="00107E4B">
        <w:rPr>
          <w:u w:val="single"/>
        </w:rPr>
        <w:t>Students with DACA also noted that access to identification enabled them to attain better housing conditions. This turned out to be critical for freedom from harassment, stability, and predictability in juggling school, work and family obligations.</w:t>
      </w:r>
      <w:r w:rsidRPr="00107E4B">
        <w:t xml:space="preserve"> One student described the difference in his housing situation before and after having DACA:</w:t>
      </w:r>
      <w:r w:rsidRPr="00107E4B">
        <w:rPr>
          <w:u w:val="single"/>
        </w:rPr>
        <w:t xml:space="preserve"> “With DACA I was able to get an apartment because I now obtained a social security. My first year here at [a public 4 year college] I lived in a 2 bedroom apartment with 5 other undocumented students who also attended [same institution] but at the time I was not on the lease because I did not have a social [security number]. Whenever the landlord stopped by I had to leave the apartment or hide from her. The landlord was worse than ICE. Not anymore” [Male from California attending a 4-year public college].</w:t>
      </w:r>
      <w:r w:rsidRPr="00107E4B">
        <w:t xml:space="preserve"> </w:t>
      </w:r>
      <w:r w:rsidRPr="00107E4B">
        <w:rPr>
          <w:u w:val="single"/>
        </w:rPr>
        <w:t>There were benefits associated with DACA that went beyond the tangibles -- IDs, work, driving (in most states), internships, less precarious housing and so on.</w:t>
      </w:r>
      <w:r w:rsidRPr="00107E4B">
        <w:t xml:space="preserve"> </w:t>
      </w:r>
      <w:r w:rsidRPr="00107E4B">
        <w:rPr>
          <w:u w:val="single"/>
        </w:rPr>
        <w:t>Living in the shadows brings feelings of shame, stigma, and invisibility</w:t>
      </w:r>
      <w:r w:rsidRPr="00107E4B">
        <w:t xml:space="preserve">. </w:t>
      </w:r>
      <w:r w:rsidRPr="00107E4B">
        <w:rPr>
          <w:u w:val="single"/>
        </w:rPr>
        <w:t>A salient theme among students with DACA was a self-reported reduction in feelings of shame.</w:t>
      </w:r>
      <w:r w:rsidRPr="00107E4B">
        <w:t xml:space="preserve"> Young people who have grown up in the U.S. were now able to navigate simple day-to-day interactions with a reduced sense of stigma. As one student stated, </w:t>
      </w:r>
      <w:r w:rsidRPr="00107E4B">
        <w:rPr>
          <w:u w:val="single"/>
        </w:rPr>
        <w:t>“Now I can do research work on-campus and get paid and not be awkward/ashamed in regard to coming out with my immigration status” [Male from California attending a 4-year public college]</w:t>
      </w:r>
      <w:r w:rsidRPr="00107E4B">
        <w:t>. Relatedly, students with DACA reported that their sense of pervasive social invisibility diminished. For example</w:t>
      </w:r>
      <w:r w:rsidRPr="00107E4B">
        <w:rPr>
          <w:u w:val="single"/>
        </w:rPr>
        <w:t>: “Before DACA I felt unsafe and invisible” [Female from New York attending a public 2-year college].</w:t>
      </w:r>
      <w:r w:rsidRPr="00107E4B">
        <w:t xml:space="preserve"> Since receiving DACA, one student reported, </w:t>
      </w:r>
      <w:r w:rsidRPr="00107E4B">
        <w:rPr>
          <w:u w:val="single"/>
        </w:rPr>
        <w:t>“I feel a lot better about myself as I feel as if I were finally a visible part of our society” [Male from Illinois attending a 4-year public college]</w:t>
      </w:r>
      <w:r w:rsidRPr="00107E4B">
        <w:t>.</w:t>
      </w:r>
      <w:r w:rsidRPr="00107E4B">
        <w:rPr>
          <w:u w:val="single"/>
        </w:rPr>
        <w:t xml:space="preserve"> Some of the participants expressed an improvement in emotional well-being as their stress began to be alleviated after receiving DACA.</w:t>
      </w:r>
      <w:r w:rsidRPr="00107E4B">
        <w:t xml:space="preserve"> One student explained: </w:t>
      </w:r>
      <w:r w:rsidRPr="00107E4B">
        <w:rPr>
          <w:u w:val="single"/>
        </w:rPr>
        <w:t>“I do not feel as worried about my immigration status as I did before, therefore I am less prone of feeling anxious and depressed - something I experienced greatly before DACA” [Female from California attending a 4-year public college]. Many students with DACA tied their newfound well-being to a belief that their future prospects had finally improved.</w:t>
      </w:r>
      <w:r w:rsidRPr="00107E4B">
        <w:t xml:space="preserve"> They could now plan. As one student said, </w:t>
      </w:r>
      <w:r w:rsidRPr="00107E4B">
        <w:rPr>
          <w:u w:val="single"/>
        </w:rPr>
        <w:t>“It (DACA) has allowed me to believe in my dreams, especially in finding my identity and reaching my ultimate goal” [Female from Illinois attending a 4-year college].</w:t>
      </w:r>
      <w:r w:rsidRPr="00107E4B">
        <w:t xml:space="preserve"> With DACA, students began to feel that they could cautiously lean into aspirations that </w:t>
      </w:r>
      <w:r w:rsidRPr="00107E4B">
        <w:lastRenderedPageBreak/>
        <w:t xml:space="preserve">had long been hidden and or cast aside: </w:t>
      </w:r>
      <w:r w:rsidRPr="00107E4B">
        <w:rPr>
          <w:u w:val="single"/>
        </w:rPr>
        <w:t>“It gave me the liberty to come out of the shadows and demonstrate my desire to accomplish my dreams” [Female from California attending a public 2-year college]</w:t>
      </w:r>
      <w:r w:rsidRPr="00107E4B">
        <w:t>. This was also reflected in the quantitative findings that revealed higher educational aspirations among students with DACA (Figure 8).</w:t>
      </w:r>
    </w:p>
    <w:p w14:paraId="1D80680C" w14:textId="77777777" w:rsidR="007E3D3F" w:rsidRPr="00107E4B" w:rsidRDefault="007E3D3F" w:rsidP="007E3D3F"/>
    <w:p w14:paraId="6224486F" w14:textId="77777777" w:rsidR="007E3D3F" w:rsidRPr="00107E4B" w:rsidRDefault="007E3D3F" w:rsidP="007E3D3F">
      <w:pPr>
        <w:pStyle w:val="Heading4"/>
      </w:pPr>
      <w:r w:rsidRPr="00107E4B">
        <w:t>Knowing on the processes of the legal system lead to materiel change, education is key to changing the squo.</w:t>
      </w:r>
    </w:p>
    <w:p w14:paraId="24FBAD62" w14:textId="77777777" w:rsidR="007E3D3F" w:rsidRPr="00107E4B" w:rsidRDefault="007E3D3F" w:rsidP="007E3D3F">
      <w:pPr>
        <w:spacing w:after="0"/>
        <w:rPr>
          <w:b/>
          <w:sz w:val="26"/>
          <w:szCs w:val="26"/>
        </w:rPr>
      </w:pPr>
      <w:r w:rsidRPr="00107E4B">
        <w:rPr>
          <w:b/>
          <w:sz w:val="26"/>
          <w:szCs w:val="26"/>
        </w:rPr>
        <w:t xml:space="preserve">Wadhia 16 </w:t>
      </w:r>
      <w:r w:rsidRPr="00107E4B">
        <w:rPr>
          <w:sz w:val="26"/>
          <w:szCs w:val="26"/>
        </w:rPr>
        <w:t xml:space="preserve">– </w:t>
      </w:r>
      <w:r w:rsidRPr="00107E4B">
        <w:t>Shoba Sivaprasad Wadhia, Remarks on Executive Action and Immigration Reform, 48 Case W. Res. J. Int'l L. 137 (2016)</w:t>
      </w:r>
    </w:p>
    <w:p w14:paraId="66374105" w14:textId="77777777" w:rsidR="007E3D3F" w:rsidRPr="00107E4B" w:rsidRDefault="007E3D3F" w:rsidP="007E3D3F">
      <w:pPr>
        <w:spacing w:after="0"/>
        <w:rPr>
          <w:sz w:val="16"/>
        </w:rPr>
      </w:pPr>
      <w:r w:rsidRPr="00107E4B">
        <w:rPr>
          <w:sz w:val="16"/>
        </w:rPr>
        <w:t xml:space="preserve">I now want to transition to how the changes by the President played out locally in my community. In 2008, I moved from Washington D.C. to State College, home of Penn State, surrounded by mountains, in the middle of mecca, but as some might say "in the middle of nowhere." One hat I wear at Penn State is to direct the Center for Immigrants' Rights at Penn State Law, which began as a policy clinic where law students worked on policy papers and practice pointers on behalf of organizational clients, and has since evolved and expanded to include education and legal work in our community. Before federal district court judge Andrew Hanen issued an injunction on February 16, 2015, clinic students screened and consulted with individuals for DAPA eligibility and created a screening instrument for our clinic. They also reached out to our Mayor, Elizabeth Goreham. My </w:t>
      </w:r>
      <w:r w:rsidRPr="00107E4B">
        <w:rPr>
          <w:sz w:val="24"/>
          <w:u w:val="single"/>
        </w:rPr>
        <w:t xml:space="preserve">students versed themselves on the various terms, stayed abreast of the litigation enjoining the most recent deferred action programs, and learned to boil down complicated information into plain English. </w:t>
      </w:r>
      <w:r w:rsidRPr="00107E4B">
        <w:rPr>
          <w:sz w:val="16"/>
        </w:rPr>
        <w:t xml:space="preserve">One </w:t>
      </w:r>
      <w:r w:rsidRPr="00107E4B">
        <w:rPr>
          <w:sz w:val="24"/>
          <w:u w:val="single"/>
        </w:rPr>
        <w:t>outcome of their collaboration with our Mayor was to lay the groundwork that led to her signature on the now famous Mayors' amicus brief to the Fifth Circuit Court of Appeals on the Hanen Injunction.</w:t>
      </w:r>
      <w:r w:rsidRPr="00107E4B">
        <w:rPr>
          <w:sz w:val="16"/>
        </w:rPr>
        <w:t>'" Law s</w:t>
      </w:r>
      <w:r w:rsidRPr="00107E4B">
        <w:rPr>
          <w:sz w:val="24"/>
          <w:u w:val="single"/>
        </w:rPr>
        <w:t>tudents in our clinic also testified before the Borough of State College regarding the importance of the President's executive actions, d</w:t>
      </w:r>
      <w:r w:rsidRPr="00107E4B">
        <w:rPr>
          <w:sz w:val="16"/>
        </w:rPr>
        <w:t xml:space="preserve">elivered a CLE to our local bar of 8. Immigration and Nationality Act (INA) of 1952, largely non-immigration attorneys about the technicalities of DACA, DAPA and the Enforcement Priorities Memo, spoke to our Mennonite Church about the impact of immigration enforcement on families and communities, and created a two-pager on the litigation for community members.13 </w:t>
      </w:r>
      <w:r w:rsidRPr="00107E4B">
        <w:rPr>
          <w:sz w:val="24"/>
          <w:u w:val="single"/>
        </w:rPr>
        <w:t>These tasks were not simple in central Pennsylvania but they were crucial moments during a time great of uncertainty and also extremely rewarding for the law students and for me. Our clinic played a small role in helping our community and I encourage law students in the audience to do the same. There are enormous ways to use the law school experience to discover how law can be used tool for social change on issues like immigration reform</w:t>
      </w:r>
      <w:r w:rsidRPr="00107E4B">
        <w:rPr>
          <w:sz w:val="16"/>
        </w:rPr>
        <w:t xml:space="preserve">. Groundbreaking work is already being done in Cleveland by individuals such as Lynn Tramonte of America's Voice, David Leopold, and others. So, there is enormous opportunity to make connections with these leaders and make an impact before you graduate from law school." </w:t>
      </w:r>
    </w:p>
    <w:p w14:paraId="70C65466" w14:textId="77777777" w:rsidR="007E3D3F" w:rsidRPr="00107E4B" w:rsidRDefault="007E3D3F" w:rsidP="007E3D3F">
      <w:pPr>
        <w:spacing w:after="0"/>
        <w:rPr>
          <w:sz w:val="16"/>
        </w:rPr>
      </w:pPr>
    </w:p>
    <w:p w14:paraId="03A0C95D" w14:textId="77777777" w:rsidR="007E3D3F" w:rsidRPr="00107E4B" w:rsidRDefault="007E3D3F" w:rsidP="007E3D3F">
      <w:pPr>
        <w:spacing w:after="0"/>
        <w:rPr>
          <w:sz w:val="16"/>
        </w:rPr>
      </w:pPr>
    </w:p>
    <w:p w14:paraId="4A59B573" w14:textId="77777777" w:rsidR="007E3D3F" w:rsidRPr="00107E4B" w:rsidRDefault="007E3D3F" w:rsidP="007E3D3F">
      <w:pPr>
        <w:pStyle w:val="Heading4"/>
      </w:pPr>
      <w:r w:rsidRPr="00107E4B">
        <w:t>Changes in immigration policy have aided in decreasing discriminatory laws</w:t>
      </w:r>
    </w:p>
    <w:p w14:paraId="6E92CD3F" w14:textId="77777777" w:rsidR="007E3D3F" w:rsidRPr="00107E4B" w:rsidRDefault="007E3D3F" w:rsidP="007E3D3F">
      <w:r w:rsidRPr="00107E4B">
        <w:rPr>
          <w:b/>
          <w:sz w:val="26"/>
          <w:szCs w:val="26"/>
        </w:rPr>
        <w:t>Lee 15</w:t>
      </w:r>
      <w:r w:rsidRPr="00107E4B">
        <w:rPr>
          <w:b/>
          <w:sz w:val="28"/>
        </w:rPr>
        <w:t xml:space="preserve"> </w:t>
      </w:r>
      <w:r w:rsidRPr="00107E4B">
        <w:t xml:space="preserve">- (Catherine Lee, “Family Reunification and the Limits of Immigration Reform: Impact and Legacy of the 1965 Immigration Act”, </w:t>
      </w:r>
      <w:r w:rsidRPr="00107E4B">
        <w:rPr>
          <w:i/>
        </w:rPr>
        <w:t>Sociological Forum,</w:t>
      </w:r>
      <w:r w:rsidRPr="00107E4B">
        <w:t xml:space="preserve"> pp 528-548, pdf)</w:t>
      </w:r>
    </w:p>
    <w:p w14:paraId="10D8ED3D" w14:textId="77777777" w:rsidR="007E3D3F" w:rsidRPr="00107E4B" w:rsidRDefault="007E3D3F" w:rsidP="007E3D3F">
      <w:pPr>
        <w:rPr>
          <w:u w:val="single"/>
        </w:rPr>
      </w:pPr>
      <w:r w:rsidRPr="00107E4B">
        <w:t xml:space="preserve">With those rather inauspicious words, </w:t>
      </w:r>
      <w:r w:rsidRPr="00107E4B">
        <w:rPr>
          <w:u w:val="single"/>
        </w:rPr>
        <w:t>President</w:t>
      </w:r>
      <w:r w:rsidRPr="00107E4B">
        <w:t xml:space="preserve"> Lyndon </w:t>
      </w:r>
      <w:r w:rsidRPr="00107E4B">
        <w:rPr>
          <w:u w:val="single"/>
        </w:rPr>
        <w:t>Johnson signed the Immigration and Nationality</w:t>
      </w:r>
      <w:r w:rsidRPr="00107E4B">
        <w:t xml:space="preserve"> (Hart-Celler) </w:t>
      </w:r>
      <w:r w:rsidRPr="00107E4B">
        <w:rPr>
          <w:u w:val="single"/>
        </w:rPr>
        <w:t>Act</w:t>
      </w:r>
      <w:r w:rsidRPr="00107E4B">
        <w:t xml:space="preserve"> of 1965 into law on October 3. While downplaying the expected impact of the new legislation, Johnson nevertheless considered the law an important one—one that would repair what he considered a “painful flaw in the fabric of American justice.” That flaw was the racially discrimi- natory national origins policy, which had been in place since the early 1920s. President Johnson unequivocally declared that the 1965 legislation was an act of </w:t>
      </w:r>
      <w:r w:rsidRPr="00107E4B">
        <w:lastRenderedPageBreak/>
        <w:t xml:space="preserve">democratic liberalism, </w:t>
      </w:r>
      <w:r w:rsidRPr="00107E4B">
        <w:rPr>
          <w:u w:val="single"/>
        </w:rPr>
        <w:t>stamping out a previously racist policy that</w:t>
      </w:r>
      <w:r w:rsidRPr="00107E4B">
        <w:t>, as he argued, “</w:t>
      </w:r>
      <w:r w:rsidRPr="00107E4B">
        <w:rPr>
          <w:u w:val="single"/>
        </w:rPr>
        <w:t>violated the basic principle of American democracy</w:t>
      </w:r>
      <w:r w:rsidRPr="00107E4B">
        <w:t xml:space="preserve">—the principle that values and rewards each man on the basis of his merit as a man.” Despite this lofty promise, Johnson nevertheless did not expect the United States to be fundamentally altered. He underestimated the impact of the new legisla- tion on American immigration and its national culture and identity. The 1965 Act replaced national origins policy with a new system that emphasized family reunifica- tion along with a modest percentage of visas for work-related immigration. In mak- ing family reunification the centerpiece of the U.S. immigration policy, the 1965 law ushered in significant changes. </w:t>
      </w:r>
      <w:r w:rsidRPr="00107E4B">
        <w:rPr>
          <w:u w:val="single"/>
        </w:rPr>
        <w:t>Since passage</w:t>
      </w:r>
      <w:r w:rsidRPr="00107E4B">
        <w:t xml:space="preserve"> of the 1965 Hart-Celler Act, </w:t>
      </w:r>
      <w:r w:rsidRPr="00107E4B">
        <w:rPr>
          <w:u w:val="single"/>
        </w:rPr>
        <w:t>family preferences have been the central pathway to legal immigration to the United States.</w:t>
      </w:r>
      <w:r w:rsidRPr="00107E4B">
        <w:t xml:space="preserve"> In 1970 and 1980, 25% and 40% of legal permanent immigration resulted from family reunification, respec- tively, and in the 1990s, about 55% of legal permanent residents used family prefer- ence for immigration. In the decade from 2001 to 2010, family reunification represented nearly two-thirds of total documented immigration to the United States. When family members of skilled immigrants and lottery winners are included, family reunification immigration represents an even bigger percentage of total legal immigration (Office of Immigration Statistics 2011:Table 6).5 </w:t>
      </w:r>
      <w:r w:rsidRPr="00107E4B">
        <w:rPr>
          <w:u w:val="single"/>
        </w:rPr>
        <w:t>Family reunification also has shaped the face of the immigrant population</w:t>
      </w:r>
      <w:r w:rsidRPr="00107E4B">
        <w:t xml:space="preserve">. For much of U.S. history, Europe was the dominant continental source of immigrants. However, since 1965, the majority of family-sponsored immigrants have come from Asia and Latin America rather than Europe. Furthermore, for the first time since the United States began counting immigrants in 1819, immigrants from Africa out- numbered Europeans between 2009 and 2011. </w:t>
      </w:r>
      <w:r w:rsidRPr="00107E4B">
        <w:rPr>
          <w:u w:val="single"/>
        </w:rPr>
        <w:t xml:space="preserve">With these changes in immigration patterns, particularly the rise of Asian and Latin American countries as major immigrant-sending countries, family reunification is shaping the national identity by reconfiguring the racial and ethnic makeup of the United States—so much so that some immigration scholars argue that there already has been a shift in the “color line” </w:t>
      </w:r>
    </w:p>
    <w:p w14:paraId="6D1200AB" w14:textId="77777777" w:rsidR="007E3D3F" w:rsidRPr="00107E4B" w:rsidRDefault="007E3D3F" w:rsidP="007E3D3F">
      <w:pPr>
        <w:spacing w:after="0"/>
        <w:rPr>
          <w:sz w:val="16"/>
        </w:rPr>
      </w:pPr>
    </w:p>
    <w:p w14:paraId="66B09335" w14:textId="77777777" w:rsidR="007E3D3F" w:rsidRPr="00107E4B" w:rsidRDefault="007E3D3F" w:rsidP="007E3D3F">
      <w:pPr>
        <w:pStyle w:val="Heading4"/>
        <w:rPr>
          <w:rStyle w:val="Style13ptBold"/>
          <w:b/>
          <w:bCs w:val="0"/>
        </w:rPr>
      </w:pPr>
      <w:r w:rsidRPr="00107E4B">
        <w:rPr>
          <w:rStyle w:val="Style13ptBold"/>
          <w:bCs w:val="0"/>
        </w:rPr>
        <w:t xml:space="preserve">Policies catering to certain groups and communities are effective methods of reform </w:t>
      </w:r>
    </w:p>
    <w:p w14:paraId="1F0C5875" w14:textId="77777777" w:rsidR="007E3D3F" w:rsidRPr="00107E4B" w:rsidRDefault="007E3D3F" w:rsidP="007E3D3F">
      <w:r w:rsidRPr="00107E4B">
        <w:rPr>
          <w:rStyle w:val="Style13ptBold"/>
        </w:rPr>
        <w:t>Hagan 93</w:t>
      </w:r>
      <w:r w:rsidRPr="00107E4B">
        <w:t xml:space="preserve"> – (Hagan, Jacqueline Maria, and Susan Gonzalez Baker. “Implementing the U.S. Legalization Program: The Influence of Immigrant Communities and Local Agencies on Immigration Policy Reform.” The International Migration Review, vol. 27, no. 3, 1993, pp. 513–536. JSTOR, JSTOR, </w:t>
      </w:r>
      <w:hyperlink r:id="rId29" w:history="1">
        <w:r w:rsidRPr="00107E4B">
          <w:rPr>
            <w:rStyle w:val="Hyperlink"/>
          </w:rPr>
          <w:t>www.jstor.org/stable/2547098</w:t>
        </w:r>
      </w:hyperlink>
      <w:r w:rsidRPr="00107E4B">
        <w:t>.) //AA</w:t>
      </w:r>
    </w:p>
    <w:p w14:paraId="37AA522D" w14:textId="77777777" w:rsidR="007E3D3F" w:rsidRPr="00107E4B" w:rsidRDefault="007E3D3F" w:rsidP="007E3D3F">
      <w:pPr>
        <w:rPr>
          <w:sz w:val="16"/>
        </w:rPr>
      </w:pPr>
      <w:r w:rsidRPr="00107E4B">
        <w:rPr>
          <w:sz w:val="16"/>
        </w:rPr>
        <w:t xml:space="preserve">IMMIGRANT SETTLEMENT AND IMMIGRATION POLICY THROUGH LOCAL LEVEL ANALYSIS We have explored the utility of a grounded, longitudinal fieldwork in understanding how legalization evolved. </w:t>
      </w:r>
      <w:r w:rsidRPr="00107E4B">
        <w:rPr>
          <w:rStyle w:val="StyleUnderline"/>
        </w:rPr>
        <w:t>In doing so, we identified conditions under which an immigrant target group is likely to avail a new benefit</w:t>
      </w:r>
      <w:r w:rsidRPr="00107E4B">
        <w:rPr>
          <w:sz w:val="16"/>
        </w:rPr>
        <w:t xml:space="preserve"> </w:t>
      </w:r>
      <w:r w:rsidRPr="00107E4B">
        <w:rPr>
          <w:rStyle w:val="StyleUnderline"/>
        </w:rPr>
        <w:t>and</w:t>
      </w:r>
      <w:r w:rsidRPr="00107E4B">
        <w:rPr>
          <w:sz w:val="16"/>
        </w:rPr>
        <w:t xml:space="preserve">, 2) </w:t>
      </w:r>
      <w:r w:rsidRPr="00107E4B">
        <w:rPr>
          <w:rStyle w:val="StyleUnderline"/>
        </w:rPr>
        <w:t>the changes that benefit reform can engender in groups and service agencies as a result of program participation</w:t>
      </w:r>
      <w:r w:rsidRPr="00107E4B">
        <w:rPr>
          <w:sz w:val="16"/>
        </w:rPr>
        <w:t xml:space="preserve">. We that </w:t>
      </w:r>
      <w:r w:rsidRPr="00107E4B">
        <w:rPr>
          <w:rStyle w:val="StyleUnderline"/>
        </w:rPr>
        <w:t>our observations</w:t>
      </w:r>
      <w:r w:rsidRPr="00107E4B">
        <w:rPr>
          <w:sz w:val="16"/>
        </w:rPr>
        <w:t xml:space="preserve">, while emerging from a single setting, </w:t>
      </w:r>
      <w:r w:rsidRPr="00107E4B">
        <w:rPr>
          <w:rStyle w:val="StyleUnderline"/>
        </w:rPr>
        <w:t>have general implications for the implementation of social policies that benefits</w:t>
      </w:r>
      <w:r w:rsidRPr="00107E4B">
        <w:rPr>
          <w:sz w:val="16"/>
        </w:rPr>
        <w:t xml:space="preserve">. </w:t>
      </w:r>
      <w:r w:rsidRPr="00107E4B">
        <w:rPr>
          <w:rStyle w:val="StyleUnderline"/>
        </w:rPr>
        <w:t>First</w:t>
      </w:r>
      <w:r w:rsidRPr="00107E4B">
        <w:rPr>
          <w:sz w:val="16"/>
        </w:rPr>
        <w:t xml:space="preserve">, we find that </w:t>
      </w:r>
      <w:r w:rsidRPr="00107E4B">
        <w:rPr>
          <w:rStyle w:val="StyleUnderline"/>
        </w:rPr>
        <w:t>strong internal community structures facilitate participation in a benefits program</w:t>
      </w:r>
      <w:r w:rsidRPr="00107E4B">
        <w:rPr>
          <w:sz w:val="16"/>
        </w:rPr>
        <w:t xml:space="preserve">. Immigrant </w:t>
      </w:r>
      <w:r w:rsidRPr="00107E4B">
        <w:rPr>
          <w:rStyle w:val="StyleUnderline"/>
        </w:rPr>
        <w:t>social networks provide resources to draw upon during legalization</w:t>
      </w:r>
      <w:r w:rsidRPr="00107E4B">
        <w:rPr>
          <w:sz w:val="16"/>
        </w:rPr>
        <w:t xml:space="preserve"> the most important being information on how the system worked. </w:t>
      </w:r>
      <w:r w:rsidRPr="00107E4B">
        <w:rPr>
          <w:rStyle w:val="StyleUnderline"/>
        </w:rPr>
        <w:t>Second</w:t>
      </w:r>
      <w:r w:rsidRPr="00107E4B">
        <w:rPr>
          <w:sz w:val="16"/>
        </w:rPr>
        <w:t xml:space="preserve">, </w:t>
      </w:r>
      <w:r w:rsidRPr="00107E4B">
        <w:rPr>
          <w:rStyle w:val="StyleUnderline"/>
        </w:rPr>
        <w:t>when programs offer immediate benefits</w:t>
      </w:r>
      <w:r w:rsidRPr="00107E4B">
        <w:rPr>
          <w:sz w:val="16"/>
        </w:rPr>
        <w:t xml:space="preserve"> </w:t>
      </w:r>
      <w:r w:rsidRPr="00107E4B">
        <w:rPr>
          <w:rStyle w:val="StyleUnderline"/>
        </w:rPr>
        <w:t>that respond well to target groups' needs</w:t>
      </w:r>
      <w:r w:rsidRPr="00107E4B">
        <w:rPr>
          <w:sz w:val="16"/>
        </w:rPr>
        <w:t xml:space="preserve">, </w:t>
      </w:r>
      <w:r w:rsidRPr="00107E4B">
        <w:rPr>
          <w:rStyle w:val="StyleUnderline"/>
        </w:rPr>
        <w:t>turnout is enhanced</w:t>
      </w:r>
      <w:r w:rsidRPr="00107E4B">
        <w:rPr>
          <w:sz w:val="16"/>
        </w:rPr>
        <w:t xml:space="preserve">. In providing immediate work authorization, the INS played into the settlement strategies of the undocumented immigrants (eligible or not), who sought to keep as many options open as possible for as long as possible. Permanent residence through IRCA required the applicant to complete an examination in basic English skills and civics knowledge, or to demonstrate completion of an INS-approved </w:t>
      </w:r>
      <w:r w:rsidRPr="00107E4B">
        <w:rPr>
          <w:sz w:val="16"/>
        </w:rPr>
        <w:lastRenderedPageBreak/>
        <w:t xml:space="preserve">course of instruction. Both the Houston public school system and private advocacy groups provided these classes, with combined enrollments in excess of 20,000 students by late 1988 (Baker, 1990). This content downloaded from 128.62.16.250 on Tue, 31 Jul 2018 21:26:17 UTC All use subject to https://about.jstor.org/terms IMPLEMENTING THE U.S. LEGALIZATION PROGRAM 533 </w:t>
      </w:r>
      <w:r w:rsidRPr="00107E4B">
        <w:rPr>
          <w:rStyle w:val="StyleUnderline"/>
        </w:rPr>
        <w:t>Third</w:t>
      </w:r>
      <w:r w:rsidRPr="00107E4B">
        <w:rPr>
          <w:sz w:val="16"/>
        </w:rPr>
        <w:t xml:space="preserve">, formal </w:t>
      </w:r>
      <w:r w:rsidRPr="00107E4B">
        <w:rPr>
          <w:rStyle w:val="StyleUnderline"/>
        </w:rPr>
        <w:t>linkages between advocates and street-increase the prospect of participation</w:t>
      </w:r>
      <w:r w:rsidRPr="00107E4B">
        <w:rPr>
          <w:sz w:val="16"/>
        </w:rPr>
        <w:t xml:space="preserve"> </w:t>
      </w:r>
      <w:r w:rsidRPr="00107E4B">
        <w:rPr>
          <w:rStyle w:val="StyleUnderline"/>
        </w:rPr>
        <w:t>by furnishing hold from which to apply pressure on program program paramete</w:t>
      </w:r>
      <w:r w:rsidRPr="00107E4B">
        <w:rPr>
          <w:sz w:val="16"/>
        </w:rPr>
        <w:t xml:space="preserve">rs. </w:t>
      </w:r>
      <w:r w:rsidRPr="00107E4B">
        <w:rPr>
          <w:rStyle w:val="StyleUnderline"/>
        </w:rPr>
        <w:t>Through QDE status</w:t>
      </w:r>
      <w:r w:rsidRPr="00107E4B">
        <w:rPr>
          <w:sz w:val="16"/>
        </w:rPr>
        <w:t xml:space="preserve">, advisorytion, </w:t>
      </w:r>
      <w:r w:rsidRPr="00107E4B">
        <w:rPr>
          <w:rStyle w:val="StyleUnderline"/>
        </w:rPr>
        <w:t>advocates consistently expanded the scope of legalization</w:t>
      </w:r>
      <w:r w:rsidRPr="00107E4B">
        <w:rPr>
          <w:sz w:val="16"/>
        </w:rPr>
        <w:t xml:space="preserve">. see that local actors, filtering a policy initiative through during implementation, play a major role in influencing outcome of the program. </w:t>
      </w:r>
      <w:r w:rsidRPr="00107E4B">
        <w:rPr>
          <w:rStyle w:val="StyleUnderline"/>
        </w:rPr>
        <w:t>A final observation applies specifically to the IRCA has important implications for future U.S. immigrant gration policy</w:t>
      </w:r>
      <w:r w:rsidRPr="00107E4B">
        <w:rPr>
          <w:sz w:val="16"/>
        </w:rPr>
        <w:t xml:space="preserve">. We find that </w:t>
      </w:r>
      <w:r w:rsidRPr="00107E4B">
        <w:rPr>
          <w:rStyle w:val="StyleUnderline"/>
        </w:rPr>
        <w:t>new network linkages resulted For immigrants, the legalization process served to strengthen the host society and the community of origin</w:t>
      </w:r>
      <w:r w:rsidRPr="00107E4B">
        <w:rPr>
          <w:sz w:val="16"/>
        </w:rPr>
        <w:t xml:space="preserve">. For the community, the program forged new connections between and street level bureaucrats, prompting not only increased over implementation, but higher probabilities of conflicting the interests of the target population. Together, these the legacy of IRCA will be a strengthening, rather international social networks and a boost in the strategic cates in the U.S. immigration policy debate. We believe that the methodological approach employed inform the analyses of many social policies. Much of agenda has yet to incorporate the perspectives of those most ?the targets and local agencies into the design and process. As a result, policy-makers continually risk pected outcomes that condemn them to a position of expense of true innovation. </w:t>
      </w:r>
      <w:r w:rsidRPr="00107E4B">
        <w:rPr>
          <w:rStyle w:val="StyleUnderline"/>
        </w:rPr>
        <w:t>The research task ahead multi-actor, local level approach in the study of other graphic policies. The cumulation of such knowledge can base policies upon community realities and thus make in promoting positive social change</w:t>
      </w:r>
      <w:r w:rsidRPr="00107E4B">
        <w:rPr>
          <w:sz w:val="16"/>
        </w:rPr>
        <w:t xml:space="preserve">. </w:t>
      </w:r>
    </w:p>
    <w:p w14:paraId="1C1F61BD" w14:textId="77777777" w:rsidR="007E3D3F" w:rsidRPr="00107E4B" w:rsidRDefault="007E3D3F" w:rsidP="007E3D3F">
      <w:pPr>
        <w:pStyle w:val="Heading4"/>
        <w:tabs>
          <w:tab w:val="left" w:pos="2148"/>
          <w:tab w:val="left" w:pos="3000"/>
        </w:tabs>
      </w:pPr>
      <w:r w:rsidRPr="00107E4B">
        <w:t xml:space="preserve">Policy Intervention promotes broader governmental shifts </w:t>
      </w:r>
    </w:p>
    <w:p w14:paraId="7AF55DE2" w14:textId="77777777" w:rsidR="007E3D3F" w:rsidRPr="00107E4B" w:rsidRDefault="007E3D3F" w:rsidP="007E3D3F">
      <w:r w:rsidRPr="00107E4B">
        <w:rPr>
          <w:b/>
          <w:sz w:val="26"/>
          <w:szCs w:val="26"/>
        </w:rPr>
        <w:t>Bohn, Freedman &amp; Owens 15</w:t>
      </w:r>
      <w:r w:rsidRPr="00107E4B">
        <w:rPr>
          <w:b/>
          <w:sz w:val="24"/>
        </w:rPr>
        <w:t xml:space="preserve"> </w:t>
      </w:r>
      <w:r w:rsidRPr="00107E4B">
        <w:rPr>
          <w:b/>
        </w:rPr>
        <w:t xml:space="preserve">- </w:t>
      </w:r>
      <w:r w:rsidRPr="00107E4B">
        <w:t xml:space="preserve">(Sarah, has a Ph.D. In economics from the University of Maryland. Director of Research at Public Policy Institute of California, Matthew, is an associate professor of economics at the University of California, Irvine. He is also the executive director of the California Census Research Data Center (RDC) at Irvine and a co-editor at Regional Science and Urban Economics, Emily, a Professor in the </w:t>
      </w:r>
      <w:hyperlink r:id="rId30" w:history="1">
        <w:r w:rsidRPr="00107E4B">
          <w:rPr>
            <w:rStyle w:val="Hyperlink"/>
          </w:rPr>
          <w:t>Department of Criminology, Law, and Society</w:t>
        </w:r>
      </w:hyperlink>
      <w:r w:rsidRPr="00107E4B">
        <w:t xml:space="preserve"> at the University of California, Irvine. She also holds a secondary appointment in the </w:t>
      </w:r>
      <w:hyperlink r:id="rId31" w:history="1">
        <w:r w:rsidRPr="00107E4B">
          <w:rPr>
            <w:rStyle w:val="Hyperlink"/>
          </w:rPr>
          <w:t>Department of Economics</w:t>
        </w:r>
      </w:hyperlink>
      <w:r w:rsidRPr="00107E4B">
        <w:t>, “The Criminal Justice Response to Policy Interventions: Evidence from Immigration Reform”, American Economic Review: Papers &amp; Proceeding, May 2015, Vol. 105, Iss. 5, p. 214, accessed on 7/31/2018) // DC</w:t>
      </w:r>
    </w:p>
    <w:p w14:paraId="321F9938" w14:textId="77777777" w:rsidR="007E3D3F" w:rsidRPr="00107E4B" w:rsidRDefault="007E3D3F" w:rsidP="007E3D3F">
      <w:pPr>
        <w:rPr>
          <w:rFonts w:asciiTheme="minorHAnsi" w:hAnsiTheme="minorHAnsi" w:cstheme="minorHAnsi"/>
          <w:b/>
          <w:color w:val="000000"/>
        </w:rPr>
      </w:pPr>
      <w:r w:rsidRPr="00107E4B">
        <w:rPr>
          <w:rFonts w:asciiTheme="minorHAnsi" w:hAnsiTheme="minorHAnsi" w:cstheme="minorHAnsi"/>
          <w:color w:val="000000"/>
          <w:sz w:val="16"/>
          <w:szCs w:val="16"/>
        </w:rPr>
        <w:t>Plausibly exogenous policy changes are frequently used to evaluate economic theories of behavior. However,</w:t>
      </w:r>
      <w:r w:rsidRPr="00107E4B">
        <w:rPr>
          <w:rFonts w:asciiTheme="minorHAnsi" w:hAnsiTheme="minorHAnsi" w:cstheme="minorHAnsi"/>
          <w:color w:val="000000"/>
        </w:rPr>
        <w:t xml:space="preserve"> </w:t>
      </w:r>
      <w:r w:rsidRPr="00107E4B">
        <w:rPr>
          <w:rFonts w:asciiTheme="minorHAnsi" w:hAnsiTheme="minorHAnsi" w:cstheme="minorHAnsi"/>
          <w:b/>
          <w:color w:val="000000"/>
          <w:u w:val="single"/>
        </w:rPr>
        <w:t>a policy intervention that alters individual incentives may also induce changes in the behavior of government agencies, biasing estimates of the intervention's impacts</w:t>
      </w:r>
      <w:r w:rsidRPr="00107E4B">
        <w:rPr>
          <w:rFonts w:asciiTheme="minorHAnsi" w:hAnsiTheme="minorHAnsi" w:cstheme="minorHAnsi"/>
          <w:color w:val="000000"/>
        </w:rPr>
        <w:t xml:space="preserve">. </w:t>
      </w:r>
      <w:r w:rsidRPr="00107E4B">
        <w:rPr>
          <w:rFonts w:asciiTheme="minorHAnsi" w:hAnsiTheme="minorHAnsi" w:cstheme="minorHAnsi"/>
          <w:color w:val="000000"/>
          <w:sz w:val="16"/>
          <w:szCs w:val="16"/>
        </w:rPr>
        <w:t>1</w:t>
      </w:r>
      <w:r w:rsidRPr="00107E4B">
        <w:rPr>
          <w:rFonts w:asciiTheme="minorHAnsi" w:hAnsiTheme="minorHAnsi" w:cstheme="minorHAnsi"/>
          <w:color w:val="000000"/>
        </w:rPr>
        <w:t xml:space="preserve"> </w:t>
      </w:r>
      <w:r w:rsidRPr="00107E4B">
        <w:rPr>
          <w:rFonts w:asciiTheme="minorHAnsi" w:hAnsiTheme="minorHAnsi" w:cstheme="minorHAnsi"/>
          <w:color w:val="000000"/>
          <w:u w:val="single"/>
        </w:rPr>
        <w:t xml:space="preserve">The potential confounding effects of changes in the behavior of government agencies arise in a wide variety of settings, but are arguably of particular concern when policies target a group of individuals who are readily singled out by actors in these agencies. This is often the case with policies affecting immigrants, and specifically policies affecting immigrants' status in the community and their employment opportunities. </w:t>
      </w:r>
      <w:r w:rsidRPr="00107E4B">
        <w:rPr>
          <w:rFonts w:asciiTheme="minorHAnsi" w:hAnsiTheme="minorHAnsi" w:cstheme="minorHAnsi"/>
          <w:b/>
          <w:color w:val="000000"/>
          <w:u w:val="single"/>
        </w:rPr>
        <w:t>The extent to which one can accurately measure the effects of such policies on individual behavior hinges on whether one can disentangle changes in actual behavior from changes in the treatment of individuals by government agencies with which those individuals come into contact.</w:t>
      </w:r>
    </w:p>
    <w:p w14:paraId="0145C566" w14:textId="77777777" w:rsidR="007E3D3F" w:rsidRPr="00107E4B" w:rsidRDefault="007E3D3F" w:rsidP="007E3D3F"/>
    <w:p w14:paraId="6CB29B8A" w14:textId="77777777" w:rsidR="007E3D3F" w:rsidRPr="00107E4B" w:rsidRDefault="007E3D3F" w:rsidP="007E3D3F">
      <w:pPr>
        <w:pStyle w:val="Heading2"/>
      </w:pPr>
      <w:r w:rsidRPr="00107E4B">
        <w:lastRenderedPageBreak/>
        <w:t xml:space="preserve">Activism Fails </w:t>
      </w:r>
    </w:p>
    <w:p w14:paraId="1B05F3E6" w14:textId="77777777" w:rsidR="007E3D3F" w:rsidRPr="00107E4B" w:rsidRDefault="007E3D3F" w:rsidP="007E3D3F">
      <w:pPr>
        <w:pStyle w:val="Heading4"/>
      </w:pPr>
      <w:r w:rsidRPr="00107E4B">
        <w:t xml:space="preserve">Activism on a localized level fails – efforts by anti-immigrant activists overpower activists pro-immigrant and leads to cities enacting restrictions on immigrants – only a federal level approach solves  </w:t>
      </w:r>
    </w:p>
    <w:p w14:paraId="4E6A79D3" w14:textId="77777777" w:rsidR="007E3D3F" w:rsidRPr="00107E4B" w:rsidRDefault="007E3D3F" w:rsidP="007E3D3F">
      <w:r w:rsidRPr="00107E4B">
        <w:rPr>
          <w:b/>
          <w:sz w:val="26"/>
          <w:szCs w:val="26"/>
        </w:rPr>
        <w:t xml:space="preserve">Campbell 07 </w:t>
      </w:r>
      <w:r w:rsidRPr="00107E4B">
        <w:t>- (Kristina M, Saint Mary’s College, B.A. cum laude. University of Notre Dame Law School, J.D. Professor Kristina M. Campbell is the Jack &amp; Lovell Olender Professor of Law and Co-Director of the Immigration and Human Rights Clinic at the University of the District of Columbia David A. Clarke School of Law, “Local Illegal Immigration Relief Act Ordinances: A Legal, Policy, and Litigation Analysis”, Denver University law review, March 2017, Vol. 84, Iss. 4, p. 1, accessed on 7/31/2018) // DC</w:t>
      </w:r>
    </w:p>
    <w:p w14:paraId="65D06120" w14:textId="77777777" w:rsidR="007E3D3F" w:rsidRPr="00107E4B" w:rsidRDefault="007E3D3F" w:rsidP="007E3D3F">
      <w:pPr>
        <w:rPr>
          <w:color w:val="000000"/>
          <w:u w:val="single"/>
        </w:rPr>
      </w:pPr>
      <w:r w:rsidRPr="00107E4B">
        <w:rPr>
          <w:color w:val="000000"/>
          <w:u w:val="single"/>
        </w:rPr>
        <w:t>Obtaining comprehensive immigration reform is one of the most important legal issues facing the Latino community today</w:t>
      </w:r>
      <w:r w:rsidRPr="00107E4B">
        <w:rPr>
          <w:color w:val="000000"/>
        </w:rPr>
        <w:t xml:space="preserve">. </w:t>
      </w:r>
      <w:r w:rsidRPr="00107E4B">
        <w:rPr>
          <w:color w:val="000000"/>
          <w:sz w:val="16"/>
          <w:szCs w:val="16"/>
        </w:rPr>
        <w:t xml:space="preserve">For the nation, virtually every family, business, and community is touched by immigration. In 2006, when millions marched for comprehensive immigration reform, prospects for federal action increased. During the summer of 2006, </w:t>
      </w:r>
      <w:r w:rsidRPr="00107E4B">
        <w:rPr>
          <w:color w:val="000000"/>
          <w:u w:val="single"/>
        </w:rPr>
        <w:t>as the U.S. House failed to move forward to complete legislative action, frustrations by anti-immigrant activists led to a small number of cities and towns attempting to enact restrictions and prohibitions against illegal immigrants at the local level. These measures violate the Constitution, and pit neighbor against neighbor. Immigration policy must be established and enforced at the federal level, as local ordinances threaten to discriminate against all Latinos, citizen and newcomer alike.</w:t>
      </w:r>
    </w:p>
    <w:p w14:paraId="062B01CA" w14:textId="77777777" w:rsidR="007E3D3F" w:rsidRPr="00107E4B" w:rsidRDefault="007E3D3F" w:rsidP="007E3D3F"/>
    <w:p w14:paraId="3AF04AD8" w14:textId="77777777" w:rsidR="007E3D3F" w:rsidRPr="00107E4B" w:rsidRDefault="007E3D3F" w:rsidP="007E3D3F">
      <w:pPr>
        <w:pStyle w:val="Heading4"/>
      </w:pPr>
      <w:r w:rsidRPr="00107E4B">
        <w:t xml:space="preserve">Activism on a localized level fails – local attempts to regulate illegal immigration are unconstitutional and have negative effects on employers, landlords, and other citizens in their businesses </w:t>
      </w:r>
    </w:p>
    <w:p w14:paraId="2F741D9B" w14:textId="77777777" w:rsidR="007E3D3F" w:rsidRPr="00107E4B" w:rsidRDefault="007E3D3F" w:rsidP="007E3D3F">
      <w:r w:rsidRPr="00107E4B">
        <w:rPr>
          <w:b/>
          <w:sz w:val="26"/>
          <w:szCs w:val="26"/>
        </w:rPr>
        <w:t>Campbell 07</w:t>
      </w:r>
      <w:r w:rsidRPr="00107E4B">
        <w:rPr>
          <w:b/>
          <w:sz w:val="24"/>
        </w:rPr>
        <w:t xml:space="preserve"> </w:t>
      </w:r>
      <w:r w:rsidRPr="00107E4B">
        <w:t>- (Kristina M, Saint Mary’s College, B.A. cum laude. University of Notre Dame Law School, J.D. Professor Kristina M. Campbell is the Jack &amp; Lovell Olender Professor of Law and Co-Director of the Immigration and Human Rights Clinic at the University of the District of Columbia David A. Clarke School of Law, “Local Illegal Immigration Relief Act Ordinances: A Legal, Policy, and Litigation Analysis”, Denver University law review, March 2017, Vol. 84, Iss. 4, p. 3-4, accessed on 7/31/2018) // DC</w:t>
      </w:r>
    </w:p>
    <w:p w14:paraId="14A094AF" w14:textId="77777777" w:rsidR="007E3D3F" w:rsidRPr="00107E4B" w:rsidRDefault="007E3D3F" w:rsidP="007E3D3F">
      <w:pPr>
        <w:rPr>
          <w:sz w:val="16"/>
          <w:szCs w:val="16"/>
        </w:rPr>
      </w:pPr>
      <w:r w:rsidRPr="00107E4B">
        <w:rPr>
          <w:u w:val="single"/>
        </w:rPr>
        <w:t>The attempts by local government to regulate illegal immigration, and to enact and enforce local immigration laws clearly exceed the power delegated to municipalities and law enforcement.</w:t>
      </w:r>
      <w:r w:rsidRPr="00107E4B">
        <w:t xml:space="preserve"> </w:t>
      </w:r>
      <w:r w:rsidRPr="00107E4B">
        <w:rPr>
          <w:sz w:val="16"/>
          <w:szCs w:val="16"/>
        </w:rPr>
        <w:t xml:space="preserve">[FN21] As seen above in the discussion of the San Bernardino and Hazleton ordinances, while the actual provisions may vary, </w:t>
      </w:r>
      <w:r w:rsidRPr="00107E4B">
        <w:rPr>
          <w:u w:val="single"/>
        </w:rPr>
        <w:t>the local laws attempting to regulate illegal immigration typically contain provisions that: (1) penalize local business for employing unauthorized immigrants by restricting their access to business licenses and prohibiting them from receiving city grants and city contracts; (2) prohibit the renting and/or leasing of property to unauthorized immigrants in the municipality, and provide civil and/or criminal penalties against individuals who rent or lease property to unauthorized immigrants; and (3) bar city business or publications in languages other than English.</w:t>
      </w:r>
      <w:r w:rsidRPr="00107E4B">
        <w:t xml:space="preserve"> </w:t>
      </w:r>
      <w:r w:rsidRPr="00107E4B">
        <w:rPr>
          <w:sz w:val="16"/>
          <w:szCs w:val="16"/>
        </w:rPr>
        <w:t xml:space="preserve">[FN22] </w:t>
      </w:r>
      <w:r w:rsidRPr="00107E4B">
        <w:rPr>
          <w:u w:val="single"/>
        </w:rPr>
        <w:t xml:space="preserve">If the local initiatives attempting to regulate illegal immigration that are being introduced around the country are passed, they will most likely be preempted by federal law </w:t>
      </w:r>
      <w:r w:rsidRPr="00107E4B">
        <w:rPr>
          <w:u w:val="single"/>
        </w:rPr>
        <w:lastRenderedPageBreak/>
        <w:t>and struck down as unconstitutional.</w:t>
      </w:r>
      <w:r w:rsidRPr="00107E4B">
        <w:t xml:space="preserve"> [FN23] </w:t>
      </w:r>
      <w:r w:rsidRPr="00107E4B">
        <w:rPr>
          <w:u w:val="single"/>
        </w:rPr>
        <w:t>Additionally, the impact such local ordinances will have on the communities in which they are enacted will extend far beyond the undocumented immigrants who are the target of this proposed legislation. In particular, the repercussions of local illegal immigration laws such as the Hazleton Ordinance will have a dramatic and disproportionately negative effect on employers, landlords, and other citizens and residents attempting to conduct</w:t>
      </w:r>
      <w:r w:rsidRPr="00107E4B">
        <w:rPr>
          <w:bCs/>
          <w:u w:val="single"/>
        </w:rPr>
        <w:t>*1046</w:t>
      </w:r>
      <w:r w:rsidRPr="00107E4B">
        <w:rPr>
          <w:u w:val="single"/>
        </w:rPr>
        <w:t xml:space="preserve"> their usual course of business</w:t>
      </w:r>
      <w:r w:rsidRPr="00107E4B">
        <w:t xml:space="preserve">. </w:t>
      </w:r>
      <w:r w:rsidRPr="00107E4B">
        <w:rPr>
          <w:sz w:val="16"/>
          <w:szCs w:val="16"/>
        </w:rPr>
        <w:t>As such, even if these local immigration laws are successful in their goals of diminishing the presence of illegal immigrants in the cities and towns that adopt such initiatives, the high price for both defending and enforcing these ordinances will fall to the very people these laws ostensibly seek to protect the citizens and taxpayers of the respective municipalities. And the jobs, housing, and other issues will not disappear-they will emerge in neighboring communities, which is another reason why local government should remain out of immigration enforcement.</w:t>
      </w:r>
    </w:p>
    <w:p w14:paraId="6F74BB16" w14:textId="77777777" w:rsidR="007E3D3F" w:rsidRPr="00107E4B" w:rsidRDefault="007E3D3F" w:rsidP="007E3D3F"/>
    <w:p w14:paraId="6C3A4010" w14:textId="77777777" w:rsidR="007E3D3F" w:rsidRPr="00107E4B" w:rsidRDefault="007E3D3F" w:rsidP="007E3D3F">
      <w:pPr>
        <w:pStyle w:val="Heading4"/>
      </w:pPr>
      <w:r w:rsidRPr="00107E4B">
        <w:t xml:space="preserve">Localized Approach on Immigration fails – Media coverage distorts public perception on immigration fueling anti-immigrant sentiments </w:t>
      </w:r>
    </w:p>
    <w:p w14:paraId="11B8966F" w14:textId="77777777" w:rsidR="007E3D3F" w:rsidRPr="00107E4B" w:rsidRDefault="007E3D3F" w:rsidP="007E3D3F">
      <w:r w:rsidRPr="00107E4B">
        <w:rPr>
          <w:b/>
          <w:sz w:val="26"/>
          <w:szCs w:val="26"/>
        </w:rPr>
        <w:t>Dunaway, Branton &amp; Abrajano 10</w:t>
      </w:r>
      <w:r w:rsidRPr="00107E4B">
        <w:rPr>
          <w:b/>
          <w:sz w:val="24"/>
        </w:rPr>
        <w:t xml:space="preserve"> </w:t>
      </w:r>
      <w:r w:rsidRPr="00107E4B">
        <w:rPr>
          <w:b/>
        </w:rPr>
        <w:t xml:space="preserve">- </w:t>
      </w:r>
      <w:r w:rsidRPr="00107E4B">
        <w:t>(Johanna, an associate professor of communication.  Before recently joining the faculty at Texas A&amp;M she was at Louisiana State University in the Department of Political Science and the Manship School of Mass Communication.  She has written extensively on the relationship between the structural and contextual features of media outlets and news content, Regina P, Professor at the Department of Political Science at the University of North Texas, Marisa A, is professor of political science at the University of California, San Diego, “Agenda Setting, Public Opinion, and the Issue of Immigration Reform”, SOCIAL SCIENCE QUARTERLY, June 2010, Vol. 91, Iss. 2, p. 362, accessed on 7/31/2018) // DC</w:t>
      </w:r>
    </w:p>
    <w:p w14:paraId="716FD419" w14:textId="77777777" w:rsidR="007E3D3F" w:rsidRPr="00107E4B" w:rsidRDefault="007E3D3F" w:rsidP="007E3D3F">
      <w:pPr>
        <w:rPr>
          <w:rFonts w:asciiTheme="minorHAnsi" w:hAnsiTheme="minorHAnsi" w:cstheme="minorHAnsi"/>
          <w:u w:val="single"/>
        </w:rPr>
      </w:pPr>
      <w:r w:rsidRPr="00107E4B">
        <w:rPr>
          <w:rFonts w:asciiTheme="minorHAnsi" w:hAnsiTheme="minorHAnsi" w:cstheme="minorHAnsi"/>
          <w:color w:val="000000"/>
          <w:u w:val="single"/>
        </w:rPr>
        <w:t>The agenda setting literature demonstrates the effect of prominent media attention on the weight the public gives to certain issues</w:t>
      </w:r>
      <w:r w:rsidRPr="00107E4B">
        <w:rPr>
          <w:rFonts w:asciiTheme="minorHAnsi" w:hAnsiTheme="minorHAnsi" w:cstheme="minorHAnsi"/>
          <w:color w:val="000000"/>
        </w:rPr>
        <w:t xml:space="preserve"> </w:t>
      </w:r>
      <w:r w:rsidRPr="00107E4B">
        <w:rPr>
          <w:rFonts w:asciiTheme="minorHAnsi" w:hAnsiTheme="minorHAnsi" w:cstheme="minorHAnsi"/>
          <w:color w:val="000000"/>
          <w:sz w:val="16"/>
          <w:szCs w:val="16"/>
        </w:rPr>
        <w:t>(Baumgartner and Jones, 1995; Iyengar and Kinder, 1987).</w:t>
      </w:r>
      <w:r w:rsidRPr="00107E4B">
        <w:rPr>
          <w:rFonts w:asciiTheme="minorHAnsi" w:hAnsiTheme="minorHAnsi" w:cstheme="minorHAnsi"/>
          <w:color w:val="000000"/>
        </w:rPr>
        <w:t xml:space="preserve"> </w:t>
      </w:r>
      <w:r w:rsidRPr="00107E4B">
        <w:rPr>
          <w:rFonts w:asciiTheme="minorHAnsi" w:hAnsiTheme="minorHAnsi" w:cstheme="minorHAnsi"/>
          <w:color w:val="000000"/>
          <w:u w:val="single"/>
        </w:rPr>
        <w:t>Agenda setting describes the process by which the news media shows the public what is important by giving more salience to certain events and issues over others. According to agenda-setting theory, the public perceives issues that receive the most media coverage to be those of greatest importance</w:t>
      </w:r>
      <w:r w:rsidRPr="00107E4B">
        <w:rPr>
          <w:rFonts w:asciiTheme="minorHAnsi" w:hAnsiTheme="minorHAnsi" w:cstheme="minorHAnsi"/>
          <w:color w:val="000000"/>
        </w:rPr>
        <w:t xml:space="preserve"> </w:t>
      </w:r>
      <w:r w:rsidRPr="00107E4B">
        <w:rPr>
          <w:rFonts w:asciiTheme="minorHAnsi" w:hAnsiTheme="minorHAnsi" w:cstheme="minorHAnsi"/>
          <w:color w:val="000000"/>
          <w:sz w:val="16"/>
          <w:szCs w:val="16"/>
        </w:rPr>
        <w:t xml:space="preserve">(Baumgartner and Jones, 1995; McCombs and Shaw, 1972). </w:t>
      </w:r>
      <w:r w:rsidRPr="00107E4B">
        <w:rPr>
          <w:rFonts w:asciiTheme="minorHAnsi" w:hAnsiTheme="minorHAnsi" w:cstheme="minorHAnsi"/>
          <w:color w:val="000000"/>
          <w:u w:val="single"/>
        </w:rPr>
        <w:t>This implies that heightened coverage of immigration will increase public perception of its importance as well.</w:t>
      </w:r>
      <w:r w:rsidRPr="00107E4B">
        <w:rPr>
          <w:rFonts w:asciiTheme="minorHAnsi" w:hAnsiTheme="minorHAnsi" w:cstheme="minorHAnsi"/>
          <w:color w:val="000000"/>
        </w:rPr>
        <w:t xml:space="preserve"> </w:t>
      </w:r>
      <w:r w:rsidRPr="00107E4B">
        <w:rPr>
          <w:rFonts w:asciiTheme="minorHAnsi" w:hAnsiTheme="minorHAnsi" w:cstheme="minorHAnsi"/>
          <w:color w:val="000000"/>
          <w:sz w:val="16"/>
          <w:szCs w:val="16"/>
        </w:rPr>
        <w:t xml:space="preserve">Information-processing research also suggests that media cues about certain issues or events play a large part in what we consider to be important. </w:t>
      </w:r>
      <w:r w:rsidRPr="00107E4B">
        <w:rPr>
          <w:rFonts w:asciiTheme="minorHAnsi" w:hAnsiTheme="minorHAnsi" w:cstheme="minorHAnsi"/>
          <w:color w:val="000000"/>
          <w:u w:val="single"/>
        </w:rPr>
        <w:t xml:space="preserve">Accessibility in the mind significantly influences the way we evaluate issues </w:t>
      </w:r>
      <w:r w:rsidRPr="00107E4B">
        <w:rPr>
          <w:rFonts w:asciiTheme="minorHAnsi" w:hAnsiTheme="minorHAnsi" w:cstheme="minorHAnsi"/>
          <w:color w:val="000000"/>
          <w:sz w:val="16"/>
          <w:szCs w:val="16"/>
          <w:u w:val="single"/>
        </w:rPr>
        <w:t>(</w:t>
      </w:r>
      <w:r w:rsidRPr="00107E4B">
        <w:rPr>
          <w:rFonts w:asciiTheme="minorHAnsi" w:hAnsiTheme="minorHAnsi" w:cstheme="minorHAnsi"/>
          <w:color w:val="000000"/>
          <w:sz w:val="16"/>
          <w:szCs w:val="16"/>
        </w:rPr>
        <w:t>Druckman, 2004; Iyengar and Kinder, 1987). Because we are cognitively limited, we organize concepts thematically, and can retain only a finite number of considerations in the forefront of our minds. When queried about issues or opinions, it is from this immediate set of considerations that a response is generated. This process, which is known as priming, does not overtly alter individuals opinions and beliefs, but it has the potential to influence the issues voters consider to be most important (Iyengar and Kinder, 1987). Therefore,</w:t>
      </w:r>
      <w:r w:rsidRPr="00107E4B">
        <w:rPr>
          <w:rFonts w:asciiTheme="minorHAnsi" w:hAnsiTheme="minorHAnsi" w:cstheme="minorHAnsi"/>
          <w:color w:val="000000"/>
        </w:rPr>
        <w:t xml:space="preserve"> </w:t>
      </w:r>
      <w:r w:rsidRPr="00107E4B">
        <w:rPr>
          <w:rFonts w:asciiTheme="minorHAnsi" w:hAnsiTheme="minorHAnsi" w:cstheme="minorHAnsi"/>
          <w:color w:val="000000"/>
          <w:u w:val="single"/>
        </w:rPr>
        <w:t xml:space="preserve">even when an issue is not a daily or immediate concern, constant media attention primes issue awareness by making it more accessible in the mind or by increasing the issue’s perceived importance </w:t>
      </w:r>
      <w:r w:rsidRPr="00107E4B">
        <w:rPr>
          <w:rFonts w:asciiTheme="minorHAnsi" w:hAnsiTheme="minorHAnsi" w:cstheme="minorHAnsi"/>
          <w:color w:val="000000"/>
          <w:sz w:val="16"/>
          <w:szCs w:val="16"/>
        </w:rPr>
        <w:t>(Lau and Redlawsk, 2001; Nelson, Clawson, and Oxley, 1997).</w:t>
      </w:r>
      <w:r w:rsidRPr="00107E4B">
        <w:rPr>
          <w:rFonts w:asciiTheme="minorHAnsi" w:hAnsiTheme="minorHAnsi" w:cstheme="minorHAnsi"/>
          <w:color w:val="000000"/>
        </w:rPr>
        <w:t xml:space="preserve"> </w:t>
      </w:r>
      <w:r w:rsidRPr="00107E4B">
        <w:rPr>
          <w:rFonts w:asciiTheme="minorHAnsi" w:hAnsiTheme="minorHAnsi" w:cstheme="minorHAnsi"/>
          <w:color w:val="000000"/>
          <w:sz w:val="16"/>
          <w:szCs w:val="16"/>
        </w:rPr>
        <w:t>With immigration, the high volume of media attention may prime public awareness or concern about the issue. Finally</w:t>
      </w:r>
      <w:r w:rsidRPr="00107E4B">
        <w:rPr>
          <w:rFonts w:asciiTheme="minorHAnsi" w:hAnsiTheme="minorHAnsi" w:cstheme="minorHAnsi"/>
          <w:color w:val="000000"/>
        </w:rPr>
        <w:t xml:space="preserve">, </w:t>
      </w:r>
      <w:r w:rsidRPr="00107E4B">
        <w:rPr>
          <w:rFonts w:asciiTheme="minorHAnsi" w:hAnsiTheme="minorHAnsi" w:cstheme="minorHAnsi"/>
          <w:color w:val="000000"/>
          <w:u w:val="single"/>
        </w:rPr>
        <w:t>the manner in which immigration is framed may influence public opinion on this policy issue</w:t>
      </w:r>
      <w:r w:rsidRPr="00107E4B">
        <w:rPr>
          <w:rFonts w:asciiTheme="minorHAnsi" w:hAnsiTheme="minorHAnsi" w:cstheme="minorHAnsi"/>
          <w:color w:val="000000"/>
        </w:rPr>
        <w:t xml:space="preserve"> </w:t>
      </w:r>
      <w:r w:rsidRPr="00107E4B">
        <w:rPr>
          <w:rFonts w:asciiTheme="minorHAnsi" w:hAnsiTheme="minorHAnsi" w:cstheme="minorHAnsi"/>
          <w:color w:val="000000"/>
          <w:sz w:val="18"/>
          <w:szCs w:val="18"/>
        </w:rPr>
        <w:t>(see Lee, McLeod, and Shah, 2008; Abrajano and Singh, 2009; Domke, McCoy, and Torres, 1999).</w:t>
      </w:r>
      <w:r w:rsidRPr="00107E4B">
        <w:rPr>
          <w:rFonts w:asciiTheme="minorHAnsi" w:hAnsiTheme="minorHAnsi" w:cstheme="minorHAnsi"/>
          <w:sz w:val="18"/>
          <w:szCs w:val="18"/>
        </w:rPr>
        <w:t xml:space="preserve"> </w:t>
      </w:r>
      <w:r w:rsidRPr="00107E4B">
        <w:rPr>
          <w:rFonts w:asciiTheme="minorHAnsi" w:hAnsiTheme="minorHAnsi" w:cstheme="minorHAnsi"/>
          <w:color w:val="000000"/>
          <w:u w:val="single"/>
        </w:rPr>
        <w:t>News coverage of immigration may also influence public concern about the issue because there is a tendency in the news media to portray nonwhites in a less than favorable manner.</w:t>
      </w:r>
      <w:r w:rsidRPr="00107E4B">
        <w:rPr>
          <w:rFonts w:asciiTheme="minorHAnsi" w:hAnsiTheme="minorHAnsi" w:cstheme="minorHAnsi"/>
          <w:color w:val="000000"/>
        </w:rPr>
        <w:t xml:space="preserve"> For example, </w:t>
      </w:r>
      <w:r w:rsidRPr="00107E4B">
        <w:rPr>
          <w:rFonts w:asciiTheme="minorHAnsi" w:hAnsiTheme="minorHAnsi" w:cstheme="minorHAnsi"/>
          <w:color w:val="000000"/>
          <w:u w:val="single"/>
        </w:rPr>
        <w:t>news outlets routinely cover violent crimes at a volume disproportionate to their actual occurrence in society, and the media tends to feature stories about crimes in which nonwhites are the perpetrators</w:t>
      </w:r>
      <w:r w:rsidRPr="00107E4B">
        <w:rPr>
          <w:rFonts w:asciiTheme="minorHAnsi" w:hAnsiTheme="minorHAnsi" w:cstheme="minorHAnsi"/>
          <w:color w:val="000000"/>
        </w:rPr>
        <w:t xml:space="preserve"> </w:t>
      </w:r>
      <w:r w:rsidRPr="00107E4B">
        <w:rPr>
          <w:rFonts w:asciiTheme="minorHAnsi" w:hAnsiTheme="minorHAnsi" w:cstheme="minorHAnsi"/>
          <w:color w:val="000000"/>
          <w:sz w:val="16"/>
          <w:szCs w:val="16"/>
        </w:rPr>
        <w:t xml:space="preserve">(Gilliam et al., 1996; Gilliam and Iyengar, 2000). </w:t>
      </w:r>
      <w:r w:rsidRPr="00107E4B">
        <w:rPr>
          <w:rFonts w:asciiTheme="minorHAnsi" w:hAnsiTheme="minorHAnsi" w:cstheme="minorHAnsi"/>
          <w:color w:val="000000"/>
          <w:u w:val="single"/>
        </w:rPr>
        <w:t xml:space="preserve">More generally, </w:t>
      </w:r>
      <w:r w:rsidRPr="00107E4B">
        <w:rPr>
          <w:rFonts w:asciiTheme="minorHAnsi" w:hAnsiTheme="minorHAnsi" w:cstheme="minorHAnsi"/>
          <w:color w:val="000000"/>
          <w:u w:val="single"/>
        </w:rPr>
        <w:lastRenderedPageBreak/>
        <w:t>depictions of nonwhites in the news media suggest they are prone to violence and are overly demanding on the government</w:t>
      </w:r>
      <w:r w:rsidRPr="00107E4B">
        <w:rPr>
          <w:rFonts w:asciiTheme="minorHAnsi" w:hAnsiTheme="minorHAnsi" w:cstheme="minorHAnsi"/>
          <w:color w:val="000000"/>
        </w:rPr>
        <w:t xml:space="preserve"> </w:t>
      </w:r>
      <w:r w:rsidRPr="00107E4B">
        <w:rPr>
          <w:rFonts w:asciiTheme="minorHAnsi" w:hAnsiTheme="minorHAnsi" w:cstheme="minorHAnsi"/>
          <w:color w:val="000000"/>
          <w:sz w:val="16"/>
          <w:szCs w:val="16"/>
        </w:rPr>
        <w:t>(Entman et al., 1998:19; Gilens, 1999).</w:t>
      </w:r>
      <w:r w:rsidRPr="00107E4B">
        <w:rPr>
          <w:rFonts w:asciiTheme="minorHAnsi" w:hAnsiTheme="minorHAnsi" w:cstheme="minorHAnsi"/>
          <w:color w:val="000000"/>
        </w:rPr>
        <w:t xml:space="preserve"> </w:t>
      </w:r>
      <w:r w:rsidRPr="00107E4B">
        <w:rPr>
          <w:rFonts w:asciiTheme="minorHAnsi" w:hAnsiTheme="minorHAnsi" w:cstheme="minorHAnsi"/>
          <w:color w:val="000000"/>
          <w:u w:val="single"/>
        </w:rPr>
        <w:t>With regard to the media’s portrayal of Latinos in particular, the National Association of Hispanic Journalists (NAHJ) reports that crime and immigration are the prevailing frames for Latino-related news stories and that over the last decade</w:t>
      </w:r>
      <w:r w:rsidRPr="00107E4B">
        <w:rPr>
          <w:rFonts w:asciiTheme="minorHAnsi" w:hAnsiTheme="minorHAnsi" w:cstheme="minorHAnsi"/>
          <w:color w:val="000000"/>
        </w:rPr>
        <w:t xml:space="preserve">, </w:t>
      </w:r>
      <w:r w:rsidRPr="00107E4B">
        <w:rPr>
          <w:rFonts w:asciiTheme="minorHAnsi" w:hAnsiTheme="minorHAnsi" w:cstheme="minorHAnsi"/>
          <w:color w:val="000000"/>
          <w:sz w:val="16"/>
          <w:szCs w:val="16"/>
        </w:rPr>
        <w:t>these two topics have accounted for 36 percent of all network news stories covering Latinos. NAHJ also reports that Latinos are</w:t>
      </w:r>
      <w:r w:rsidRPr="00107E4B">
        <w:rPr>
          <w:rFonts w:asciiTheme="minorHAnsi" w:hAnsiTheme="minorHAnsi" w:cstheme="minorHAnsi"/>
          <w:color w:val="000000"/>
        </w:rPr>
        <w:t xml:space="preserve"> </w:t>
      </w:r>
      <w:r w:rsidRPr="00107E4B">
        <w:rPr>
          <w:rFonts w:asciiTheme="minorHAnsi" w:hAnsiTheme="minorHAnsi" w:cstheme="minorHAnsi"/>
          <w:color w:val="000000"/>
          <w:u w:val="single"/>
        </w:rPr>
        <w:t>often portrayed negatively and as a problem people.</w:t>
      </w:r>
    </w:p>
    <w:p w14:paraId="6A28B0A0" w14:textId="77777777" w:rsidR="007E3D3F" w:rsidRPr="00107E4B" w:rsidRDefault="007E3D3F" w:rsidP="007E3D3F">
      <w:pPr>
        <w:rPr>
          <w:sz w:val="16"/>
        </w:rPr>
      </w:pPr>
    </w:p>
    <w:p w14:paraId="360CD98B" w14:textId="77777777" w:rsidR="007E3D3F" w:rsidRPr="00107E4B" w:rsidRDefault="007E3D3F" w:rsidP="007E3D3F"/>
    <w:p w14:paraId="26028729" w14:textId="77777777" w:rsidR="007E3D3F" w:rsidRPr="00107E4B" w:rsidRDefault="007E3D3F" w:rsidP="007E3D3F">
      <w:pPr>
        <w:pStyle w:val="Heading2"/>
      </w:pPr>
      <w:r w:rsidRPr="00107E4B">
        <w:lastRenderedPageBreak/>
        <w:t xml:space="preserve">Narratives Bad </w:t>
      </w:r>
    </w:p>
    <w:p w14:paraId="4A07E551" w14:textId="77777777" w:rsidR="007E3D3F" w:rsidRPr="00107E4B" w:rsidRDefault="007E3D3F" w:rsidP="007E3D3F">
      <w:pPr>
        <w:pStyle w:val="Heading4"/>
      </w:pPr>
      <w:r w:rsidRPr="00107E4B">
        <w:t xml:space="preserve">Narratives threaten the hegemonic nature of the state- keeping a singular narrative of the state is key to cohesion   </w:t>
      </w:r>
    </w:p>
    <w:p w14:paraId="2BF541D3" w14:textId="77777777" w:rsidR="007E3D3F" w:rsidRPr="00107E4B" w:rsidRDefault="007E3D3F" w:rsidP="007E3D3F">
      <w:pPr>
        <w:rPr>
          <w:b/>
          <w:sz w:val="26"/>
        </w:rPr>
      </w:pPr>
      <w:r w:rsidRPr="00107E4B">
        <w:rPr>
          <w:rStyle w:val="Style13ptBold"/>
        </w:rPr>
        <w:t>Wharton ‘16</w:t>
      </w:r>
    </w:p>
    <w:p w14:paraId="7AEAF69E" w14:textId="77777777" w:rsidR="007E3D3F" w:rsidRPr="00107E4B" w:rsidRDefault="007E3D3F" w:rsidP="007E3D3F">
      <w:pPr>
        <w:rPr>
          <w:b/>
          <w:sz w:val="18"/>
          <w:szCs w:val="18"/>
        </w:rPr>
      </w:pPr>
      <w:r w:rsidRPr="00107E4B">
        <w:rPr>
          <w:rStyle w:val="Style13ptBold"/>
          <w:sz w:val="18"/>
          <w:szCs w:val="18"/>
        </w:rPr>
        <w:t xml:space="preserve">(Robin Wharton, Georgia State University, Derek Miller, Harvard University, “New Directions in Law and Narrative”, Law, Culture and the Humanities 1–11, pp. 3-5, Accessed 7/29/18, PAS). </w:t>
      </w:r>
    </w:p>
    <w:p w14:paraId="230409BB" w14:textId="77777777" w:rsidR="007E3D3F" w:rsidRDefault="007E3D3F" w:rsidP="007E3D3F">
      <w:pPr>
        <w:rPr>
          <w:rStyle w:val="Emphasis"/>
        </w:rPr>
      </w:pPr>
      <w:r w:rsidRPr="00107E4B">
        <w:rPr>
          <w:sz w:val="16"/>
        </w:rPr>
        <w:t xml:space="preserve">With contributors ranging from Martha Minow and Catherine McKinnon to Elaine Scarry and John Hollander, the volume on Law’s Stories produced from that conference probed legal narrative as a political force, as constructed in trials, as confession or victim impact statement, and as it appeared in judicial opinions.8 So rich had the dialogue about narrative become that when Richard Posner revised his heavily critical monograph Law &amp; Literature in 1998, he devoted an entire chapter to narrative, a subject that did not merit an index entry a decade earlier.9 Peter Brooks, one of the editors of the Yale conference volume, developed a robust critique of law’s persistent repression of narrative. Brooks argued that </w:t>
      </w:r>
      <w:r w:rsidRPr="00107E4B">
        <w:rPr>
          <w:rStyle w:val="Emphasis"/>
        </w:rPr>
        <w:t>the law resists narratology because narrative fundamentally threatens law’s hermeticism. “Law’s suspicion of narrative [reveals] its implicit awareness that in certain cases letting narrative breach the bar of repression would risk a veritable deconstruction of all the legal argumentation – a massive housewrecking of judicial rhetoric-as-usual,”</w:t>
      </w:r>
      <w:r w:rsidRPr="00107E4B">
        <w:rPr>
          <w:sz w:val="16"/>
        </w:rPr>
        <w:t xml:space="preserve"> Brooks writes.10 For instance, Brooks suggests that Fourth Amendment </w:t>
      </w:r>
      <w:r w:rsidRPr="00107E4B">
        <w:rPr>
          <w:rStyle w:val="Emphasis"/>
        </w:rPr>
        <w:t>jurisprudence about “inevitable discovery” exemptions to the exclusionary rule reveal how the law relies on “retrospectivity” to justify its outcomes.</w:t>
      </w:r>
      <w:r w:rsidRPr="00107E4B">
        <w:rPr>
          <w:sz w:val="16"/>
        </w:rPr>
        <w:t xml:space="preserve"> In such examples the known result of an otherwise illicit search structures the narrative courts hypothesize in determining the forbidden item’s discovery “inevitable” and thus permissible</w:t>
      </w:r>
      <w:r w:rsidRPr="00107E4B">
        <w:rPr>
          <w:rStyle w:val="StyleUnderline"/>
        </w:rPr>
        <w:t>. A proper understanding of how narrative s</w:t>
      </w:r>
      <w:bookmarkStart w:id="1" w:name="_GoBack"/>
      <w:bookmarkEnd w:id="1"/>
      <w:r w:rsidRPr="00107E4B">
        <w:rPr>
          <w:rStyle w:val="StyleUnderline"/>
        </w:rPr>
        <w:t>tructures itself around endings might</w:t>
      </w:r>
      <w:r w:rsidRPr="00107E4B">
        <w:rPr>
          <w:sz w:val="16"/>
        </w:rPr>
        <w:t xml:space="preserve">, in Brooks’ view, </w:t>
      </w:r>
      <w:r w:rsidRPr="00107E4B">
        <w:rPr>
          <w:rStyle w:val="StyleUnderline"/>
        </w:rPr>
        <w:t>reshape such tendencies in Fourth Amendment law</w:t>
      </w:r>
      <w:r w:rsidRPr="00107E4B">
        <w:rPr>
          <w:sz w:val="16"/>
        </w:rPr>
        <w:t xml:space="preserve">. Whatever the utopian desires implicit in Brooks’ analysis, </w:t>
      </w:r>
      <w:r w:rsidRPr="00107E4B">
        <w:rPr>
          <w:rStyle w:val="Emphasis"/>
        </w:rPr>
        <w:t>narrative here clearly means more than only testimony or confession</w:t>
      </w:r>
      <w:r w:rsidRPr="00107E4B">
        <w:rPr>
          <w:sz w:val="16"/>
        </w:rPr>
        <w:t xml:space="preserve"> (on which Brooks has also written extensively).11 </w:t>
      </w:r>
      <w:r w:rsidRPr="00107E4B">
        <w:rPr>
          <w:rStyle w:val="Emphasis"/>
        </w:rPr>
        <w:t xml:space="preserve">Narrative exists in more than the stories told in the courtroom or summarized in judicial opinions: narrative suffuses all of legal practice. </w:t>
      </w:r>
      <w:r w:rsidRPr="00107E4B">
        <w:rPr>
          <w:sz w:val="16"/>
        </w:rPr>
        <w:t xml:space="preserve">Bernard S. Jackson had made precisely this argument in his 1988 book, Law, Fact, and Narrative Coherence. Jackson, writing from a Greimasian semiotic perspective, urged that we read not only the explicit narratives related at trial, but also the narratives of the trial itself. The latter, the “story of the trial,” as distinguished from the “story (told) in the trial,” “is as much subject to the constraints of narrative coherence as is” the former, Jackson writes.12 Jackson calls his analytic method the “narrativisation of pragmatics,” in which the actions of the trial’s participants meet our demands for narrative coherence as fully as must the competing narratives offered by the trial’s opposing parties. The trial process itself is a complex of pragmatic interactions each one of which individually, and all of which collectively, are themselves discursive constructions, their very intelligibility depending upon their character as such. For not only is the “evidence” judged in the light of narrative frameworks of typical social action; the behaviour of participants – and particularly the lawyers – is judged in the light of narrative frameworks of typical legal action: how counsel behaves in a particular context, how the judge behaves, how the jury behaves, etc.13 </w:t>
      </w:r>
      <w:r w:rsidRPr="00107E4B">
        <w:rPr>
          <w:rStyle w:val="Emphasis"/>
        </w:rPr>
        <w:t>By recognizing narrative as fundamental to humans’ understanding of the world</w:t>
      </w:r>
      <w:r w:rsidRPr="00107E4B">
        <w:rPr>
          <w:sz w:val="16"/>
        </w:rPr>
        <w:t xml:space="preserve">, Jackson sees </w:t>
      </w:r>
      <w:r w:rsidRPr="00107E4B">
        <w:rPr>
          <w:rStyle w:val="Emphasis"/>
        </w:rPr>
        <w:t>that we narrativize every aspect of the law, not only those that we might name “stories.” Three major intertwining strands thus thread through law and narrative.</w:t>
      </w:r>
      <w:r w:rsidRPr="00107E4B">
        <w:rPr>
          <w:sz w:val="16"/>
        </w:rPr>
        <w:t xml:space="preserve"> The first strand concerns itself with storytelling such as in witness testimony, asking questions about who speaks and what stories get told. The second strand considers how legal opinions narrativize their own logic and tidy the narratives presented as evidence. And the third (and seemingly least developed) strand considers narratives of the law that constrain and define the possibilities of legal practice. In any of those forms,</w:t>
      </w:r>
      <w:r w:rsidRPr="00107E4B">
        <w:rPr>
          <w:rStyle w:val="Emphasis"/>
        </w:rPr>
        <w:t xml:space="preserve"> narrative suffuses law because law is a human activity that, like all other human endeavors, we narrativize so as to make comprehensible.</w:t>
      </w:r>
    </w:p>
    <w:p w14:paraId="6CF607FF" w14:textId="77777777" w:rsidR="007E3D3F" w:rsidRPr="00B9339D" w:rsidRDefault="007E3D3F" w:rsidP="007E3D3F"/>
    <w:p w14:paraId="4CE2A63C" w14:textId="77777777" w:rsidR="00CA7652" w:rsidRDefault="00CA7652"/>
    <w:sectPr w:rsidR="00CA7652"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Lucida Grande">
    <w:charset w:val="00"/>
    <w:family w:val="swiss"/>
    <w:pitch w:val="variable"/>
    <w:sig w:usb0="E1000AEF" w:usb1="5000A1FF" w:usb2="00000000" w:usb3="00000000" w:csb0="000001B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antinghei TC Heavy">
    <w:altName w:val="Microsoft JhengHei"/>
    <w:charset w:val="88"/>
    <w:family w:val="auto"/>
    <w:pitch w:val="variable"/>
    <w:sig w:usb0="00000001" w:usb1="080E0000" w:usb2="00000010" w:usb3="00000000" w:csb0="00100000" w:csb1="00000000"/>
  </w:font>
  <w:font w:name="SimSun">
    <w:altName w:val="宋体"/>
    <w:panose1 w:val="02010600030101010101"/>
    <w:charset w:val="86"/>
    <w:family w:val="auto"/>
    <w:pitch w:val="variable"/>
    <w:sig w:usb0="000000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72ED2EE3"/>
    <w:multiLevelType w:val="hybridMultilevel"/>
    <w:tmpl w:val="FABC8A2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3D3F"/>
    <w:rsid w:val="007E3D3F"/>
    <w:rsid w:val="00CA76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44529A"/>
  <w15:chartTrackingRefBased/>
  <w15:docId w15:val="{538068B9-03A0-4AE1-9BF5-16C3898137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7E3D3F"/>
    <w:rPr>
      <w:rFonts w:ascii="Calibri" w:hAnsi="Calibri"/>
    </w:rPr>
  </w:style>
  <w:style w:type="paragraph" w:styleId="Heading1">
    <w:name w:val="heading 1"/>
    <w:aliases w:val="Pocket"/>
    <w:basedOn w:val="Normal"/>
    <w:next w:val="Normal"/>
    <w:link w:val="Heading1Char"/>
    <w:qFormat/>
    <w:rsid w:val="007E3D3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7E3D3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7E3D3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7E3D3F"/>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7E3D3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7E3D3F"/>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7E3D3F"/>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7E3D3F"/>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Style Style Bold + 11 pt,tagld + 12 pt,Style Style Bold + 13 pt,tag + 12 pt,Not...,Not.,Not"/>
    <w:basedOn w:val="DefaultParagraphFont"/>
    <w:uiPriority w:val="5"/>
    <w:qFormat/>
    <w:rsid w:val="007E3D3F"/>
    <w:rPr>
      <w:b/>
      <w:bCs/>
      <w:sz w:val="26"/>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Bold Cite Char,Citation Char Char Char,c,cite,Bo,B,9.5 pt,S"/>
    <w:basedOn w:val="DefaultParagraphFont"/>
    <w:uiPriority w:val="6"/>
    <w:qFormat/>
    <w:rsid w:val="007E3D3F"/>
    <w:rPr>
      <w:b w:val="0"/>
      <w:sz w:val="22"/>
      <w:u w:val="single"/>
    </w:rPr>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tyle1,/"/>
    <w:basedOn w:val="DefaultParagraphFont"/>
    <w:link w:val="textbold"/>
    <w:uiPriority w:val="7"/>
    <w:qFormat/>
    <w:rsid w:val="007E3D3F"/>
    <w:rPr>
      <w:rFonts w:ascii="Calibri" w:hAnsi="Calibri"/>
      <w:b/>
      <w:iCs/>
      <w:u w:val="single"/>
    </w:rPr>
  </w:style>
  <w:style w:type="character" w:styleId="FollowedHyperlink">
    <w:name w:val="FollowedHyperlink"/>
    <w:basedOn w:val="DefaultParagraphFont"/>
    <w:uiPriority w:val="99"/>
    <w:semiHidden/>
    <w:unhideWhenUsed/>
    <w:rsid w:val="007E3D3F"/>
    <w:rPr>
      <w:color w:val="auto"/>
      <w:u w:val="none"/>
    </w:rPr>
  </w:style>
  <w:style w:type="character" w:styleId="Hyperlink">
    <w:name w:val="Hyperlink"/>
    <w:aliases w:val="heading 1 (block title),Important,Read,Card Text,Internet Link,Analytic Text,Internet link"/>
    <w:basedOn w:val="DefaultParagraphFont"/>
    <w:uiPriority w:val="99"/>
    <w:unhideWhenUsed/>
    <w:rsid w:val="007E3D3F"/>
    <w:rPr>
      <w:color w:val="auto"/>
      <w:u w:val="none"/>
    </w:rPr>
  </w:style>
  <w:style w:type="paragraph" w:styleId="DocumentMap">
    <w:name w:val="Document Map"/>
    <w:basedOn w:val="Normal"/>
    <w:link w:val="DocumentMapChar"/>
    <w:uiPriority w:val="99"/>
    <w:semiHidden/>
    <w:unhideWhenUsed/>
    <w:rsid w:val="007E3D3F"/>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7E3D3F"/>
    <w:rPr>
      <w:rFonts w:ascii="Lucida Grande" w:hAnsi="Lucida Grande" w:cs="Lucida Grande"/>
      <w:sz w:val="24"/>
    </w:rPr>
  </w:style>
  <w:style w:type="paragraph" w:customStyle="1" w:styleId="textbold">
    <w:name w:val="text bold"/>
    <w:basedOn w:val="Normal"/>
    <w:link w:val="Emphasis"/>
    <w:uiPriority w:val="7"/>
    <w:qFormat/>
    <w:rsid w:val="007E3D3F"/>
    <w:pPr>
      <w:pBdr>
        <w:top w:val="single" w:sz="18" w:space="0" w:color="auto"/>
        <w:left w:val="single" w:sz="18" w:space="0" w:color="auto"/>
        <w:bottom w:val="single" w:sz="18" w:space="0" w:color="auto"/>
        <w:right w:val="single" w:sz="18" w:space="0" w:color="auto"/>
      </w:pBdr>
      <w:ind w:left="720"/>
      <w:jc w:val="both"/>
    </w:pPr>
    <w:rPr>
      <w:b/>
      <w:iCs/>
      <w:u w:val="single"/>
    </w:rPr>
  </w:style>
  <w:style w:type="paragraph" w:styleId="NormalWeb">
    <w:name w:val="Normal (Web)"/>
    <w:basedOn w:val="Normal"/>
    <w:uiPriority w:val="99"/>
    <w:unhideWhenUsed/>
    <w:rsid w:val="007E3D3F"/>
    <w:pPr>
      <w:spacing w:before="100" w:beforeAutospacing="1" w:after="100" w:afterAutospacing="1" w:line="240" w:lineRule="auto"/>
    </w:pPr>
    <w:rPr>
      <w:rFonts w:ascii="Times New Roman" w:eastAsia="Times New Roman" w:hAnsi="Times New Roman" w:cs="Times New Roman"/>
      <w:sz w:val="24"/>
    </w:rPr>
  </w:style>
  <w:style w:type="paragraph" w:customStyle="1" w:styleId="m68248387327369853gmail-msonospacing">
    <w:name w:val="m_68248387327369853gmail-msonospacing"/>
    <w:basedOn w:val="Normal"/>
    <w:rsid w:val="007E3D3F"/>
    <w:pPr>
      <w:spacing w:before="100" w:beforeAutospacing="1" w:after="100" w:afterAutospacing="1" w:line="240" w:lineRule="auto"/>
    </w:pPr>
    <w:rPr>
      <w:rFonts w:ascii="Times New Roman" w:hAnsi="Times New Roman" w:cs="Times New Roman"/>
      <w:sz w:val="24"/>
      <w:lang w:eastAsia="zh-CN"/>
    </w:rPr>
  </w:style>
  <w:style w:type="paragraph" w:customStyle="1" w:styleId="m-5637017115381775791gmail-msolistparagraph">
    <w:name w:val="m_-5637017115381775791gmail-msolistparagraph"/>
    <w:basedOn w:val="Normal"/>
    <w:rsid w:val="007E3D3F"/>
    <w:pPr>
      <w:spacing w:before="100" w:beforeAutospacing="1" w:after="100" w:afterAutospacing="1" w:line="240" w:lineRule="auto"/>
    </w:pPr>
    <w:rPr>
      <w:rFonts w:ascii="Times New Roman" w:hAnsi="Times New Roman" w:cs="Times New Roman"/>
      <w:sz w:val="24"/>
      <w:lang w:eastAsia="zh-CN"/>
    </w:rPr>
  </w:style>
  <w:style w:type="paragraph" w:customStyle="1" w:styleId="m-5637017115381775791gmail-m-4136605091577954740gmail-msonospacing">
    <w:name w:val="m_-5637017115381775791gmail-m-4136605091577954740gmail-msonospacing"/>
    <w:basedOn w:val="Normal"/>
    <w:rsid w:val="007E3D3F"/>
    <w:pPr>
      <w:spacing w:before="100" w:beforeAutospacing="1" w:after="100" w:afterAutospacing="1" w:line="240" w:lineRule="auto"/>
    </w:pPr>
    <w:rPr>
      <w:rFonts w:ascii="Times New Roman" w:hAnsi="Times New Roman" w:cs="Times New Roman"/>
      <w:sz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qdtopen.proquest.com/doc/1027604463.html?FMT=AI)" TargetMode="External"/><Relationship Id="rId13" Type="http://schemas.openxmlformats.org/officeDocument/2006/relationships/hyperlink" Target="https://en.wikipedia.org/wiki/Illbient" TargetMode="External"/><Relationship Id="rId18" Type="http://schemas.openxmlformats.org/officeDocument/2006/relationships/hyperlink" Target="https://www.washingtonpost.com/lifestyle/style/violence-threats-begging-harvey-weinsteins-30-year-pattern-of-abuse-in-hollywood/2017/10/14/2638b1fc-aeab-11e7-be94-fabb0f1e9ffb_story.html?utm_term=.9d08e24a4e9d" TargetMode="External"/><Relationship Id="rId26" Type="http://schemas.openxmlformats.org/officeDocument/2006/relationships/hyperlink" Target="https://nypost.com/2015/06/14/a-resistance-movement-is-the-only-way-to-stop-out-of-control-government/" TargetMode="External"/><Relationship Id="rId3" Type="http://schemas.openxmlformats.org/officeDocument/2006/relationships/settings" Target="settings.xml"/><Relationship Id="rId21" Type="http://schemas.openxmlformats.org/officeDocument/2006/relationships/hyperlink" Target="https://www.washingtonpost.com/news/retropolis/wp/2017/04/11/hunting-down-runaway-slaves-the-cruel-ads-of-andrew-jackson-and-the-master-class/?utm_term=.5f9d5e096da2" TargetMode="External"/><Relationship Id="rId7" Type="http://schemas.openxmlformats.org/officeDocument/2006/relationships/hyperlink" Target="http://truth-out.org/opinion/item/9865-beyond-the-politics-of-the-big-lie-the-education-deficit-and-the-new-authoritarianism" TargetMode="External"/><Relationship Id="rId12" Type="http://schemas.openxmlformats.org/officeDocument/2006/relationships/hyperlink" Target="https://en.wikipedia.org/wiki/Hip_hop" TargetMode="External"/><Relationship Id="rId17" Type="http://schemas.openxmlformats.org/officeDocument/2006/relationships/hyperlink" Target="https://www.washingtonpost.com/news/retropolis/wp/2017/10/19/missouri-v-celia-a-slave-she-killed-the-white-master-raping-her-then-claimed-self-defense/?noredirect=on&amp;utm_term=.b01687de07be" TargetMode="External"/><Relationship Id="rId25" Type="http://schemas.openxmlformats.org/officeDocument/2006/relationships/hyperlink" Target="https://nypost.com/2015/06/14/a-resistance-movement-is-the-only-way-to-stop-out-of-control-government/"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itself.blog/2014/11/18/the-uncomfortable-origins-of-afrofuturism/" TargetMode="External"/><Relationship Id="rId20" Type="http://schemas.openxmlformats.org/officeDocument/2006/relationships/hyperlink" Target="https://www.washingtonpost.com/news/retropolis/wp/2017/10/19/missouri-v-celia-a-slave-she-killed-the-white-master-raping-her-then-claimed-self-defense/?noredirect=on&amp;utm_term=.b01687de07be" TargetMode="External"/><Relationship Id="rId29" Type="http://schemas.openxmlformats.org/officeDocument/2006/relationships/hyperlink" Target="http://www.jstor.org/stable/2547098" TargetMode="External"/><Relationship Id="rId1" Type="http://schemas.openxmlformats.org/officeDocument/2006/relationships/numbering" Target="numbering.xml"/><Relationship Id="rId6" Type="http://schemas.openxmlformats.org/officeDocument/2006/relationships/hyperlink" Target="http://www.jstor.org/stable/23479616" TargetMode="External"/><Relationship Id="rId11" Type="http://schemas.openxmlformats.org/officeDocument/2006/relationships/hyperlink" Target="http://queeringafrofuturism.tumblr.com/post/6126537901/female-presence-in-the-afro-future" TargetMode="External"/><Relationship Id="rId24" Type="http://schemas.openxmlformats.org/officeDocument/2006/relationships/hyperlink" Target="https://nypost.com/2015/06/14/a-resistance-movement-is-the-only-way-to-stop-out-of-control-government/" TargetMode="External"/><Relationship Id="rId32" Type="http://schemas.openxmlformats.org/officeDocument/2006/relationships/fontTable" Target="fontTable.xml"/><Relationship Id="rId5" Type="http://schemas.openxmlformats.org/officeDocument/2006/relationships/hyperlink" Target="https://ssrn.com/abstract=2589664" TargetMode="External"/><Relationship Id="rId15" Type="http://schemas.openxmlformats.org/officeDocument/2006/relationships/hyperlink" Target="https://en.wikipedia.org/wiki/Turntablist" TargetMode="External"/><Relationship Id="rId23" Type="http://schemas.openxmlformats.org/officeDocument/2006/relationships/hyperlink" Target="https://www.washingtonpost.com/opinions/move-over-dred-scott/2018/06/26/6f8f425c-796d-11e8-aeee-4d04c8ac6158_story.html?utm_term=.cec91eea9b19" TargetMode="External"/><Relationship Id="rId28" Type="http://schemas.openxmlformats.org/officeDocument/2006/relationships/hyperlink" Target="http://www.jstor.org/stable/3810734" TargetMode="External"/><Relationship Id="rId10" Type="http://schemas.openxmlformats.org/officeDocument/2006/relationships/hyperlink" Target="https://en.wikipedia.org/wiki/National_Review" TargetMode="External"/><Relationship Id="rId19" Type="http://schemas.openxmlformats.org/officeDocument/2006/relationships/hyperlink" Target="https://www.washingtonpost.com/news/retropolis/wp/2017/10/13/she-said-her-boss-raped-her-in-a-bank-vault-her-sexual-harassment-case-would-make-legal-history/?utm_term=.7dd230489e00" TargetMode="External"/><Relationship Id="rId31" Type="http://schemas.openxmlformats.org/officeDocument/2006/relationships/hyperlink" Target="http://www.economics.uci.edu/" TargetMode="External"/><Relationship Id="rId4" Type="http://schemas.openxmlformats.org/officeDocument/2006/relationships/webSettings" Target="webSettings.xml"/><Relationship Id="rId9" Type="http://schemas.openxmlformats.org/officeDocument/2006/relationships/hyperlink" Target="http://www.wfu.edu/Student-organizations/debate/MiscSites/DRGArticles/Coverstone1995China.htm" TargetMode="External"/><Relationship Id="rId14" Type="http://schemas.openxmlformats.org/officeDocument/2006/relationships/hyperlink" Target="https://en.wikipedia.org/wiki/Trip_hop" TargetMode="External"/><Relationship Id="rId22" Type="http://schemas.openxmlformats.org/officeDocument/2006/relationships/hyperlink" Target="https://www.washingtonpost.com/news/retropolis/wp/2017/10/19/missouri-v-celia-a-slave-she-killed-the-white-master-raping-her-then-claimed-self-defense/?noredirect=on&amp;utm_term=.0bd9574e19f8" TargetMode="External"/><Relationship Id="rId27" Type="http://schemas.openxmlformats.org/officeDocument/2006/relationships/hyperlink" Target="http://www.jstor.org/stable/3810734" TargetMode="External"/><Relationship Id="rId30" Type="http://schemas.openxmlformats.org/officeDocument/2006/relationships/hyperlink" Target="http://cls.soceco.uci.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99</Pages>
  <Words>61895</Words>
  <Characters>352804</Characters>
  <Application>Microsoft Office Word</Application>
  <DocSecurity>0</DocSecurity>
  <Lines>2940</Lines>
  <Paragraphs>827</Paragraphs>
  <ScaleCrop>false</ScaleCrop>
  <Company/>
  <LinksUpToDate>false</LinksUpToDate>
  <CharactersWithSpaces>413872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Wash</dc:creator>
  <cp:keywords/>
  <dc:description/>
  <cp:lastModifiedBy>Ryan Wash</cp:lastModifiedBy>
  <cp:revision>1</cp:revision>
  <dcterms:created xsi:type="dcterms:W3CDTF">2018-08-01T06:00:00Z</dcterms:created>
  <dcterms:modified xsi:type="dcterms:W3CDTF">2018-08-01T06:00:00Z</dcterms:modified>
</cp:coreProperties>
</file>